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40" w:line="300"/>
        <w:jc w:val="center"/>
      </w:pPr>
      <w:r>
        <w:rPr>
          <w:b/>
          <w:bCs/>
          <w:color w:val="1F3864"/>
          <w:sz w:val="44"/>
          <w:szCs w:val="44"/>
        </w:rPr>
        <w:t xml:space="preserve">Technical Design Document</w:t>
      </w:r>
    </w:p>
    <w:p>
      <w:pPr>
        <w:spacing w:after="60"/>
      </w:pPr>
    </w:p>
    <w:p>
      <w:pPr>
        <w:spacing w:after="60"/>
        <w:jc w:val="center"/>
      </w:pPr>
      <w:r>
        <w:rPr>
          <w:b/>
          <w:bCs/>
          <w:i w:val="false"/>
          <w:iCs w:val="false"/>
          <w:color w:val="2F6F6A"/>
          <w:sz w:val="27"/>
          <w:szCs w:val="27"/>
        </w:rPr>
        <w:t xml:space="preserve">AI-Powered Land Acquisition Delay-Prediction Platform</w:t>
      </w:r>
    </w:p>
    <w:p>
      <w:pPr>
        <w:spacing w:after="220"/>
        <w:jc w:val="center"/>
      </w:pPr>
      <w:r>
        <w:rPr>
          <w:b w:val="false"/>
          <w:bCs w:val="false"/>
          <w:i w:val="false"/>
          <w:iCs w:val="false"/>
          <w:color w:val="6B6B6B"/>
          <w:sz w:val="21"/>
          <w:szCs w:val="21"/>
        </w:rPr>
        <w:t xml:space="preserve">System Architecture · Machine-Learning Methodology · Engineering Design</w:t>
      </w:r>
    </w:p>
    <w:p>
      <w:pPr>
        <w:spacing w:after="60"/>
        <w:jc w:val="center"/>
      </w:pPr>
      <w:r>
        <w:rPr>
          <w:b/>
          <w:bCs/>
          <w:color w:val="1F3864"/>
          <w:sz w:val="22"/>
          <w:szCs w:val="22"/>
        </w:rPr>
        <w:t xml:space="preserve">Predict</w:t>
      </w:r>
      <w:r>
        <w:rPr>
          <w:b/>
          <w:bCs/>
          <w:color w:val="2F6F6A"/>
          <w:sz w:val="22"/>
          <w:szCs w:val="22"/>
        </w:rPr>
        <w:t xml:space="preserve">  →  </w:t>
      </w:r>
      <w:r>
        <w:rPr>
          <w:b/>
          <w:bCs/>
          <w:color w:val="1F3864"/>
          <w:sz w:val="22"/>
          <w:szCs w:val="22"/>
        </w:rPr>
        <w:t xml:space="preserve">Explain</w:t>
      </w:r>
      <w:r>
        <w:rPr>
          <w:b/>
          <w:bCs/>
          <w:color w:val="2F6F6A"/>
          <w:sz w:val="22"/>
          <w:szCs w:val="22"/>
        </w:rPr>
        <w:t xml:space="preserve">  →  </w:t>
      </w:r>
      <w:r>
        <w:rPr>
          <w:b/>
          <w:bCs/>
          <w:color w:val="1F3864"/>
          <w:sz w:val="22"/>
          <w:szCs w:val="22"/>
        </w:rPr>
        <w:t xml:space="preserve">Prioritize</w:t>
      </w:r>
      <w:r>
        <w:rPr>
          <w:b/>
          <w:bCs/>
          <w:color w:val="2F6F6A"/>
          <w:sz w:val="22"/>
          <w:szCs w:val="22"/>
        </w:rPr>
        <w:t xml:space="preserve">  →  </w:t>
      </w:r>
      <w:r>
        <w:rPr>
          <w:b/>
          <w:bCs/>
          <w:color w:val="1F3864"/>
          <w:sz w:val="22"/>
          <w:szCs w:val="22"/>
        </w:rPr>
        <w:t xml:space="preserve">Act</w:t>
      </w:r>
    </w:p>
    <w:p>
      <w:pPr>
        <w:spacing w:after="240"/>
      </w:pPr>
    </w:p>
    <w:p>
      <w:pPr>
        <w:pBdr>
          <w:bottom w:val="single" w:color="C9D2DF" w:sz="6" w:space="8"/>
        </w:pBdr>
        <w:spacing w:after="200"/>
        <w:jc w:val="center"/>
      </w:pPr>
    </w:p>
    <w:p>
      <w:pPr>
        <w:spacing w:after="90"/>
        <w:jc w:val="center"/>
      </w:pPr>
      <w:r>
        <w:rPr>
          <w:b/>
          <w:bCs/>
          <w:i w:val="false"/>
          <w:iCs w:val="false"/>
          <w:color w:val="1F3864"/>
          <w:sz w:val="22"/>
          <w:szCs w:val="22"/>
        </w:rPr>
        <w:t xml:space="preserve">Smart India Hackathon  ·  Problem Statement SIH26017</w:t>
      </w:r>
    </w:p>
    <w:p>
      <w:pPr>
        <w:spacing w:after="90"/>
        <w:jc w:val="center"/>
      </w:pPr>
      <w:r>
        <w:rPr>
          <w:b w:val="false"/>
          <w:bCs w:val="false"/>
          <w:i w:val="false"/>
          <w:iCs w:val="false"/>
          <w:color w:val="6B6B6B"/>
          <w:sz w:val="21"/>
          <w:szCs w:val="21"/>
        </w:rPr>
        <w:t xml:space="preserve">Ministry of Rural Development — Department of Land Resources (DoLR)</w:t>
      </w:r>
    </w:p>
    <w:p>
      <w:pPr>
        <w:spacing w:after="60"/>
        <w:jc w:val="center"/>
      </w:pPr>
      <w:r>
        <w:rPr>
          <w:b w:val="false"/>
          <w:bCs w:val="false"/>
          <w:i/>
          <w:iCs/>
          <w:color w:val="6B6B6B"/>
          <w:sz w:val="20"/>
          <w:szCs w:val="20"/>
        </w:rPr>
        <w:t xml:space="preserve">Companion to the Project Explainer — technical scope only</w:t>
      </w:r>
    </w:p>
    <w:p>
      <w:r>
        <w:br w:type="page"/>
      </w:r>
    </w:p>
    <w:p>
      <w:pPr>
        <w:pStyle w:val="Heading1"/>
      </w:pPr>
      <w:r>
        <w:t xml:space="preserve">1. Scope &amp; Technical Overview</w:t>
      </w:r>
    </w:p>
    <w:p>
      <w:pPr>
        <w:spacing w:after="140" w:line="276"/>
        <w:jc w:val="both"/>
      </w:pPr>
      <w:r>
        <w:rPr>
          <w:b w:val="false"/>
          <w:bCs w:val="false"/>
          <w:i w:val="false"/>
          <w:iCs w:val="false"/>
          <w:color w:val="222222"/>
          <w:sz w:val="22"/>
          <w:szCs w:val="22"/>
        </w:rPr>
        <w:t xml:space="preserve">This document specifies the engineering design of the platform: how data is modelled and generated, how features are built, how the machine-learning models are formulated, trained, calibrated and evaluated, how predictions are explained and turned into recommendations, and how the whole system is served through APIs, a database, a geospatial layer, and an MLOps loop. It is a companion to the project explainer and deliberately omits the governance narrative — it covers only the technical solution.</w:t>
      </w:r>
    </w:p>
    <w:p>
      <w:pPr>
        <w:spacing w:after="140" w:line="276"/>
        <w:jc w:val="both"/>
      </w:pPr>
      <w:r>
        <w:rPr>
          <w:b w:val="false"/>
          <w:bCs w:val="false"/>
          <w:i w:val="false"/>
          <w:iCs w:val="false"/>
          <w:color w:val="222222"/>
          <w:sz w:val="22"/>
          <w:szCs w:val="22"/>
        </w:rPr>
        <w:t xml:space="preserve">The platform is organized as four cooperating tiers: a data tier (ingestion, storage, synthetic and real project records), an intelligence tier (feature engineering, the ML ensemble, explainability, and the recommendation engine), a service tier (a REST API with authentication, role scoping, and audit), and a presentation tier (an analytics dashboard and a GIS map). Each tier is independently testable and communicates over well-defined interfaces, so the ML models can evolve without disturbing the API or the frontend.</w:t>
      </w:r>
    </w:p>
    <w:p>
      <w:pPr>
        <w:spacing w:after="40"/>
      </w:pPr>
    </w:p>
    <w:tbl>
      <w:tblPr>
        <w:tblW w:type="dxa" w:w="9360"/>
        <w:tblBorders>
          <w:top w:val="single" w:color="C9D2DF" w:sz="4"/>
          <w:left w:val="single" w:color="C9D2DF" w:sz="4"/>
          <w:bottom w:val="single" w:color="C9D2DF" w:sz="4"/>
          <w:right w:val="single" w:color="C9D2DF" w:sz="4"/>
          <w:insideH w:val="none" w:color="FFFFFF" w:sz="0"/>
          <w:insideV w:val="none" w:color="FFFFFF" w:sz="0"/>
        </w:tblBorders>
      </w:tblPr>
      <w:tblGrid>
        <w:gridCol w:w="9360"/>
      </w:tblGrid>
      <w:tr>
        <w:tc>
          <w:tcPr>
            <w:tcW w:type="dxa" w:w="9360"/>
            <w:shd w:fill="EEF2F8" w:color="auto" w:val="clear"/>
            <w:tcMar>
              <w:top w:type="dxa" w:w="110"/>
              <w:left w:type="dxa" w:w="150"/>
              <w:bottom w:type="dxa" w:w="110"/>
              <w:right w:type="dxa" w:w="150"/>
            </w:tcMar>
          </w:tcPr>
          <w:p>
            <w:pPr>
              <w:spacing w:after="0" w:line="290"/>
              <w:jc w:val="center"/>
            </w:pPr>
            <w:r>
              <w:rPr>
                <w:b/>
                <w:bCs/>
                <w:color w:val="1F3864"/>
                <w:sz w:val="18"/>
                <w:szCs w:val="18"/>
              </w:rPr>
              <w:t xml:space="preserve">Ingestion</w:t>
            </w:r>
            <w:r>
              <w:rPr>
                <w:b/>
                <w:bCs/>
                <w:color w:val="2F6F6A"/>
                <w:sz w:val="18"/>
                <w:szCs w:val="18"/>
              </w:rPr>
              <w:t xml:space="preserve">  →  </w:t>
            </w:r>
            <w:r>
              <w:rPr>
                <w:b/>
                <w:bCs/>
                <w:color w:val="1F3864"/>
                <w:sz w:val="18"/>
                <w:szCs w:val="18"/>
              </w:rPr>
              <w:t xml:space="preserve">Feature Engineering</w:t>
            </w:r>
            <w:r>
              <w:rPr>
                <w:b/>
                <w:bCs/>
                <w:color w:val="2F6F6A"/>
                <w:sz w:val="18"/>
                <w:szCs w:val="18"/>
              </w:rPr>
              <w:t xml:space="preserve">  →  </w:t>
            </w:r>
            <w:r>
              <w:rPr>
                <w:b/>
                <w:bCs/>
                <w:color w:val="1F3864"/>
                <w:sz w:val="18"/>
                <w:szCs w:val="18"/>
              </w:rPr>
              <w:t xml:space="preserve">ML Ensemble</w:t>
            </w:r>
            <w:r>
              <w:rPr>
                <w:b/>
                <w:bCs/>
                <w:color w:val="2F6F6A"/>
                <w:sz w:val="18"/>
                <w:szCs w:val="18"/>
              </w:rPr>
              <w:t xml:space="preserve">  →  </w:t>
            </w:r>
            <w:r>
              <w:rPr>
                <w:b/>
                <w:bCs/>
                <w:color w:val="1F3864"/>
                <w:sz w:val="18"/>
                <w:szCs w:val="18"/>
              </w:rPr>
              <w:t xml:space="preserve">Explainability (SHAP)</w:t>
            </w:r>
            <w:r>
              <w:rPr>
                <w:b/>
                <w:bCs/>
                <w:color w:val="2F6F6A"/>
                <w:sz w:val="18"/>
                <w:szCs w:val="18"/>
              </w:rPr>
              <w:t xml:space="preserve">  →  </w:t>
            </w:r>
            <w:r>
              <w:rPr>
                <w:b/>
                <w:bCs/>
                <w:color w:val="1F3864"/>
                <w:sz w:val="18"/>
                <w:szCs w:val="18"/>
              </w:rPr>
              <w:t xml:space="preserve">Recommendation Engine</w:t>
            </w:r>
            <w:r>
              <w:rPr>
                <w:b/>
                <w:bCs/>
                <w:color w:val="2F6F6A"/>
                <w:sz w:val="18"/>
                <w:szCs w:val="18"/>
              </w:rPr>
              <w:t xml:space="preserve">  →  </w:t>
            </w:r>
            <w:r>
              <w:rPr>
                <w:b/>
                <w:bCs/>
                <w:color w:val="1F3864"/>
                <w:sz w:val="18"/>
                <w:szCs w:val="18"/>
              </w:rPr>
              <w:t xml:space="preserve">REST API</w:t>
            </w:r>
            <w:r>
              <w:rPr>
                <w:b/>
                <w:bCs/>
                <w:color w:val="2F6F6A"/>
                <w:sz w:val="18"/>
                <w:szCs w:val="18"/>
              </w:rPr>
              <w:t xml:space="preserve">  →  </w:t>
            </w:r>
            <w:r>
              <w:rPr>
                <w:b/>
                <w:bCs/>
                <w:color w:val="1F3864"/>
                <w:sz w:val="18"/>
                <w:szCs w:val="18"/>
              </w:rPr>
              <w:t xml:space="preserve">Dashboard / GIS</w:t>
            </w:r>
          </w:p>
        </w:tc>
      </w:tr>
    </w:tbl>
    <w:p>
      <w:pPr>
        <w:pStyle w:val="Heading1"/>
      </w:pPr>
      <w:r>
        <w:t xml:space="preserve">2. Data Model</w:t>
      </w:r>
    </w:p>
    <w:p>
      <w:pPr>
        <w:spacing w:after="140" w:line="276"/>
        <w:jc w:val="both"/>
      </w:pPr>
      <w:r>
        <w:rPr>
          <w:b w:val="false"/>
          <w:bCs w:val="false"/>
          <w:i w:val="false"/>
          <w:iCs w:val="false"/>
          <w:color w:val="222222"/>
          <w:sz w:val="22"/>
          <w:szCs w:val="22"/>
        </w:rPr>
        <w:t xml:space="preserve">All project information is normalized into a relational schema in PostgreSQL, with PostGIS geometry for spatial data. The prediction and recommendation outputs are persisted so that history is queryable and every score is reproducible against the model version that produced it.</w:t>
      </w:r>
    </w:p>
    <w:p>
      <w:pPr>
        <w:spacing w:after="40"/>
      </w:pP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1700"/>
        <w:gridCol w:w="2650"/>
        <w:gridCol w:w="5010"/>
      </w:tblGrid>
      <w:tr>
        <w:trPr>
          <w:tblHeader/>
        </w:trPr>
        <w:tc>
          <w:tcPr>
            <w:tcW w:type="dxa" w:w="1700"/>
            <w:shd w:fill="1F3864" w:color="auto" w:val="clear"/>
            <w:tcMar>
              <w:top w:type="dxa" w:w="66"/>
              <w:left w:type="dxa" w:w="120"/>
              <w:bottom w:type="dxa" w:w="66"/>
              <w:right w:type="dxa" w:w="120"/>
            </w:tcMar>
          </w:tcPr>
          <w:p>
            <w:pPr>
              <w:spacing w:after="0" w:line="260"/>
            </w:pPr>
            <w:r>
              <w:rPr>
                <w:b/>
                <w:bCs/>
                <w:color w:val="FFFFFF"/>
                <w:sz w:val="20"/>
                <w:szCs w:val="20"/>
              </w:rPr>
              <w:t xml:space="preserve">Table</w:t>
            </w:r>
          </w:p>
        </w:tc>
        <w:tc>
          <w:tcPr>
            <w:tcW w:type="dxa" w:w="2650"/>
            <w:shd w:fill="1F3864" w:color="auto" w:val="clear"/>
            <w:tcMar>
              <w:top w:type="dxa" w:w="66"/>
              <w:left w:type="dxa" w:w="120"/>
              <w:bottom w:type="dxa" w:w="66"/>
              <w:right w:type="dxa" w:w="120"/>
            </w:tcMar>
          </w:tcPr>
          <w:p>
            <w:pPr>
              <w:spacing w:after="0" w:line="260"/>
            </w:pPr>
            <w:r>
              <w:rPr>
                <w:b/>
                <w:bCs/>
                <w:color w:val="FFFFFF"/>
                <w:sz w:val="20"/>
                <w:szCs w:val="20"/>
              </w:rPr>
              <w:t xml:space="preserve">Purpose</w:t>
            </w:r>
          </w:p>
        </w:tc>
        <w:tc>
          <w:tcPr>
            <w:tcW w:type="dxa" w:w="5010"/>
            <w:shd w:fill="1F3864" w:color="auto" w:val="clear"/>
            <w:tcMar>
              <w:top w:type="dxa" w:w="66"/>
              <w:left w:type="dxa" w:w="120"/>
              <w:bottom w:type="dxa" w:w="66"/>
              <w:right w:type="dxa" w:w="120"/>
            </w:tcMar>
          </w:tcPr>
          <w:p>
            <w:pPr>
              <w:spacing w:after="0" w:line="260"/>
            </w:pPr>
            <w:r>
              <w:rPr>
                <w:b/>
                <w:bCs/>
                <w:color w:val="FFFFFF"/>
                <w:sz w:val="20"/>
                <w:szCs w:val="20"/>
              </w:rPr>
              <w:t xml:space="preserve">Key Columns</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projects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Master record per acquisition project</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project_id (PK), type, state, district, geom (POINT), land_area_ha, affected_families, parcels, project_cost, current_stage</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stages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Lifecycle stage timeline per project</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stage_id, project_id (FK), stage_name, planned_start/end, actual_start/end, status</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compensation</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Compensation status</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project_id, assessed, paid, pending, beneficiaries, avg_payment_delay_days</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legal_cases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Disputes &amp; litigation</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status, court, filed_date, resolved_date</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rr_records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Rehabilitation &amp; resettlement</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families_required, families_resettled, progress_pct</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documents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Documentation &amp; ownership</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doc_type, verified, missing, ownership_conflict</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stakeholders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Departmental responsiveness</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dept, avg_response_days, pending_responses</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predictions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Model outputs (versioned)</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model_version, risk_score, delay_prob, expected_delay_days, predicted_at</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recommendations</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Ranked what-if actions</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id, project_id, action, expected_risk_reduction, rank, generated_at</w:t>
            </w:r>
          </w:p>
        </w:tc>
      </w:tr>
      <w:tr>
        <w:tc>
          <w:tcPr>
            <w:tcW w:type="dxa" w:w="1700"/>
            <w:tcMar>
              <w:top w:type="dxa" w:w="54"/>
              <w:left w:type="dxa" w:w="120"/>
              <w:bottom w:type="dxa" w:w="54"/>
              <w:right w:type="dxa" w:w="120"/>
            </w:tcMar>
          </w:tcPr>
          <w:p>
            <w:pPr>
              <w:spacing w:after="0" w:line="258"/>
            </w:pPr>
            <w:r>
              <w:rPr>
                <w:b w:val="false"/>
                <w:bCs w:val="false"/>
                <w:color w:val="222222"/>
                <w:sz w:val="19"/>
                <w:szCs w:val="19"/>
              </w:rPr>
              <w:t xml:space="preserve">users / audit_log</w:t>
            </w:r>
          </w:p>
        </w:tc>
        <w:tc>
          <w:tcPr>
            <w:tcW w:type="dxa" w:w="2650"/>
            <w:tcMar>
              <w:top w:type="dxa" w:w="54"/>
              <w:left w:type="dxa" w:w="120"/>
              <w:bottom w:type="dxa" w:w="54"/>
              <w:right w:type="dxa" w:w="120"/>
            </w:tcMar>
          </w:tcPr>
          <w:p>
            <w:pPr>
              <w:spacing w:after="0" w:line="258"/>
            </w:pPr>
            <w:r>
              <w:rPr>
                <w:b w:val="false"/>
                <w:bCs w:val="false"/>
                <w:color w:val="222222"/>
                <w:sz w:val="19"/>
                <w:szCs w:val="19"/>
              </w:rPr>
              <w:t xml:space="preserve">RBAC identities &amp; audit trail</w:t>
            </w:r>
          </w:p>
        </w:tc>
        <w:tc>
          <w:tcPr>
            <w:tcW w:type="dxa" w:w="5010"/>
            <w:tcMar>
              <w:top w:type="dxa" w:w="54"/>
              <w:left w:type="dxa" w:w="120"/>
              <w:bottom w:type="dxa" w:w="54"/>
              <w:right w:type="dxa" w:w="120"/>
            </w:tcMar>
          </w:tcPr>
          <w:p>
            <w:pPr>
              <w:spacing w:after="0" w:line="258"/>
            </w:pPr>
            <w:r>
              <w:rPr>
                <w:b w:val="false"/>
                <w:bCs w:val="false"/>
                <w:color w:val="222222"/>
                <w:sz w:val="19"/>
                <w:szCs w:val="19"/>
              </w:rPr>
              <w:t xml:space="preserve">users(id, role, jurisdiction); audit_log(user_id, action, entity, entity_id, ts)</w:t>
            </w:r>
          </w:p>
        </w:tc>
      </w:tr>
    </w:tbl>
    <w:p>
      <w:pPr>
        <w:pStyle w:val="Heading1"/>
      </w:pPr>
      <w:r>
        <w:t xml:space="preserve">3. Synthetic Data Generation</w:t>
      </w:r>
    </w:p>
    <w:p>
      <w:pPr>
        <w:spacing w:after="140" w:line="276"/>
        <w:jc w:val="both"/>
      </w:pPr>
      <w:r>
        <w:rPr>
          <w:b w:val="false"/>
          <w:bCs w:val="false"/>
          <w:i w:val="false"/>
          <w:iCs w:val="false"/>
          <w:color w:val="222222"/>
          <w:sz w:val="22"/>
          <w:szCs w:val="22"/>
        </w:rPr>
        <w:t xml:space="preserve">Because live, project-level DoLR records are access-restricted, the models are trained and validated on a domain-informed synthetic dataset. The generator is designed to be defensible rather than arbitrary: its marginal distributions and driver weights are anchored to published Government of India figures (MoSPI overrun reporting, open-data records of projects delayed by land acquisition, and audit/parliamentary findings on dominant delay causes), and the delay label is a stochastic — not deterministic — function of the drivers, which prevents the model from simply memorizing the generation rule.</w:t>
      </w:r>
    </w:p>
    <w:p>
      <w:pPr>
        <w:spacing w:after="140" w:line="276"/>
        <w:jc w:val="both"/>
      </w:pPr>
      <w:r>
        <w:rPr>
          <w:b w:val="false"/>
          <w:bCs w:val="false"/>
          <w:i w:val="false"/>
          <w:iCs w:val="false"/>
          <w:color w:val="222222"/>
          <w:sz w:val="22"/>
          <w:szCs w:val="22"/>
        </w:rPr>
        <w:t xml:space="preserve">The generation procedure is:</w:t>
      </w:r>
    </w:p>
    <w:p>
      <w:pPr>
        <w:pStyle w:val="ListParagraph"/>
        <w:numPr>
          <w:ilvl w:val="0"/>
          <w:numId w:val="2"/>
        </w:numPr>
        <w:spacing w:after="70" w:line="270"/>
      </w:pPr>
      <w:r>
        <w:rPr>
          <w:color w:val="222222"/>
          <w:sz w:val="22"/>
          <w:szCs w:val="22"/>
        </w:rPr>
        <w:t xml:space="preserve">Sample project attributes (type, state/district, land area, affected families, cost) from realistic marginal distributions and regional weightings.</w:t>
      </w:r>
    </w:p>
    <w:p>
      <w:pPr>
        <w:pStyle w:val="ListParagraph"/>
        <w:numPr>
          <w:ilvl w:val="0"/>
          <w:numId w:val="2"/>
        </w:numPr>
        <w:spacing w:after="70" w:line="270"/>
      </w:pPr>
      <w:r>
        <w:rPr>
          <w:color w:val="222222"/>
          <w:sz w:val="22"/>
          <w:szCs w:val="22"/>
        </w:rPr>
        <w:t xml:space="preserve">Simulate stage progression as a semi-Markov process: each stage's duration is drawn from a distribution conditioned on the project's risk drivers (e.g., high pending compensation and open disputes lengthen the compensation and possession stages).</w:t>
      </w:r>
    </w:p>
    <w:p>
      <w:pPr>
        <w:pStyle w:val="ListParagraph"/>
        <w:numPr>
          <w:ilvl w:val="0"/>
          <w:numId w:val="2"/>
        </w:numPr>
        <w:spacing w:after="70" w:line="270"/>
      </w:pPr>
      <w:r>
        <w:rPr>
          <w:color w:val="222222"/>
          <w:sz w:val="22"/>
          <w:szCs w:val="22"/>
        </w:rPr>
        <w:t xml:space="preserve">Derive latent risk from a weighted combination of drivers, add exogenous noise representing unobserved factors, then map to outcomes — a binary delay label and an expected-delay-in-days value.</w:t>
      </w:r>
    </w:p>
    <w:p>
      <w:pPr>
        <w:pStyle w:val="ListParagraph"/>
        <w:numPr>
          <w:ilvl w:val="0"/>
          <w:numId w:val="2"/>
        </w:numPr>
        <w:spacing w:after="70" w:line="270"/>
      </w:pPr>
      <w:r>
        <w:rPr>
          <w:rFonts w:ascii="Consolas" w:cs="Consolas" w:eastAsia="Consolas" w:hAnsi="Consolas"/>
          <w:b w:val="false"/>
          <w:bCs w:val="false"/>
          <w:color w:val="222222"/>
          <w:sz w:val="20"/>
          <w:szCs w:val="20"/>
        </w:rPr>
        <w:t xml:space="preserve">delay ~ Bernoulli(sigmoid(β·drivers + ε))</w:t>
      </w:r>
      <w:r>
        <w:rPr>
          <w:color w:val="222222"/>
          <w:sz w:val="22"/>
          <w:szCs w:val="22"/>
        </w:rPr>
        <w:t xml:space="preserve">  — the noise term ε caps achievable accuracy in a realistic range (~0.80–0.88 AUC) instead of an implausible ~0.99.</w:t>
      </w:r>
    </w:p>
    <w:p>
      <w:pPr>
        <w:spacing w:after="40"/>
      </w:pPr>
    </w:p>
    <w:p>
      <w:pPr>
        <w:spacing w:after="140" w:line="276"/>
        <w:jc w:val="both"/>
      </w:pPr>
      <w:r>
        <w:rPr>
          <w:b/>
          <w:bCs/>
          <w:color w:val="1F3864"/>
          <w:sz w:val="22"/>
          <w:szCs w:val="22"/>
        </w:rPr>
        <w:t xml:space="preserve">Design intent.  </w:t>
      </w:r>
      <w:r>
        <w:rPr>
          <w:color w:val="222222"/>
          <w:sz w:val="22"/>
          <w:szCs w:val="22"/>
        </w:rPr>
        <w:t xml:space="preserve">The same schema and pipeline ingest real records unchanged; the synthetic generator is a stand-in for the data source, not a dependency of the model. When real DoLR data arrives through the API, the identical feature and training pipeline retrains on it.</w:t>
      </w:r>
    </w:p>
    <w:p>
      <w:pPr>
        <w:pStyle w:val="Heading1"/>
      </w:pPr>
      <w:r>
        <w:t xml:space="preserve">4. Feature Engineering</w:t>
      </w:r>
    </w:p>
    <w:p>
      <w:pPr>
        <w:spacing w:after="140" w:line="276"/>
        <w:jc w:val="both"/>
      </w:pPr>
      <w:r>
        <w:rPr>
          <w:b w:val="false"/>
          <w:bCs w:val="false"/>
          <w:i w:val="false"/>
          <w:iCs w:val="false"/>
          <w:color w:val="222222"/>
          <w:sz w:val="22"/>
          <w:szCs w:val="22"/>
        </w:rPr>
        <w:t xml:space="preserve">Raw records are transformed into model-ready features computed strictly as-of the prediction time, so that no information from the future of a project leaks into its own prediction. Beyond the raw fields, the engineered set includes ratios and rates (compensation-paid ratio, R&amp;R progress, disputes-per-parcel), temporal features (days elapsed in the current stage, days since preliminary notification, stage-transition velocity), backlog indicators (pending approvals, pending responses, missing-document count), and historical-performance features (average delay for the district and the executing department).</w:t>
      </w:r>
    </w:p>
    <w:p>
      <w:pPr>
        <w:spacing w:after="140" w:line="276"/>
        <w:jc w:val="both"/>
      </w:pPr>
      <w:r>
        <w:rPr>
          <w:b w:val="false"/>
          <w:bCs w:val="false"/>
          <w:i w:val="false"/>
          <w:iCs w:val="false"/>
          <w:color w:val="222222"/>
          <w:sz w:val="22"/>
          <w:szCs w:val="22"/>
        </w:rPr>
        <w:t xml:space="preserve">Categorical fields (project type, state, department) use target or ordinal encoding; skewed monetary and area fields are log-transformed; missing values are imputed with explicit missingness indicators so that “not recorded” is itself a signal. For the time-to-event model, each project is expanded into person-period rows — one row per stage interval up to delay or censoring — carrying only the features observable at that interval.</w:t>
      </w:r>
    </w:p>
    <w:p>
      <w:pPr>
        <w:spacing w:after="40"/>
      </w:pPr>
    </w:p>
    <w:tbl>
      <w:tblPr>
        <w:tblW w:type="dxa" w:w="9360"/>
        <w:tblBorders>
          <w:top w:val="single" w:color="C9D2DF" w:sz="4"/>
          <w:left w:val="single" w:color="2F6F6A" w:sz="16"/>
          <w:bottom w:val="single" w:color="C9D2DF" w:sz="4"/>
          <w:right w:val="single" w:color="C9D2DF" w:sz="4"/>
          <w:insideH w:val="none" w:color="FFFFFF" w:sz="0"/>
          <w:insideV w:val="none" w:color="FFFFFF" w:sz="0"/>
        </w:tblBorders>
      </w:tblPr>
      <w:tblGrid>
        <w:gridCol w:w="9360"/>
      </w:tblGrid>
      <w:tr>
        <w:tc>
          <w:tcPr>
            <w:tcW w:type="dxa" w:w="9360"/>
            <w:shd w:fill="F3F4F6" w:color="auto" w:val="clear"/>
            <w:tcMar>
              <w:top w:type="dxa" w:w="120"/>
              <w:left w:type="dxa" w:w="170"/>
              <w:bottom w:type="dxa" w:w="120"/>
              <w:right w:type="dxa" w:w="140"/>
            </w:tcMar>
          </w:tcPr>
          <w:p>
            <w:pPr>
              <w:spacing w:after="40" w:line="240"/>
            </w:pPr>
            <w:r>
              <w:rPr>
                <w:rFonts w:ascii="Consolas" w:cs="Consolas" w:eastAsia="Consolas" w:hAnsi="Consolas"/>
                <w:b/>
                <w:bCs/>
                <w:color w:val="2F6F6A"/>
                <w:sz w:val="17"/>
                <w:szCs w:val="17"/>
              </w:rPr>
              <w:t xml:space="preserve">feature build</w:t>
            </w:r>
          </w:p>
          <w:p>
            <w:pPr>
              <w:spacing w:after="0" w:line="240"/>
            </w:pPr>
            <w:r>
              <w:rPr>
                <w:rFonts w:ascii="Consolas" w:cs="Consolas" w:eastAsia="Consolas" w:hAnsi="Consolas"/>
                <w:color w:val="2B2B2B"/>
                <w:sz w:val="18"/>
                <w:szCs w:val="18"/>
              </w:rPr>
              <w:t xml:space="preserve"># discrete-time survival: person-period expansion</w:t>
            </w:r>
          </w:p>
          <w:p>
            <w:pPr>
              <w:spacing w:after="0" w:line="240"/>
            </w:pPr>
            <w:r>
              <w:rPr>
                <w:rFonts w:ascii="Consolas" w:cs="Consolas" w:eastAsia="Consolas" w:hAnsi="Consolas"/>
                <w:color w:val="2B2B2B"/>
                <w:sz w:val="18"/>
                <w:szCs w:val="18"/>
              </w:rPr>
              <w:t xml:space="preserve">rows = []</w:t>
            </w:r>
          </w:p>
          <w:p>
            <w:pPr>
              <w:spacing w:after="0" w:line="240"/>
            </w:pPr>
            <w:r>
              <w:rPr>
                <w:rFonts w:ascii="Consolas" w:cs="Consolas" w:eastAsia="Consolas" w:hAnsi="Consolas"/>
                <w:color w:val="2B2B2B"/>
                <w:sz w:val="18"/>
                <w:szCs w:val="18"/>
              </w:rPr>
              <w:t xml:space="preserve">for prj in projects:</w:t>
            </w:r>
          </w:p>
          <w:p>
            <w:pPr>
              <w:spacing w:after="0" w:line="240"/>
            </w:pPr>
            <w:r>
              <w:rPr>
                <w:rFonts w:ascii="Consolas" w:cs="Consolas" w:eastAsia="Consolas" w:hAnsi="Consolas"/>
                <w:color w:val="2B2B2B"/>
                <w:sz w:val="18"/>
                <w:szCs w:val="18"/>
              </w:rPr>
              <w:t xml:space="preserve">    for t, stage in enumerate(prj.stages_until_event):</w:t>
            </w:r>
          </w:p>
          <w:p>
            <w:pPr>
              <w:spacing w:after="0" w:line="240"/>
            </w:pPr>
            <w:r>
              <w:rPr>
                <w:rFonts w:ascii="Consolas" w:cs="Consolas" w:eastAsia="Consolas" w:hAnsi="Consolas"/>
                <w:color w:val="2B2B2B"/>
                <w:sz w:val="18"/>
                <w:szCs w:val="18"/>
              </w:rPr>
              <w:t xml:space="preserve">        rows.append({</w:t>
            </w:r>
          </w:p>
          <w:p>
            <w:pPr>
              <w:spacing w:after="0" w:line="240"/>
            </w:pPr>
            <w:r>
              <w:rPr>
                <w:rFonts w:ascii="Consolas" w:cs="Consolas" w:eastAsia="Consolas" w:hAnsi="Consolas"/>
                <w:color w:val="2B2B2B"/>
                <w:sz w:val="18"/>
                <w:szCs w:val="18"/>
              </w:rPr>
              <w:t xml:space="preserve">            **as_of_features(prj, stage),   # only info known at interval t</w:t>
            </w:r>
          </w:p>
          <w:p>
            <w:pPr>
              <w:spacing w:after="0" w:line="240"/>
            </w:pPr>
            <w:r>
              <w:rPr>
                <w:rFonts w:ascii="Consolas" w:cs="Consolas" w:eastAsia="Consolas" w:hAnsi="Consolas"/>
                <w:color w:val="2B2B2B"/>
                <w:sz w:val="18"/>
                <w:szCs w:val="18"/>
              </w:rPr>
              <w:t xml:space="preserve">            'interval':     t,</w:t>
            </w:r>
          </w:p>
          <w:p>
            <w:pPr>
              <w:spacing w:after="0" w:line="240"/>
            </w:pPr>
            <w:r>
              <w:rPr>
                <w:rFonts w:ascii="Consolas" w:cs="Consolas" w:eastAsia="Consolas" w:hAnsi="Consolas"/>
                <w:color w:val="2B2B2B"/>
                <w:sz w:val="18"/>
                <w:szCs w:val="18"/>
              </w:rPr>
              <w:t xml:space="preserve">            'delayed_here': int(stage.delayed)   # event indicator</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 any classifier now estimates the discrete hazard  h(t | x)</w:t>
            </w:r>
          </w:p>
          <w:p>
            <w:pPr>
              <w:spacing w:after="0" w:line="240"/>
            </w:pPr>
            <w:r>
              <w:rPr>
                <w:rFonts w:ascii="Consolas" w:cs="Consolas" w:eastAsia="Consolas" w:hAnsi="Consolas"/>
                <w:color w:val="2B2B2B"/>
                <w:sz w:val="18"/>
                <w:szCs w:val="18"/>
              </w:rPr>
              <w:t xml:space="preserve"># survival  S(t) = Π (1 - h(k)) for k &lt;= t ;  E[delay] from the survival curve</w:t>
            </w:r>
          </w:p>
        </w:tc>
      </w:tr>
    </w:tbl>
    <w:p>
      <w:pPr>
        <w:pStyle w:val="Heading1"/>
      </w:pPr>
      <w:r>
        <w:t xml:space="preserve">5. Machine-Learning Methodology</w:t>
      </w:r>
    </w:p>
    <w:p>
      <w:pPr>
        <w:spacing w:after="140" w:line="276"/>
        <w:jc w:val="both"/>
      </w:pPr>
      <w:r>
        <w:rPr>
          <w:b w:val="false"/>
          <w:bCs w:val="false"/>
          <w:i w:val="false"/>
          <w:iCs w:val="false"/>
          <w:color w:val="222222"/>
          <w:sz w:val="22"/>
          <w:szCs w:val="22"/>
        </w:rPr>
        <w:t xml:space="preserve">The prediction problem is posed as three coordinated heads over the same feature set, so that a single training run yields the probability, the timing, and the stage-level view the product needs.</w:t>
      </w: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2200"/>
        <w:gridCol w:w="4560"/>
        <w:gridCol w:w="2600"/>
      </w:tblGrid>
      <w:tr>
        <w:trPr>
          <w:tblHeader/>
        </w:trPr>
        <w:tc>
          <w:tcPr>
            <w:tcW w:type="dxa" w:w="2200"/>
            <w:shd w:fill="1F3864" w:color="auto" w:val="clear"/>
            <w:tcMar>
              <w:top w:type="dxa" w:w="66"/>
              <w:left w:type="dxa" w:w="120"/>
              <w:bottom w:type="dxa" w:w="66"/>
              <w:right w:type="dxa" w:w="120"/>
            </w:tcMar>
          </w:tcPr>
          <w:p>
            <w:pPr>
              <w:spacing w:after="0" w:line="260"/>
            </w:pPr>
            <w:r>
              <w:rPr>
                <w:b/>
                <w:bCs/>
                <w:color w:val="FFFFFF"/>
                <w:sz w:val="20"/>
                <w:szCs w:val="20"/>
              </w:rPr>
              <w:t xml:space="preserve">Head</w:t>
            </w:r>
          </w:p>
        </w:tc>
        <w:tc>
          <w:tcPr>
            <w:tcW w:type="dxa" w:w="4560"/>
            <w:shd w:fill="1F3864" w:color="auto" w:val="clear"/>
            <w:tcMar>
              <w:top w:type="dxa" w:w="66"/>
              <w:left w:type="dxa" w:w="120"/>
              <w:bottom w:type="dxa" w:w="66"/>
              <w:right w:type="dxa" w:w="120"/>
            </w:tcMar>
          </w:tcPr>
          <w:p>
            <w:pPr>
              <w:spacing w:after="0" w:line="260"/>
            </w:pPr>
            <w:r>
              <w:rPr>
                <w:b/>
                <w:bCs/>
                <w:color w:val="FFFFFF"/>
                <w:sz w:val="20"/>
                <w:szCs w:val="20"/>
              </w:rPr>
              <w:t xml:space="preserve">Formulation</w:t>
            </w:r>
          </w:p>
        </w:tc>
        <w:tc>
          <w:tcPr>
            <w:tcW w:type="dxa" w:w="2600"/>
            <w:shd w:fill="1F3864" w:color="auto" w:val="clear"/>
            <w:tcMar>
              <w:top w:type="dxa" w:w="66"/>
              <w:left w:type="dxa" w:w="120"/>
              <w:bottom w:type="dxa" w:w="66"/>
              <w:right w:type="dxa" w:w="120"/>
            </w:tcMar>
          </w:tcPr>
          <w:p>
            <w:pPr>
              <w:spacing w:after="0" w:line="260"/>
            </w:pPr>
            <w:r>
              <w:rPr>
                <w:b/>
                <w:bCs/>
                <w:color w:val="FFFFFF"/>
                <w:sz w:val="20"/>
                <w:szCs w:val="20"/>
              </w:rPr>
              <w:t xml:space="preserve">Output</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Delay classification</w:t>
            </w:r>
          </w:p>
        </w:tc>
        <w:tc>
          <w:tcPr>
            <w:tcW w:type="dxa" w:w="4560"/>
            <w:tcMar>
              <w:top w:type="dxa" w:w="54"/>
              <w:left w:type="dxa" w:w="120"/>
              <w:bottom w:type="dxa" w:w="54"/>
              <w:right w:type="dxa" w:w="120"/>
            </w:tcMar>
          </w:tcPr>
          <w:p>
            <w:pPr>
              <w:spacing w:after="0" w:line="258"/>
            </w:pPr>
            <w:r>
              <w:rPr>
                <w:b w:val="false"/>
                <w:bCs w:val="false"/>
                <w:color w:val="222222"/>
                <w:sz w:val="19"/>
                <w:szCs w:val="19"/>
              </w:rPr>
              <w:t xml:space="preserve">Binary classifier on the delayed/not label</w:t>
            </w:r>
          </w:p>
        </w:tc>
        <w:tc>
          <w:tcPr>
            <w:tcW w:type="dxa" w:w="2600"/>
            <w:tcMar>
              <w:top w:type="dxa" w:w="54"/>
              <w:left w:type="dxa" w:w="120"/>
              <w:bottom w:type="dxa" w:w="54"/>
              <w:right w:type="dxa" w:w="120"/>
            </w:tcMar>
          </w:tcPr>
          <w:p>
            <w:pPr>
              <w:spacing w:after="0" w:line="258"/>
            </w:pPr>
            <w:r>
              <w:rPr>
                <w:b w:val="false"/>
                <w:bCs w:val="false"/>
                <w:color w:val="222222"/>
                <w:sz w:val="19"/>
                <w:szCs w:val="19"/>
              </w:rPr>
              <w:t xml:space="preserve">Delay probability (→ 0–100 risk score)</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Time-to-event</w:t>
            </w:r>
          </w:p>
        </w:tc>
        <w:tc>
          <w:tcPr>
            <w:tcW w:type="dxa" w:w="4560"/>
            <w:tcMar>
              <w:top w:type="dxa" w:w="54"/>
              <w:left w:type="dxa" w:w="120"/>
              <w:bottom w:type="dxa" w:w="54"/>
              <w:right w:type="dxa" w:w="120"/>
            </w:tcMar>
          </w:tcPr>
          <w:p>
            <w:pPr>
              <w:spacing w:after="0" w:line="258"/>
            </w:pPr>
            <w:r>
              <w:rPr>
                <w:b w:val="false"/>
                <w:bCs w:val="false"/>
                <w:color w:val="222222"/>
                <w:sz w:val="19"/>
                <w:szCs w:val="19"/>
              </w:rPr>
              <w:t xml:space="preserve">Discrete-time survival via person-period hazard, or gradient-boosted survival (Cox-based)</w:t>
            </w:r>
          </w:p>
        </w:tc>
        <w:tc>
          <w:tcPr>
            <w:tcW w:type="dxa" w:w="2600"/>
            <w:tcMar>
              <w:top w:type="dxa" w:w="54"/>
              <w:left w:type="dxa" w:w="120"/>
              <w:bottom w:type="dxa" w:w="54"/>
              <w:right w:type="dxa" w:w="120"/>
            </w:tcMar>
          </w:tcPr>
          <w:p>
            <w:pPr>
              <w:spacing w:after="0" w:line="258"/>
            </w:pPr>
            <w:r>
              <w:rPr>
                <w:b w:val="false"/>
                <w:bCs w:val="false"/>
                <w:color w:val="222222"/>
                <w:sz w:val="19"/>
                <w:szCs w:val="19"/>
              </w:rPr>
              <w:t xml:space="preserve">Survival curve, expected delay in days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Stage-wise risk</w:t>
            </w:r>
          </w:p>
        </w:tc>
        <w:tc>
          <w:tcPr>
            <w:tcW w:type="dxa" w:w="4560"/>
            <w:tcMar>
              <w:top w:type="dxa" w:w="54"/>
              <w:left w:type="dxa" w:w="120"/>
              <w:bottom w:type="dxa" w:w="54"/>
              <w:right w:type="dxa" w:w="120"/>
            </w:tcMar>
          </w:tcPr>
          <w:p>
            <w:pPr>
              <w:spacing w:after="0" w:line="258"/>
            </w:pPr>
            <w:r>
              <w:rPr>
                <w:b w:val="false"/>
                <w:bCs w:val="false"/>
                <w:color w:val="222222"/>
                <w:sz w:val="19"/>
                <w:szCs w:val="19"/>
              </w:rPr>
              <w:t xml:space="preserve">Per-interval hazard from the survival head</w:t>
            </w:r>
          </w:p>
        </w:tc>
        <w:tc>
          <w:tcPr>
            <w:tcW w:type="dxa" w:w="2600"/>
            <w:tcMar>
              <w:top w:type="dxa" w:w="54"/>
              <w:left w:type="dxa" w:w="120"/>
              <w:bottom w:type="dxa" w:w="54"/>
              <w:right w:type="dxa" w:w="120"/>
            </w:tcMar>
          </w:tcPr>
          <w:p>
            <w:pPr>
              <w:spacing w:after="0" w:line="258"/>
            </w:pPr>
            <w:r>
              <w:rPr>
                <w:b w:val="false"/>
                <w:bCs w:val="false"/>
                <w:color w:val="222222"/>
                <w:sz w:val="19"/>
                <w:szCs w:val="19"/>
              </w:rPr>
              <w:t xml:space="preserve">Delay probability at each lifecycle stage</w:t>
            </w:r>
          </w:p>
        </w:tc>
      </w:tr>
    </w:tbl>
    <w:p>
      <w:pPr>
        <w:spacing w:after="80"/>
      </w:pPr>
    </w:p>
    <w:p>
      <w:pPr>
        <w:pStyle w:val="Heading2"/>
      </w:pPr>
      <w:r>
        <w:t xml:space="preserve">5.1  Models</w:t>
      </w:r>
    </w:p>
    <w:p>
      <w:pPr>
        <w:spacing w:after="140" w:line="276"/>
        <w:jc w:val="both"/>
      </w:pPr>
      <w:r>
        <w:rPr>
          <w:b w:val="false"/>
          <w:bCs w:val="false"/>
          <w:i w:val="false"/>
          <w:iCs w:val="false"/>
          <w:color w:val="222222"/>
          <w:sz w:val="22"/>
          <w:szCs w:val="22"/>
        </w:rPr>
        <w:t xml:space="preserve">A regularized logistic regression serves as an interpretable baseline. The primary models are gradient-boosted decision trees (XGBoost / LightGBM), which are state-of-the-art on heterogeneous tabular data and integrate cleanly with fast, exact TreeSHAP explanations. For the time-to-event head, a gradient-boosted survival model (scikit-survival) or the discrete-time hazard reformulation above is used, both of which handle the right-censored, still-in-progress projects that dominate the live portfolio.</w:t>
      </w:r>
    </w:p>
    <w:p>
      <w:pPr>
        <w:pStyle w:val="Heading2"/>
      </w:pPr>
      <w:r>
        <w:t xml:space="preserve">5.2  Class Imbalance &amp; Threshold</w:t>
      </w:r>
    </w:p>
    <w:p>
      <w:pPr>
        <w:spacing w:after="140" w:line="276"/>
        <w:jc w:val="both"/>
      </w:pPr>
      <w:r>
        <w:rPr>
          <w:b w:val="false"/>
          <w:bCs w:val="false"/>
          <w:i w:val="false"/>
          <w:iCs w:val="false"/>
          <w:color w:val="222222"/>
          <w:sz w:val="22"/>
          <w:szCs w:val="22"/>
        </w:rPr>
        <w:t xml:space="preserve">Delayed projects are the minority class, and — critically for a decision-support tool — missing a genuinely at-risk project is far costlier than a false alarm. Training therefore uses class weights (and optionally focal loss); SMOTE-style oversampling is treated with caution to avoid distorting calibration. The decision threshold is tuned on the precision–recall curve to favour recall on the high-risk classes, and the operating point is reported explicitly.</w:t>
      </w:r>
    </w:p>
    <w:p>
      <w:pPr>
        <w:pStyle w:val="Heading2"/>
      </w:pPr>
      <w:r>
        <w:t xml:space="preserve">5.3  Calibration</w:t>
      </w:r>
    </w:p>
    <w:p>
      <w:pPr>
        <w:spacing w:after="140" w:line="276"/>
        <w:jc w:val="both"/>
      </w:pPr>
      <w:r>
        <w:rPr>
          <w:b w:val="false"/>
          <w:bCs w:val="false"/>
          <w:i w:val="false"/>
          <w:iCs w:val="false"/>
          <w:color w:val="222222"/>
          <w:sz w:val="22"/>
          <w:szCs w:val="22"/>
        </w:rPr>
        <w:t xml:space="preserve">Because officials act on the stated probability, discrimination alone is insufficient — the probabilities must be calibrated. Model scores are calibrated with isotonic or Platt scaling and validated with a reliability curve and the Brier score, so that “80% risk” corresponds to roughly an 80% observed delay rate.</w:t>
      </w:r>
    </w:p>
    <w:p>
      <w:pPr>
        <w:pStyle w:val="Heading2"/>
      </w:pPr>
      <w:r>
        <w:t xml:space="preserve">5.4  Training &amp; Validation</w:t>
      </w:r>
    </w:p>
    <w:p>
      <w:pPr>
        <w:spacing w:after="140" w:line="276"/>
        <w:jc w:val="both"/>
      </w:pPr>
      <w:r>
        <w:rPr>
          <w:b w:val="false"/>
          <w:bCs w:val="false"/>
          <w:i w:val="false"/>
          <w:iCs w:val="false"/>
          <w:color w:val="222222"/>
          <w:sz w:val="22"/>
          <w:szCs w:val="22"/>
        </w:rPr>
        <w:t xml:space="preserve">To avoid temporal leakage, splits are chronological rather than random: models train on earlier projects and validate on later ones, with grouping by project so no project spans train and test. Hyperparameters are tuned with cross-validated Bayesian search (Optuna). Every run logs its parameters, metrics, and artifacts for reproducibility.</w:t>
      </w:r>
    </w:p>
    <w:p>
      <w:pPr>
        <w:pStyle w:val="Heading2"/>
      </w:pPr>
      <w:r>
        <w:t xml:space="preserve">5.5  Evaluation Metrics</w:t>
      </w: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2200"/>
        <w:gridCol w:w="5160"/>
        <w:gridCol w:w="2000"/>
      </w:tblGrid>
      <w:tr>
        <w:trPr>
          <w:tblHeader/>
        </w:trPr>
        <w:tc>
          <w:tcPr>
            <w:tcW w:type="dxa" w:w="2200"/>
            <w:shd w:fill="1F3864" w:color="auto" w:val="clear"/>
            <w:tcMar>
              <w:top w:type="dxa" w:w="66"/>
              <w:left w:type="dxa" w:w="120"/>
              <w:bottom w:type="dxa" w:w="66"/>
              <w:right w:type="dxa" w:w="120"/>
            </w:tcMar>
          </w:tcPr>
          <w:p>
            <w:pPr>
              <w:spacing w:after="0" w:line="260"/>
            </w:pPr>
            <w:r>
              <w:rPr>
                <w:b/>
                <w:bCs/>
                <w:color w:val="FFFFFF"/>
                <w:sz w:val="20"/>
                <w:szCs w:val="20"/>
              </w:rPr>
              <w:t xml:space="preserve">Head</w:t>
            </w:r>
          </w:p>
        </w:tc>
        <w:tc>
          <w:tcPr>
            <w:tcW w:type="dxa" w:w="5160"/>
            <w:shd w:fill="1F3864" w:color="auto" w:val="clear"/>
            <w:tcMar>
              <w:top w:type="dxa" w:w="66"/>
              <w:left w:type="dxa" w:w="120"/>
              <w:bottom w:type="dxa" w:w="66"/>
              <w:right w:type="dxa" w:w="120"/>
            </w:tcMar>
          </w:tcPr>
          <w:p>
            <w:pPr>
              <w:spacing w:after="0" w:line="260"/>
            </w:pPr>
            <w:r>
              <w:rPr>
                <w:b/>
                <w:bCs/>
                <w:color w:val="FFFFFF"/>
                <w:sz w:val="20"/>
                <w:szCs w:val="20"/>
              </w:rPr>
              <w:t xml:space="preserve">Metrics</w:t>
            </w:r>
          </w:p>
        </w:tc>
        <w:tc>
          <w:tcPr>
            <w:tcW w:type="dxa" w:w="2000"/>
            <w:shd w:fill="1F3864" w:color="auto" w:val="clear"/>
            <w:tcMar>
              <w:top w:type="dxa" w:w="66"/>
              <w:left w:type="dxa" w:w="120"/>
              <w:bottom w:type="dxa" w:w="66"/>
              <w:right w:type="dxa" w:w="120"/>
            </w:tcMar>
          </w:tcPr>
          <w:p>
            <w:pPr>
              <w:spacing w:after="0" w:line="260"/>
            </w:pPr>
            <w:r>
              <w:rPr>
                <w:b/>
                <w:bCs/>
                <w:color w:val="FFFFFF"/>
                <w:sz w:val="20"/>
                <w:szCs w:val="20"/>
              </w:rPr>
              <w:t xml:space="preserve">Emphasis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Classification</w:t>
            </w:r>
          </w:p>
        </w:tc>
        <w:tc>
          <w:tcPr>
            <w:tcW w:type="dxa" w:w="5160"/>
            <w:tcMar>
              <w:top w:type="dxa" w:w="54"/>
              <w:left w:type="dxa" w:w="120"/>
              <w:bottom w:type="dxa" w:w="54"/>
              <w:right w:type="dxa" w:w="120"/>
            </w:tcMar>
          </w:tcPr>
          <w:p>
            <w:pPr>
              <w:spacing w:after="0" w:line="258"/>
            </w:pPr>
            <w:r>
              <w:rPr>
                <w:b w:val="false"/>
                <w:bCs w:val="false"/>
                <w:color w:val="222222"/>
                <w:sz w:val="19"/>
                <w:szCs w:val="19"/>
              </w:rPr>
              <w:t xml:space="preserve">Precision, Recall, F1, ROC-AUC, PR-AUC, confusion matrix</w:t>
            </w:r>
          </w:p>
        </w:tc>
        <w:tc>
          <w:tcPr>
            <w:tcW w:type="dxa" w:w="2000"/>
            <w:tcMar>
              <w:top w:type="dxa" w:w="54"/>
              <w:left w:type="dxa" w:w="120"/>
              <w:bottom w:type="dxa" w:w="54"/>
              <w:right w:type="dxa" w:w="120"/>
            </w:tcMar>
          </w:tcPr>
          <w:p>
            <w:pPr>
              <w:spacing w:after="0" w:line="258"/>
            </w:pPr>
            <w:r>
              <w:rPr>
                <w:b w:val="false"/>
                <w:bCs w:val="false"/>
                <w:color w:val="222222"/>
                <w:sz w:val="19"/>
                <w:szCs w:val="19"/>
              </w:rPr>
              <w:t xml:space="preserve">Recall on High/Critical</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Calibration</w:t>
            </w:r>
          </w:p>
        </w:tc>
        <w:tc>
          <w:tcPr>
            <w:tcW w:type="dxa" w:w="5160"/>
            <w:tcMar>
              <w:top w:type="dxa" w:w="54"/>
              <w:left w:type="dxa" w:w="120"/>
              <w:bottom w:type="dxa" w:w="54"/>
              <w:right w:type="dxa" w:w="120"/>
            </w:tcMar>
          </w:tcPr>
          <w:p>
            <w:pPr>
              <w:spacing w:after="0" w:line="258"/>
            </w:pPr>
            <w:r>
              <w:rPr>
                <w:b w:val="false"/>
                <w:bCs w:val="false"/>
                <w:color w:val="222222"/>
                <w:sz w:val="19"/>
                <w:szCs w:val="19"/>
              </w:rPr>
              <w:t xml:space="preserve">Reliability curve, Brier score</w:t>
            </w:r>
          </w:p>
        </w:tc>
        <w:tc>
          <w:tcPr>
            <w:tcW w:type="dxa" w:w="2000"/>
            <w:tcMar>
              <w:top w:type="dxa" w:w="54"/>
              <w:left w:type="dxa" w:w="120"/>
              <w:bottom w:type="dxa" w:w="54"/>
              <w:right w:type="dxa" w:w="120"/>
            </w:tcMar>
          </w:tcPr>
          <w:p>
            <w:pPr>
              <w:spacing w:after="0" w:line="258"/>
            </w:pPr>
            <w:r>
              <w:rPr>
                <w:b w:val="false"/>
                <w:bCs w:val="false"/>
                <w:color w:val="222222"/>
                <w:sz w:val="19"/>
                <w:szCs w:val="19"/>
              </w:rPr>
              <w:t xml:space="preserve">Trustworthy probabilities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Survival</w:t>
            </w:r>
          </w:p>
        </w:tc>
        <w:tc>
          <w:tcPr>
            <w:tcW w:type="dxa" w:w="5160"/>
            <w:tcMar>
              <w:top w:type="dxa" w:w="54"/>
              <w:left w:type="dxa" w:w="120"/>
              <w:bottom w:type="dxa" w:w="54"/>
              <w:right w:type="dxa" w:w="120"/>
            </w:tcMar>
          </w:tcPr>
          <w:p>
            <w:pPr>
              <w:spacing w:after="0" w:line="258"/>
            </w:pPr>
            <w:r>
              <w:rPr>
                <w:b w:val="false"/>
                <w:bCs w:val="false"/>
                <w:color w:val="222222"/>
                <w:sz w:val="19"/>
                <w:szCs w:val="19"/>
              </w:rPr>
              <w:t xml:space="preserve">Harrell's C-index, time-dependent AUC, integrated Brier score</w:t>
            </w:r>
          </w:p>
        </w:tc>
        <w:tc>
          <w:tcPr>
            <w:tcW w:type="dxa" w:w="2000"/>
            <w:tcMar>
              <w:top w:type="dxa" w:w="54"/>
              <w:left w:type="dxa" w:w="120"/>
              <w:bottom w:type="dxa" w:w="54"/>
              <w:right w:type="dxa" w:w="120"/>
            </w:tcMar>
          </w:tcPr>
          <w:p>
            <w:pPr>
              <w:spacing w:after="0" w:line="258"/>
            </w:pPr>
            <w:r>
              <w:rPr>
                <w:b w:val="false"/>
                <w:bCs w:val="false"/>
                <w:color w:val="222222"/>
                <w:sz w:val="19"/>
                <w:szCs w:val="19"/>
              </w:rPr>
              <w:t xml:space="preserve">Correct ranking over time</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Delay-days regression</w:t>
            </w:r>
          </w:p>
        </w:tc>
        <w:tc>
          <w:tcPr>
            <w:tcW w:type="dxa" w:w="5160"/>
            <w:tcMar>
              <w:top w:type="dxa" w:w="54"/>
              <w:left w:type="dxa" w:w="120"/>
              <w:bottom w:type="dxa" w:w="54"/>
              <w:right w:type="dxa" w:w="120"/>
            </w:tcMar>
          </w:tcPr>
          <w:p>
            <w:pPr>
              <w:spacing w:after="0" w:line="258"/>
            </w:pPr>
            <w:r>
              <w:rPr>
                <w:b w:val="false"/>
                <w:bCs w:val="false"/>
                <w:color w:val="222222"/>
                <w:sz w:val="19"/>
                <w:szCs w:val="19"/>
              </w:rPr>
              <w:t xml:space="preserve">MAE, RMSE</w:t>
            </w:r>
          </w:p>
        </w:tc>
        <w:tc>
          <w:tcPr>
            <w:tcW w:type="dxa" w:w="2000"/>
            <w:tcMar>
              <w:top w:type="dxa" w:w="54"/>
              <w:left w:type="dxa" w:w="120"/>
              <w:bottom w:type="dxa" w:w="54"/>
              <w:right w:type="dxa" w:w="120"/>
            </w:tcMar>
          </w:tcPr>
          <w:p>
            <w:pPr>
              <w:spacing w:after="0" w:line="258"/>
            </w:pPr>
            <w:r>
              <w:rPr>
                <w:b w:val="false"/>
                <w:bCs w:val="false"/>
                <w:color w:val="222222"/>
                <w:sz w:val="19"/>
                <w:szCs w:val="19"/>
              </w:rPr>
              <w:t xml:space="preserve">Magnitude accuracy</w:t>
            </w:r>
          </w:p>
        </w:tc>
      </w:tr>
    </w:tbl>
    <w:p>
      <w:pPr>
        <w:pStyle w:val="Heading1"/>
      </w:pPr>
      <w:r>
        <w:t xml:space="preserve">6. Explainable AI</w:t>
      </w:r>
    </w:p>
    <w:p>
      <w:pPr>
        <w:spacing w:after="140" w:line="276"/>
        <w:jc w:val="both"/>
      </w:pPr>
      <w:r>
        <w:rPr>
          <w:b w:val="false"/>
          <w:bCs w:val="false"/>
          <w:i w:val="false"/>
          <w:iCs w:val="false"/>
          <w:color w:val="222222"/>
          <w:sz w:val="22"/>
          <w:szCs w:val="22"/>
        </w:rPr>
        <w:t xml:space="preserve">Explanations are first-class outputs, computed for every prediction rather than as an afterthought. TreeSHAP produces exact Shapley values for the boosted-tree models at serving speed. Global explanations (SHAP summary/beeswarm, gain-based importance, partial-dependence) characterize the model as a whole; local explanations attribute a single project's risk to its specific drivers.</w:t>
      </w:r>
    </w:p>
    <w:p>
      <w:pPr>
        <w:spacing w:after="140" w:line="276"/>
        <w:jc w:val="both"/>
      </w:pPr>
      <w:r>
        <w:rPr>
          <w:b w:val="false"/>
          <w:bCs w:val="false"/>
          <w:i w:val="false"/>
          <w:iCs w:val="false"/>
          <w:color w:val="222222"/>
          <w:sz w:val="22"/>
          <w:szCs w:val="22"/>
        </w:rPr>
        <w:t xml:space="preserve">Feature-level SHAP values are aggregated into the human-readable driver families shown to officials (compensation, legal, approvals, documentation, R&amp;R, stakeholder responsiveness), so the interface can present “compensation pending contributes 31% of this project's risk” directly from the model rather than from a hand-written rule.</w:t>
      </w:r>
    </w:p>
    <w:p>
      <w:pPr>
        <w:pStyle w:val="Heading1"/>
      </w:pPr>
      <w:r>
        <w:t xml:space="preserve">7. Prescriptive Recommendation Engine</w:t>
      </w:r>
    </w:p>
    <w:p>
      <w:pPr>
        <w:spacing w:after="140" w:line="276"/>
        <w:jc w:val="both"/>
      </w:pPr>
      <w:r>
        <w:rPr>
          <w:b w:val="false"/>
          <w:bCs w:val="false"/>
          <w:i w:val="false"/>
          <w:iCs w:val="false"/>
          <w:color w:val="222222"/>
          <w:sz w:val="22"/>
          <w:szCs w:val="22"/>
        </w:rPr>
        <w:t xml:space="preserve">Recommendations are generated by counterfactual simulation on the trained model rather than by a static rule-book. Actionable features (open disputes, pending compensation, pending approvals, missing documents) are distinguished from immutable ones (land area, project type). For each actionable lever, the engine sets it to its resolved state, re-scores the project, and measures the drop in risk; levers are then ranked by expected risk reduction and surfaced as concrete actions.</w:t>
      </w:r>
    </w:p>
    <w:p>
      <w:pPr>
        <w:spacing w:after="40"/>
      </w:pPr>
    </w:p>
    <w:tbl>
      <w:tblPr>
        <w:tblW w:type="dxa" w:w="9360"/>
        <w:tblBorders>
          <w:top w:val="single" w:color="C9D2DF" w:sz="4"/>
          <w:left w:val="single" w:color="2F6F6A" w:sz="16"/>
          <w:bottom w:val="single" w:color="C9D2DF" w:sz="4"/>
          <w:right w:val="single" w:color="C9D2DF" w:sz="4"/>
          <w:insideH w:val="none" w:color="FFFFFF" w:sz="0"/>
          <w:insideV w:val="none" w:color="FFFFFF" w:sz="0"/>
        </w:tblBorders>
      </w:tblPr>
      <w:tblGrid>
        <w:gridCol w:w="9360"/>
      </w:tblGrid>
      <w:tr>
        <w:tc>
          <w:tcPr>
            <w:tcW w:type="dxa" w:w="9360"/>
            <w:shd w:fill="F3F4F6" w:color="auto" w:val="clear"/>
            <w:tcMar>
              <w:top w:type="dxa" w:w="120"/>
              <w:left w:type="dxa" w:w="170"/>
              <w:bottom w:type="dxa" w:w="120"/>
              <w:right w:type="dxa" w:w="140"/>
            </w:tcMar>
          </w:tcPr>
          <w:p>
            <w:pPr>
              <w:spacing w:after="40" w:line="240"/>
            </w:pPr>
            <w:r>
              <w:rPr>
                <w:rFonts w:ascii="Consolas" w:cs="Consolas" w:eastAsia="Consolas" w:hAnsi="Consolas"/>
                <w:b/>
                <w:bCs/>
                <w:color w:val="2F6F6A"/>
                <w:sz w:val="17"/>
                <w:szCs w:val="17"/>
              </w:rPr>
              <w:t xml:space="preserve">counterfactual what-if</w:t>
            </w:r>
          </w:p>
          <w:p>
            <w:pPr>
              <w:spacing w:after="0" w:line="240"/>
            </w:pPr>
            <w:r>
              <w:rPr>
                <w:rFonts w:ascii="Consolas" w:cs="Consolas" w:eastAsia="Consolas" w:hAnsi="Consolas"/>
                <w:color w:val="2B2B2B"/>
                <w:sz w:val="18"/>
                <w:szCs w:val="18"/>
              </w:rPr>
              <w:t xml:space="preserve">def recommend(project, model, actionable):</w:t>
            </w:r>
          </w:p>
          <w:p>
            <w:pPr>
              <w:spacing w:after="0" w:line="240"/>
            </w:pPr>
            <w:r>
              <w:rPr>
                <w:rFonts w:ascii="Consolas" w:cs="Consolas" w:eastAsia="Consolas" w:hAnsi="Consolas"/>
                <w:color w:val="2B2B2B"/>
                <w:sz w:val="18"/>
                <w:szCs w:val="18"/>
              </w:rPr>
              <w:t xml:space="preserve">    base = model.predict_proba(project)          # current risk</w:t>
            </w:r>
          </w:p>
          <w:p>
            <w:pPr>
              <w:spacing w:after="0" w:line="240"/>
            </w:pPr>
            <w:r>
              <w:rPr>
                <w:rFonts w:ascii="Consolas" w:cs="Consolas" w:eastAsia="Consolas" w:hAnsi="Consolas"/>
                <w:color w:val="2B2B2B"/>
                <w:sz w:val="18"/>
                <w:szCs w:val="18"/>
              </w:rPr>
              <w:t xml:space="preserve">    ranked = []</w:t>
            </w:r>
          </w:p>
          <w:p>
            <w:pPr>
              <w:spacing w:after="0" w:line="240"/>
            </w:pPr>
            <w:r>
              <w:rPr>
                <w:rFonts w:ascii="Consolas" w:cs="Consolas" w:eastAsia="Consolas" w:hAnsi="Consolas"/>
                <w:color w:val="2B2B2B"/>
                <w:sz w:val="18"/>
                <w:szCs w:val="18"/>
              </w:rPr>
              <w:t xml:space="preserve">    for f in actionable:</w:t>
            </w:r>
          </w:p>
          <w:p>
            <w:pPr>
              <w:spacing w:after="0" w:line="240"/>
            </w:pPr>
            <w:r>
              <w:rPr>
                <w:rFonts w:ascii="Consolas" w:cs="Consolas" w:eastAsia="Consolas" w:hAnsi="Consolas"/>
                <w:color w:val="2B2B2B"/>
                <w:sz w:val="18"/>
                <w:szCs w:val="18"/>
              </w:rPr>
              <w:t xml:space="preserve">        cf = project.copy()</w:t>
            </w:r>
          </w:p>
          <w:p>
            <w:pPr>
              <w:spacing w:after="0" w:line="240"/>
            </w:pPr>
            <w:r>
              <w:rPr>
                <w:rFonts w:ascii="Consolas" w:cs="Consolas" w:eastAsia="Consolas" w:hAnsi="Consolas"/>
                <w:color w:val="2B2B2B"/>
                <w:sz w:val="18"/>
                <w:szCs w:val="18"/>
              </w:rPr>
              <w:t xml:space="preserve">        cf[f] = resolved_value(f)                 # disputes→0, pending→0 ...</w:t>
            </w:r>
          </w:p>
          <w:p>
            <w:pPr>
              <w:spacing w:after="0" w:line="240"/>
            </w:pPr>
            <w:r>
              <w:rPr>
                <w:rFonts w:ascii="Consolas" w:cs="Consolas" w:eastAsia="Consolas" w:hAnsi="Consolas"/>
                <w:color w:val="2B2B2B"/>
                <w:sz w:val="18"/>
                <w:szCs w:val="18"/>
              </w:rPr>
              <w:t xml:space="preserve">        delta = base - model.predict_proba(cf)    # risk reduction</w:t>
            </w:r>
          </w:p>
          <w:p>
            <w:pPr>
              <w:spacing w:after="0" w:line="240"/>
            </w:pPr>
            <w:r>
              <w:rPr>
                <w:rFonts w:ascii="Consolas" w:cs="Consolas" w:eastAsia="Consolas" w:hAnsi="Consolas"/>
                <w:color w:val="2B2B2B"/>
                <w:sz w:val="18"/>
                <w:szCs w:val="18"/>
              </w:rPr>
              <w:t xml:space="preserve">        ranked.append((action_for(f), delta))</w:t>
            </w:r>
          </w:p>
          <w:p>
            <w:pPr>
              <w:spacing w:after="0" w:line="240"/>
            </w:pPr>
            <w:r>
              <w:rPr>
                <w:rFonts w:ascii="Consolas" w:cs="Consolas" w:eastAsia="Consolas" w:hAnsi="Consolas"/>
                <w:color w:val="2B2B2B"/>
                <w:sz w:val="18"/>
                <w:szCs w:val="18"/>
              </w:rPr>
              <w:t xml:space="preserve">    return sorted(ranked, key=lambda r: r[1], reverse=True)</w:t>
            </w:r>
          </w:p>
        </w:tc>
      </w:tr>
    </w:tbl>
    <w:p>
      <w:pPr>
        <w:spacing w:after="60"/>
      </w:pPr>
    </w:p>
    <w:p>
      <w:pPr>
        <w:spacing w:after="140" w:line="276"/>
        <w:jc w:val="both"/>
      </w:pPr>
      <w:r>
        <w:rPr>
          <w:b/>
          <w:bCs/>
          <w:color w:val="1F3864"/>
          <w:sz w:val="22"/>
          <w:szCs w:val="22"/>
        </w:rPr>
        <w:t xml:space="preserve">Honest caveat.  </w:t>
      </w:r>
      <w:r>
        <w:rPr>
          <w:color w:val="222222"/>
          <w:sz w:val="22"/>
          <w:szCs w:val="22"/>
        </w:rPr>
        <w:t xml:space="preserve">The model is correlational, so a counterfactual on it estimates the association, not a guaranteed causal effect. The engine is therefore framed as decision support that prioritizes where to look first, and its estimates are always shown alongside the SHAP explanation that motivates them.</w:t>
      </w:r>
    </w:p>
    <w:p>
      <w:pPr>
        <w:pStyle w:val="Heading1"/>
      </w:pPr>
      <w:r>
        <w:t xml:space="preserve">8. API Design</w:t>
      </w:r>
    </w:p>
    <w:p>
      <w:pPr>
        <w:spacing w:after="140" w:line="276"/>
        <w:jc w:val="both"/>
      </w:pPr>
      <w:r>
        <w:rPr>
          <w:b w:val="false"/>
          <w:bCs w:val="false"/>
          <w:i w:val="false"/>
          <w:iCs w:val="false"/>
          <w:color w:val="222222"/>
          <w:sz w:val="22"/>
          <w:szCs w:val="22"/>
        </w:rPr>
        <w:t xml:space="preserve">The service tier is a FastAPI application with Pydantic-typed request/response models. Scoring is available both on demand (per project) and as a batch job that refreshes the whole portfolio. Model artifacts are loaded from the registry at startup and served in memory; retraining is an authenticated, asynchronous operation.</w:t>
      </w:r>
    </w:p>
    <w:p>
      <w:pPr>
        <w:spacing w:after="40"/>
      </w:pP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4300"/>
        <w:gridCol w:w="5060"/>
      </w:tblGrid>
      <w:tr>
        <w:trPr>
          <w:tblHeader/>
        </w:trPr>
        <w:tc>
          <w:tcPr>
            <w:tcW w:type="dxa" w:w="4300"/>
            <w:shd w:fill="1F3864" w:color="auto" w:val="clear"/>
            <w:tcMar>
              <w:top w:type="dxa" w:w="66"/>
              <w:left w:type="dxa" w:w="120"/>
              <w:bottom w:type="dxa" w:w="66"/>
              <w:right w:type="dxa" w:w="120"/>
            </w:tcMar>
          </w:tcPr>
          <w:p>
            <w:pPr>
              <w:spacing w:after="0" w:line="260"/>
            </w:pPr>
            <w:r>
              <w:rPr>
                <w:b/>
                <w:bCs/>
                <w:color w:val="FFFFFF"/>
                <w:sz w:val="20"/>
                <w:szCs w:val="20"/>
              </w:rPr>
              <w:t xml:space="preserve">Method &amp; Endpoint</w:t>
            </w:r>
          </w:p>
        </w:tc>
        <w:tc>
          <w:tcPr>
            <w:tcW w:type="dxa" w:w="5060"/>
            <w:shd w:fill="1F3864" w:color="auto" w:val="clear"/>
            <w:tcMar>
              <w:top w:type="dxa" w:w="66"/>
              <w:left w:type="dxa" w:w="120"/>
              <w:bottom w:type="dxa" w:w="66"/>
              <w:right w:type="dxa" w:w="120"/>
            </w:tcMar>
          </w:tcPr>
          <w:p>
            <w:pPr>
              <w:spacing w:after="0" w:line="260"/>
            </w:pPr>
            <w:r>
              <w:rPr>
                <w:b/>
                <w:bCs/>
                <w:color w:val="FFFFFF"/>
                <w:sz w:val="20"/>
                <w:szCs w:val="20"/>
              </w:rPr>
              <w:t xml:space="preserve">Purpose</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POST /api/v1/auth/login</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Authenticate; issue a scoped JWT</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POST /api/v1/projects</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Ingest or update a project record</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GET  /api/v1/projects/{id}/risk</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Risk score, delay probability, expected delay</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GET  /api/v1/projects/{id}/drivers</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SHAP driver breakdown for the project</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GET  /api/v1/projects/{id}/recommendations</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Ranked counterfactual actions</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GET  /api/v1/portfolio?state=&amp;district=&amp;band=</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Aggregated, jurisdiction-scoped portfolio view</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GET  /api/v1/alerts</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Active High/Critical alerts for the caller's scope</w:t>
            </w:r>
          </w:p>
        </w:tc>
      </w:tr>
      <w:tr>
        <w:tc>
          <w:tcPr>
            <w:tcW w:type="dxa" w:w="4300"/>
            <w:tcMar>
              <w:top w:type="dxa" w:w="54"/>
              <w:left w:type="dxa" w:w="120"/>
              <w:bottom w:type="dxa" w:w="54"/>
              <w:right w:type="dxa" w:w="120"/>
            </w:tcMar>
          </w:tcPr>
          <w:p>
            <w:pPr>
              <w:spacing w:after="0" w:line="258"/>
            </w:pPr>
            <w:r>
              <w:rPr>
                <w:rFonts w:ascii="Consolas" w:cs="Consolas" w:eastAsia="Consolas" w:hAnsi="Consolas"/>
                <w:b w:val="false"/>
                <w:bCs w:val="false"/>
                <w:color w:val="1F3864"/>
                <w:sz w:val="18"/>
                <w:szCs w:val="18"/>
              </w:rPr>
              <w:t xml:space="preserve">POST /api/v1/models/retrain</w:t>
            </w:r>
          </w:p>
        </w:tc>
        <w:tc>
          <w:tcPr>
            <w:tcW w:type="dxa" w:w="5060"/>
            <w:tcMar>
              <w:top w:type="dxa" w:w="54"/>
              <w:left w:type="dxa" w:w="120"/>
              <w:bottom w:type="dxa" w:w="54"/>
              <w:right w:type="dxa" w:w="120"/>
            </w:tcMar>
          </w:tcPr>
          <w:p>
            <w:pPr>
              <w:spacing w:after="0" w:line="258"/>
            </w:pPr>
            <w:r>
              <w:rPr>
                <w:b w:val="false"/>
                <w:bCs w:val="false"/>
                <w:color w:val="222222"/>
                <w:sz w:val="19"/>
                <w:szCs w:val="19"/>
              </w:rPr>
              <w:t xml:space="preserve">Trigger retraining (Administrator only)</w:t>
            </w:r>
          </w:p>
        </w:tc>
      </w:tr>
    </w:tbl>
    <w:p>
      <w:pPr>
        <w:spacing w:after="80"/>
      </w:pPr>
    </w:p>
    <w:tbl>
      <w:tblPr>
        <w:tblW w:type="dxa" w:w="9360"/>
        <w:tblBorders>
          <w:top w:val="single" w:color="C9D2DF" w:sz="4"/>
          <w:left w:val="single" w:color="2F6F6A" w:sz="16"/>
          <w:bottom w:val="single" w:color="C9D2DF" w:sz="4"/>
          <w:right w:val="single" w:color="C9D2DF" w:sz="4"/>
          <w:insideH w:val="none" w:color="FFFFFF" w:sz="0"/>
          <w:insideV w:val="none" w:color="FFFFFF" w:sz="0"/>
        </w:tblBorders>
      </w:tblPr>
      <w:tblGrid>
        <w:gridCol w:w="9360"/>
      </w:tblGrid>
      <w:tr>
        <w:tc>
          <w:tcPr>
            <w:tcW w:type="dxa" w:w="9360"/>
            <w:shd w:fill="F3F4F6" w:color="auto" w:val="clear"/>
            <w:tcMar>
              <w:top w:type="dxa" w:w="120"/>
              <w:left w:type="dxa" w:w="170"/>
              <w:bottom w:type="dxa" w:w="120"/>
              <w:right w:type="dxa" w:w="140"/>
            </w:tcMar>
          </w:tcPr>
          <w:p>
            <w:pPr>
              <w:spacing w:after="40" w:line="240"/>
            </w:pPr>
            <w:r>
              <w:rPr>
                <w:rFonts w:ascii="Consolas" w:cs="Consolas" w:eastAsia="Consolas" w:hAnsi="Consolas"/>
                <w:b/>
                <w:bCs/>
                <w:color w:val="2F6F6A"/>
                <w:sz w:val="17"/>
                <w:szCs w:val="17"/>
              </w:rPr>
              <w:t xml:space="preserve">example response</w:t>
            </w:r>
          </w:p>
          <w:p>
            <w:pPr>
              <w:spacing w:after="0" w:line="240"/>
            </w:pPr>
            <w:r>
              <w:rPr>
                <w:rFonts w:ascii="Consolas" w:cs="Consolas" w:eastAsia="Consolas" w:hAnsi="Consolas"/>
                <w:color w:val="2B2B2B"/>
                <w:sz w:val="18"/>
                <w:szCs w:val="18"/>
              </w:rPr>
              <w:t xml:space="preserve">GET /api/v1/projects/P-1024/risk   →   200 OK</w:t>
            </w:r>
          </w:p>
          <w:p>
            <w:pPr>
              <w:spacing w:after="0" w:line="240"/>
            </w:pPr>
            <w:r>
              <w:rPr>
                <w:rFonts w:ascii="Consolas" w:cs="Consolas" w:eastAsia="Consolas" w:hAnsi="Consolas"/>
                <w:color w:val="2B2B2B"/>
                <w:sz w:val="18"/>
                <w:szCs w:val="18"/>
              </w:rPr>
              <w:t xml:space="preserve">{</w:t>
            </w:r>
          </w:p>
          <w:p>
            <w:pPr>
              <w:spacing w:after="0" w:line="240"/>
            </w:pPr>
            <w:r>
              <w:rPr>
                <w:rFonts w:ascii="Consolas" w:cs="Consolas" w:eastAsia="Consolas" w:hAnsi="Consolas"/>
                <w:color w:val="2B2B2B"/>
                <w:sz w:val="18"/>
                <w:szCs w:val="18"/>
              </w:rPr>
              <w:t xml:space="preserve">  "project_id": "P-1024",</w:t>
            </w:r>
          </w:p>
          <w:p>
            <w:pPr>
              <w:spacing w:after="0" w:line="240"/>
            </w:pPr>
            <w:r>
              <w:rPr>
                <w:rFonts w:ascii="Consolas" w:cs="Consolas" w:eastAsia="Consolas" w:hAnsi="Consolas"/>
                <w:color w:val="2B2B2B"/>
                <w:sz w:val="18"/>
                <w:szCs w:val="18"/>
              </w:rPr>
              <w:t xml:space="preserve">  "risk_score": 87,</w:t>
            </w:r>
          </w:p>
          <w:p>
            <w:pPr>
              <w:spacing w:after="0" w:line="240"/>
            </w:pPr>
            <w:r>
              <w:rPr>
                <w:rFonts w:ascii="Consolas" w:cs="Consolas" w:eastAsia="Consolas" w:hAnsi="Consolas"/>
                <w:color w:val="2B2B2B"/>
                <w:sz w:val="18"/>
                <w:szCs w:val="18"/>
              </w:rPr>
              <w:t xml:space="preserve">  "risk_band": "Critical",</w:t>
            </w:r>
          </w:p>
          <w:p>
            <w:pPr>
              <w:spacing w:after="0" w:line="240"/>
            </w:pPr>
            <w:r>
              <w:rPr>
                <w:rFonts w:ascii="Consolas" w:cs="Consolas" w:eastAsia="Consolas" w:hAnsi="Consolas"/>
                <w:color w:val="2B2B2B"/>
                <w:sz w:val="18"/>
                <w:szCs w:val="18"/>
              </w:rPr>
              <w:t xml:space="preserve">  "delay_probability": 0.87,</w:t>
            </w:r>
          </w:p>
          <w:p>
            <w:pPr>
              <w:spacing w:after="0" w:line="240"/>
            </w:pPr>
            <w:r>
              <w:rPr>
                <w:rFonts w:ascii="Consolas" w:cs="Consolas" w:eastAsia="Consolas" w:hAnsi="Consolas"/>
                <w:color w:val="2B2B2B"/>
                <w:sz w:val="18"/>
                <w:szCs w:val="18"/>
              </w:rPr>
              <w:t xml:space="preserve">  "expected_delay_days": 48,</w:t>
            </w:r>
          </w:p>
          <w:p>
            <w:pPr>
              <w:spacing w:after="0" w:line="240"/>
            </w:pPr>
            <w:r>
              <w:rPr>
                <w:rFonts w:ascii="Consolas" w:cs="Consolas" w:eastAsia="Consolas" w:hAnsi="Consolas"/>
                <w:color w:val="2B2B2B"/>
                <w:sz w:val="18"/>
                <w:szCs w:val="18"/>
              </w:rPr>
              <w:t xml:space="preserve">  "current_stage": "Compensation Disbursement",</w:t>
            </w:r>
          </w:p>
          <w:p>
            <w:pPr>
              <w:spacing w:after="0" w:line="240"/>
            </w:pPr>
            <w:r>
              <w:rPr>
                <w:rFonts w:ascii="Consolas" w:cs="Consolas" w:eastAsia="Consolas" w:hAnsi="Consolas"/>
                <w:color w:val="2B2B2B"/>
                <w:sz w:val="18"/>
                <w:szCs w:val="18"/>
              </w:rPr>
              <w:t xml:space="preserve">  "drivers": [</w:t>
            </w:r>
          </w:p>
          <w:p>
            <w:pPr>
              <w:spacing w:after="0" w:line="240"/>
            </w:pPr>
            <w:r>
              <w:rPr>
                <w:rFonts w:ascii="Consolas" w:cs="Consolas" w:eastAsia="Consolas" w:hAnsi="Consolas"/>
                <w:color w:val="2B2B2B"/>
                <w:sz w:val="18"/>
                <w:szCs w:val="18"/>
              </w:rPr>
              <w:t xml:space="preserve">    { "factor": "compensation_pending", "contribution": 0.31 },</w:t>
            </w:r>
          </w:p>
          <w:p>
            <w:pPr>
              <w:spacing w:after="0" w:line="240"/>
            </w:pPr>
            <w:r>
              <w:rPr>
                <w:rFonts w:ascii="Consolas" w:cs="Consolas" w:eastAsia="Consolas" w:hAnsi="Consolas"/>
                <w:color w:val="2B2B2B"/>
                <w:sz w:val="18"/>
                <w:szCs w:val="18"/>
              </w:rPr>
              <w:t xml:space="preserve">    { "factor": "legal_disputes",       "contribution": 0.24 },</w:t>
            </w:r>
          </w:p>
          <w:p>
            <w:pPr>
              <w:spacing w:after="0" w:line="240"/>
            </w:pPr>
            <w:r>
              <w:rPr>
                <w:rFonts w:ascii="Consolas" w:cs="Consolas" w:eastAsia="Consolas" w:hAnsi="Consolas"/>
                <w:color w:val="2B2B2B"/>
                <w:sz w:val="18"/>
                <w:szCs w:val="18"/>
              </w:rPr>
              <w:t xml:space="preserve">    { "factor": "approval_delay",       "contribution": 0.19 }</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  "recommendations": [</w:t>
            </w:r>
          </w:p>
          <w:p>
            <w:pPr>
              <w:spacing w:after="0" w:line="240"/>
            </w:pPr>
            <w:r>
              <w:rPr>
                <w:rFonts w:ascii="Consolas" w:cs="Consolas" w:eastAsia="Consolas" w:hAnsi="Consolas"/>
                <w:color w:val="2B2B2B"/>
                <w:sz w:val="18"/>
                <w:szCs w:val="18"/>
              </w:rPr>
              <w:t xml:space="preserve">    { "action": "Escalate pending approval",      "risk_reduction": 0.26, "rank": 1 },</w:t>
            </w:r>
          </w:p>
          <w:p>
            <w:pPr>
              <w:spacing w:after="0" w:line="240"/>
            </w:pPr>
            <w:r>
              <w:rPr>
                <w:rFonts w:ascii="Consolas" w:cs="Consolas" w:eastAsia="Consolas" w:hAnsi="Consolas"/>
                <w:color w:val="2B2B2B"/>
                <w:sz w:val="18"/>
                <w:szCs w:val="18"/>
              </w:rPr>
              <w:t xml:space="preserve">    { "action": "Prioritize compensation release","risk_reduction": 0.17, "rank": 2 }</w:t>
            </w:r>
          </w:p>
          <w:p>
            <w:pPr>
              <w:spacing w:after="0" w:line="240"/>
            </w:pPr>
            <w:r>
              <w:rPr>
                <w:rFonts w:ascii="Consolas" w:cs="Consolas" w:eastAsia="Consolas" w:hAnsi="Consolas"/>
                <w:color w:val="2B2B2B"/>
                <w:sz w:val="18"/>
                <w:szCs w:val="18"/>
              </w:rPr>
              <w:t xml:space="preserve">  ]</w:t>
            </w:r>
          </w:p>
          <w:p>
            <w:pPr>
              <w:spacing w:after="0" w:line="240"/>
            </w:pPr>
            <w:r>
              <w:rPr>
                <w:rFonts w:ascii="Consolas" w:cs="Consolas" w:eastAsia="Consolas" w:hAnsi="Consolas"/>
                <w:color w:val="2B2B2B"/>
                <w:sz w:val="18"/>
                <w:szCs w:val="18"/>
              </w:rPr>
              <w:t xml:space="preserve">}</w:t>
            </w:r>
          </w:p>
        </w:tc>
      </w:tr>
    </w:tbl>
    <w:p>
      <w:pPr>
        <w:pStyle w:val="Heading1"/>
      </w:pPr>
      <w:r>
        <w:t xml:space="preserve">9. Geospatial Layer</w:t>
      </w:r>
    </w:p>
    <w:p>
      <w:pPr>
        <w:spacing w:after="140" w:line="276"/>
        <w:jc w:val="both"/>
      </w:pPr>
      <w:r>
        <w:rPr>
          <w:b w:val="false"/>
          <w:bCs w:val="false"/>
          <w:i w:val="false"/>
          <w:iCs w:val="false"/>
          <w:color w:val="222222"/>
          <w:sz w:val="22"/>
          <w:szCs w:val="22"/>
        </w:rPr>
        <w:t xml:space="preserve">Spatial data is stored in PostGIS: project locations as point geometries and administrative boundaries (state and district) as polygons. The API aggregates risk by administrative unit with spatial queries so the frontend can render a choropleth of India coloured by risk band and drill down from state to district to individual project points. To keep the map fast, boundary geometries are simplified for display, aggregates are pre-computed per refresh, and the map is served from static GeoJSON / vector tiles rather than live-querying raw geometry on every pan and zoom.</w:t>
      </w:r>
    </w:p>
    <w:p>
      <w:pPr>
        <w:pStyle w:val="Heading1"/>
      </w:pPr>
      <w:r>
        <w:t xml:space="preserve">10. Frontend Architecture</w:t>
      </w:r>
    </w:p>
    <w:p>
      <w:pPr>
        <w:spacing w:after="140" w:line="276"/>
        <w:jc w:val="both"/>
      </w:pPr>
      <w:r>
        <w:rPr>
          <w:b w:val="false"/>
          <w:bCs w:val="false"/>
          <w:i w:val="false"/>
          <w:iCs w:val="false"/>
          <w:color w:val="222222"/>
          <w:sz w:val="22"/>
          <w:szCs w:val="22"/>
        </w:rPr>
        <w:t xml:space="preserve">The dashboard is a React single-page application (Vite) organized around four views: the portfolio command centre (KPIs and risk distribution), the GIS map, the project detail view (risk, driver breakdown, and recommendations), and comparative analytics (district/state trends and timelines). Charts are rendered with a React charting library and the map with Leaflet or Mapbox GL JS. The client is a thin consumer of the REST API; all scoring, explanation, and scoping happen server-side, so the same data cannot be over-exposed to an under-privileged user through the UI.</w:t>
      </w:r>
    </w:p>
    <w:p>
      <w:pPr>
        <w:pStyle w:val="Heading1"/>
      </w:pPr>
      <w:r>
        <w:t xml:space="preserve">11. MLOps &amp; Continuous Learning</w:t>
      </w:r>
    </w:p>
    <w:p>
      <w:pPr>
        <w:spacing w:after="140" w:line="276"/>
        <w:jc w:val="both"/>
      </w:pPr>
      <w:r>
        <w:rPr>
          <w:b w:val="false"/>
          <w:bCs w:val="false"/>
          <w:i w:val="false"/>
          <w:iCs w:val="false"/>
          <w:color w:val="222222"/>
          <w:sz w:val="22"/>
          <w:szCs w:val="22"/>
        </w:rPr>
        <w:t xml:space="preserve">The learning loop is a repeatable pipeline: raw data → feature build → train → evaluate → register. Experiments, parameters, metrics, and artifacts are tracked in MLflow, and each promoted model carries a version that is stamped onto every prediction it makes. Retraining is triggered when a batch of projects completes (adding new labelled outcomes) or when monitoring detects drift; a champion/challenger comparison guards against regressions before a new model is promoted.</w:t>
      </w:r>
    </w:p>
    <w:p>
      <w:pPr>
        <w:spacing w:after="40"/>
      </w:pPr>
    </w:p>
    <w:tbl>
      <w:tblPr>
        <w:tblW w:type="dxa" w:w="9360"/>
        <w:tblBorders>
          <w:top w:val="single" w:color="C9D2DF" w:sz="4"/>
          <w:left w:val="single" w:color="C9D2DF" w:sz="4"/>
          <w:bottom w:val="single" w:color="C9D2DF" w:sz="4"/>
          <w:right w:val="single" w:color="C9D2DF" w:sz="4"/>
          <w:insideH w:val="none" w:color="FFFFFF" w:sz="0"/>
          <w:insideV w:val="none" w:color="FFFFFF" w:sz="0"/>
        </w:tblBorders>
      </w:tblPr>
      <w:tblGrid>
        <w:gridCol w:w="9360"/>
      </w:tblGrid>
      <w:tr>
        <w:tc>
          <w:tcPr>
            <w:tcW w:type="dxa" w:w="9360"/>
            <w:shd w:fill="EEF2F8" w:color="auto" w:val="clear"/>
            <w:tcMar>
              <w:top w:type="dxa" w:w="110"/>
              <w:left w:type="dxa" w:w="150"/>
              <w:bottom w:type="dxa" w:w="110"/>
              <w:right w:type="dxa" w:w="150"/>
            </w:tcMar>
          </w:tcPr>
          <w:p>
            <w:pPr>
              <w:spacing w:after="0" w:line="290"/>
              <w:jc w:val="center"/>
            </w:pPr>
            <w:r>
              <w:rPr>
                <w:b/>
                <w:bCs/>
                <w:color w:val="1F3864"/>
                <w:sz w:val="18"/>
                <w:szCs w:val="18"/>
              </w:rPr>
              <w:t xml:space="preserve">Data</w:t>
            </w:r>
            <w:r>
              <w:rPr>
                <w:b/>
                <w:bCs/>
                <w:color w:val="2F6F6A"/>
                <w:sz w:val="18"/>
                <w:szCs w:val="18"/>
              </w:rPr>
              <w:t xml:space="preserve">  →  </w:t>
            </w:r>
            <w:r>
              <w:rPr>
                <w:b/>
                <w:bCs/>
                <w:color w:val="1F3864"/>
                <w:sz w:val="18"/>
                <w:szCs w:val="18"/>
              </w:rPr>
              <w:t xml:space="preserve">Features</w:t>
            </w:r>
            <w:r>
              <w:rPr>
                <w:b/>
                <w:bCs/>
                <w:color w:val="2F6F6A"/>
                <w:sz w:val="18"/>
                <w:szCs w:val="18"/>
              </w:rPr>
              <w:t xml:space="preserve">  →  </w:t>
            </w:r>
            <w:r>
              <w:rPr>
                <w:b/>
                <w:bCs/>
                <w:color w:val="1F3864"/>
                <w:sz w:val="18"/>
                <w:szCs w:val="18"/>
              </w:rPr>
              <w:t xml:space="preserve">Train</w:t>
            </w:r>
            <w:r>
              <w:rPr>
                <w:b/>
                <w:bCs/>
                <w:color w:val="2F6F6A"/>
                <w:sz w:val="18"/>
                <w:szCs w:val="18"/>
              </w:rPr>
              <w:t xml:space="preserve">  →  </w:t>
            </w:r>
            <w:r>
              <w:rPr>
                <w:b/>
                <w:bCs/>
                <w:color w:val="1F3864"/>
                <w:sz w:val="18"/>
                <w:szCs w:val="18"/>
              </w:rPr>
              <w:t xml:space="preserve">Evaluate</w:t>
            </w:r>
            <w:r>
              <w:rPr>
                <w:b/>
                <w:bCs/>
                <w:color w:val="2F6F6A"/>
                <w:sz w:val="18"/>
                <w:szCs w:val="18"/>
              </w:rPr>
              <w:t xml:space="preserve">  →  </w:t>
            </w:r>
            <w:r>
              <w:rPr>
                <w:b/>
                <w:bCs/>
                <w:color w:val="1F3864"/>
                <w:sz w:val="18"/>
                <w:szCs w:val="18"/>
              </w:rPr>
              <w:t xml:space="preserve">Register (MLflow)</w:t>
            </w:r>
            <w:r>
              <w:rPr>
                <w:b/>
                <w:bCs/>
                <w:color w:val="2F6F6A"/>
                <w:sz w:val="18"/>
                <w:szCs w:val="18"/>
              </w:rPr>
              <w:t xml:space="preserve">  →  </w:t>
            </w:r>
            <w:r>
              <w:rPr>
                <w:b/>
                <w:bCs/>
                <w:color w:val="1F3864"/>
                <w:sz w:val="18"/>
                <w:szCs w:val="18"/>
              </w:rPr>
              <w:t xml:space="preserve">Serve</w:t>
            </w:r>
            <w:r>
              <w:rPr>
                <w:b/>
                <w:bCs/>
                <w:color w:val="2F6F6A"/>
                <w:sz w:val="18"/>
                <w:szCs w:val="18"/>
              </w:rPr>
              <w:t xml:space="preserve">  →  </w:t>
            </w:r>
            <w:r>
              <w:rPr>
                <w:b/>
                <w:bCs/>
                <w:color w:val="1F3864"/>
                <w:sz w:val="18"/>
                <w:szCs w:val="18"/>
              </w:rPr>
              <w:t xml:space="preserve">Monitor drift</w:t>
            </w:r>
            <w:r>
              <w:rPr>
                <w:b/>
                <w:bCs/>
                <w:color w:val="2F6F6A"/>
                <w:sz w:val="18"/>
                <w:szCs w:val="18"/>
              </w:rPr>
              <w:t xml:space="preserve">  →  </w:t>
            </w:r>
            <w:r>
              <w:rPr>
                <w:b/>
                <w:bCs/>
                <w:color w:val="1F3864"/>
                <w:sz w:val="18"/>
                <w:szCs w:val="18"/>
              </w:rPr>
              <w:t xml:space="preserve">Retrain</w:t>
            </w:r>
          </w:p>
        </w:tc>
      </w:tr>
    </w:tbl>
    <w:p>
      <w:pPr>
        <w:spacing w:after="80"/>
      </w:pPr>
    </w:p>
    <w:p>
      <w:pPr>
        <w:spacing w:after="140" w:line="276"/>
        <w:jc w:val="both"/>
      </w:pPr>
      <w:r>
        <w:rPr>
          <w:b w:val="false"/>
          <w:bCs w:val="false"/>
          <w:i w:val="false"/>
          <w:iCs w:val="false"/>
          <w:color w:val="222222"/>
          <w:sz w:val="22"/>
          <w:szCs w:val="22"/>
        </w:rPr>
        <w:t xml:space="preserve">Monitoring covers input-data drift, prediction drift, and performance decay as ground-truth outcomes arrive; alerts on any of these prompt a retraining cycle, which is how the system's accuracy is designed to improve as the real project record grows.</w:t>
      </w:r>
    </w:p>
    <w:p>
      <w:pPr>
        <w:pStyle w:val="Heading1"/>
      </w:pPr>
      <w:r>
        <w:t xml:space="preserve">12. Security, Access Control &amp; Audit</w:t>
      </w:r>
    </w:p>
    <w:p>
      <w:pPr>
        <w:spacing w:after="140" w:line="276"/>
        <w:jc w:val="both"/>
      </w:pPr>
      <w:r>
        <w:rPr>
          <w:b w:val="false"/>
          <w:bCs w:val="false"/>
          <w:i w:val="false"/>
          <w:iCs w:val="false"/>
          <w:color w:val="222222"/>
          <w:sz w:val="22"/>
          <w:szCs w:val="22"/>
        </w:rPr>
        <w:t xml:space="preserve">Access is governed by role-based access control, enforced in the API rather than the UI. A JWT carries the caller's role and jurisdiction, and every data query is scoped to that jurisdiction, so a district officer's requests can only ever return their district's projects.</w:t>
      </w:r>
    </w:p>
    <w:p>
      <w:pPr>
        <w:spacing w:after="40"/>
      </w:pP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2200"/>
        <w:gridCol w:w="2900"/>
        <w:gridCol w:w="4260"/>
      </w:tblGrid>
      <w:tr>
        <w:trPr>
          <w:tblHeader/>
        </w:trPr>
        <w:tc>
          <w:tcPr>
            <w:tcW w:type="dxa" w:w="2200"/>
            <w:shd w:fill="1F3864" w:color="auto" w:val="clear"/>
            <w:tcMar>
              <w:top w:type="dxa" w:w="66"/>
              <w:left w:type="dxa" w:w="120"/>
              <w:bottom w:type="dxa" w:w="66"/>
              <w:right w:type="dxa" w:w="120"/>
            </w:tcMar>
          </w:tcPr>
          <w:p>
            <w:pPr>
              <w:spacing w:after="0" w:line="260"/>
            </w:pPr>
            <w:r>
              <w:rPr>
                <w:b/>
                <w:bCs/>
                <w:color w:val="FFFFFF"/>
                <w:sz w:val="20"/>
                <w:szCs w:val="20"/>
              </w:rPr>
              <w:t xml:space="preserve">Role</w:t>
            </w:r>
          </w:p>
        </w:tc>
        <w:tc>
          <w:tcPr>
            <w:tcW w:type="dxa" w:w="2900"/>
            <w:shd w:fill="1F3864" w:color="auto" w:val="clear"/>
            <w:tcMar>
              <w:top w:type="dxa" w:w="66"/>
              <w:left w:type="dxa" w:w="120"/>
              <w:bottom w:type="dxa" w:w="66"/>
              <w:right w:type="dxa" w:w="120"/>
            </w:tcMar>
          </w:tcPr>
          <w:p>
            <w:pPr>
              <w:spacing w:after="0" w:line="260"/>
            </w:pPr>
            <w:r>
              <w:rPr>
                <w:b/>
                <w:bCs/>
                <w:color w:val="FFFFFF"/>
                <w:sz w:val="20"/>
                <w:szCs w:val="20"/>
              </w:rPr>
              <w:t xml:space="preserve">Data Scope</w:t>
            </w:r>
          </w:p>
        </w:tc>
        <w:tc>
          <w:tcPr>
            <w:tcW w:type="dxa" w:w="4260"/>
            <w:shd w:fill="1F3864" w:color="auto" w:val="clear"/>
            <w:tcMar>
              <w:top w:type="dxa" w:w="66"/>
              <w:left w:type="dxa" w:w="120"/>
              <w:bottom w:type="dxa" w:w="66"/>
              <w:right w:type="dxa" w:w="120"/>
            </w:tcMar>
          </w:tcPr>
          <w:p>
            <w:pPr>
              <w:spacing w:after="0" w:line="260"/>
            </w:pPr>
            <w:r>
              <w:rPr>
                <w:b/>
                <w:bCs/>
                <w:color w:val="FFFFFF"/>
                <w:sz w:val="20"/>
                <w:szCs w:val="20"/>
              </w:rPr>
              <w:t xml:space="preserve">Capabilities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Administrator</w:t>
            </w:r>
          </w:p>
        </w:tc>
        <w:tc>
          <w:tcPr>
            <w:tcW w:type="dxa" w:w="2900"/>
            <w:tcMar>
              <w:top w:type="dxa" w:w="54"/>
              <w:left w:type="dxa" w:w="120"/>
              <w:bottom w:type="dxa" w:w="54"/>
              <w:right w:type="dxa" w:w="120"/>
            </w:tcMar>
          </w:tcPr>
          <w:p>
            <w:pPr>
              <w:spacing w:after="0" w:line="258"/>
            </w:pPr>
            <w:r>
              <w:rPr>
                <w:b w:val="false"/>
                <w:bCs w:val="false"/>
                <w:color w:val="222222"/>
                <w:sz w:val="19"/>
                <w:szCs w:val="19"/>
              </w:rPr>
              <w:t xml:space="preserve">All states &amp; districts</w:t>
            </w:r>
          </w:p>
        </w:tc>
        <w:tc>
          <w:tcPr>
            <w:tcW w:type="dxa" w:w="4260"/>
            <w:tcMar>
              <w:top w:type="dxa" w:w="54"/>
              <w:left w:type="dxa" w:w="120"/>
              <w:bottom w:type="dxa" w:w="54"/>
              <w:right w:type="dxa" w:w="120"/>
            </w:tcMar>
          </w:tcPr>
          <w:p>
            <w:pPr>
              <w:spacing w:after="0" w:line="258"/>
            </w:pPr>
            <w:r>
              <w:rPr>
                <w:b w:val="false"/>
                <w:bCs w:val="false"/>
                <w:color w:val="222222"/>
                <w:sz w:val="19"/>
                <w:szCs w:val="19"/>
              </w:rPr>
              <w:t xml:space="preserve">Full access; trigger retraining; manage users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State Officer</w:t>
            </w:r>
          </w:p>
        </w:tc>
        <w:tc>
          <w:tcPr>
            <w:tcW w:type="dxa" w:w="2900"/>
            <w:tcMar>
              <w:top w:type="dxa" w:w="54"/>
              <w:left w:type="dxa" w:w="120"/>
              <w:bottom w:type="dxa" w:w="54"/>
              <w:right w:type="dxa" w:w="120"/>
            </w:tcMar>
          </w:tcPr>
          <w:p>
            <w:pPr>
              <w:spacing w:after="0" w:line="258"/>
            </w:pPr>
            <w:r>
              <w:rPr>
                <w:b w:val="false"/>
                <w:bCs w:val="false"/>
                <w:color w:val="222222"/>
                <w:sz w:val="19"/>
                <w:szCs w:val="19"/>
              </w:rPr>
              <w:t xml:space="preserve">Assigned state</w:t>
            </w:r>
          </w:p>
        </w:tc>
        <w:tc>
          <w:tcPr>
            <w:tcW w:type="dxa" w:w="4260"/>
            <w:tcMar>
              <w:top w:type="dxa" w:w="54"/>
              <w:left w:type="dxa" w:w="120"/>
              <w:bottom w:type="dxa" w:w="54"/>
              <w:right w:type="dxa" w:w="120"/>
            </w:tcMar>
          </w:tcPr>
          <w:p>
            <w:pPr>
              <w:spacing w:after="0" w:line="258"/>
            </w:pPr>
            <w:r>
              <w:rPr>
                <w:b w:val="false"/>
                <w:bCs w:val="false"/>
                <w:color w:val="222222"/>
                <w:sz w:val="19"/>
                <w:szCs w:val="19"/>
              </w:rPr>
              <w:t xml:space="preserve">View &amp; prioritize all projects in state</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District Officer</w:t>
            </w:r>
          </w:p>
        </w:tc>
        <w:tc>
          <w:tcPr>
            <w:tcW w:type="dxa" w:w="2900"/>
            <w:tcMar>
              <w:top w:type="dxa" w:w="54"/>
              <w:left w:type="dxa" w:w="120"/>
              <w:bottom w:type="dxa" w:w="54"/>
              <w:right w:type="dxa" w:w="120"/>
            </w:tcMar>
          </w:tcPr>
          <w:p>
            <w:pPr>
              <w:spacing w:after="0" w:line="258"/>
            </w:pPr>
            <w:r>
              <w:rPr>
                <w:b w:val="false"/>
                <w:bCs w:val="false"/>
                <w:color w:val="222222"/>
                <w:sz w:val="19"/>
                <w:szCs w:val="19"/>
              </w:rPr>
              <w:t xml:space="preserve">Assigned district</w:t>
            </w:r>
          </w:p>
        </w:tc>
        <w:tc>
          <w:tcPr>
            <w:tcW w:type="dxa" w:w="4260"/>
            <w:tcMar>
              <w:top w:type="dxa" w:w="54"/>
              <w:left w:type="dxa" w:w="120"/>
              <w:bottom w:type="dxa" w:w="54"/>
              <w:right w:type="dxa" w:w="120"/>
            </w:tcMar>
          </w:tcPr>
          <w:p>
            <w:pPr>
              <w:spacing w:after="0" w:line="258"/>
            </w:pPr>
            <w:r>
              <w:rPr>
                <w:b w:val="false"/>
                <w:bCs w:val="false"/>
                <w:color w:val="222222"/>
                <w:sz w:val="19"/>
                <w:szCs w:val="19"/>
              </w:rPr>
              <w:t xml:space="preserve">View &amp; act on district projects</w:t>
            </w:r>
          </w:p>
        </w:tc>
      </w:tr>
      <w:tr>
        <w:tc>
          <w:tcPr>
            <w:tcW w:type="dxa" w:w="2200"/>
            <w:tcMar>
              <w:top w:type="dxa" w:w="54"/>
              <w:left w:type="dxa" w:w="120"/>
              <w:bottom w:type="dxa" w:w="54"/>
              <w:right w:type="dxa" w:w="120"/>
            </w:tcMar>
          </w:tcPr>
          <w:p>
            <w:pPr>
              <w:spacing w:after="0" w:line="258"/>
            </w:pPr>
            <w:r>
              <w:rPr>
                <w:b w:val="false"/>
                <w:bCs w:val="false"/>
                <w:color w:val="222222"/>
                <w:sz w:val="19"/>
                <w:szCs w:val="19"/>
              </w:rPr>
              <w:t xml:space="preserve">Project Manager</w:t>
            </w:r>
          </w:p>
        </w:tc>
        <w:tc>
          <w:tcPr>
            <w:tcW w:type="dxa" w:w="2900"/>
            <w:tcMar>
              <w:top w:type="dxa" w:w="54"/>
              <w:left w:type="dxa" w:w="120"/>
              <w:bottom w:type="dxa" w:w="54"/>
              <w:right w:type="dxa" w:w="120"/>
            </w:tcMar>
          </w:tcPr>
          <w:p>
            <w:pPr>
              <w:spacing w:after="0" w:line="258"/>
            </w:pPr>
            <w:r>
              <w:rPr>
                <w:b w:val="false"/>
                <w:bCs w:val="false"/>
                <w:color w:val="222222"/>
                <w:sz w:val="19"/>
                <w:szCs w:val="19"/>
              </w:rPr>
              <w:t xml:space="preserve">Assigned projects</w:t>
            </w:r>
          </w:p>
        </w:tc>
        <w:tc>
          <w:tcPr>
            <w:tcW w:type="dxa" w:w="4260"/>
            <w:tcMar>
              <w:top w:type="dxa" w:w="54"/>
              <w:left w:type="dxa" w:w="120"/>
              <w:bottom w:type="dxa" w:w="54"/>
              <w:right w:type="dxa" w:w="120"/>
            </w:tcMar>
          </w:tcPr>
          <w:p>
            <w:pPr>
              <w:spacing w:after="0" w:line="258"/>
            </w:pPr>
            <w:r>
              <w:rPr>
                <w:b w:val="false"/>
                <w:bCs w:val="false"/>
                <w:color w:val="222222"/>
                <w:sz w:val="19"/>
                <w:szCs w:val="19"/>
              </w:rPr>
              <w:t xml:space="preserve">View assigned projects and recommendations</w:t>
            </w:r>
          </w:p>
        </w:tc>
      </w:tr>
    </w:tbl>
    <w:p>
      <w:pPr>
        <w:spacing w:after="80"/>
      </w:pPr>
    </w:p>
    <w:p>
      <w:pPr>
        <w:spacing w:after="140" w:line="276"/>
        <w:jc w:val="both"/>
      </w:pPr>
      <w:r>
        <w:rPr>
          <w:b w:val="false"/>
          <w:bCs w:val="false"/>
          <w:i w:val="false"/>
          <w:iCs w:val="false"/>
          <w:color w:val="222222"/>
          <w:sz w:val="22"/>
          <w:szCs w:val="22"/>
        </w:rPr>
        <w:t xml:space="preserve">Every state-changing action and sensitive read is written to an append-only audit log (actor, action, entity, timestamp), inputs are validated through Pydantic schemas, credentials and secrets are held outside source control, and data is encrypted in transit.</w:t>
      </w:r>
    </w:p>
    <w:p>
      <w:pPr>
        <w:pStyle w:val="Heading1"/>
      </w:pPr>
      <w:r>
        <w:t xml:space="preserve">13. Technology Stack</w:t>
      </w:r>
    </w:p>
    <w:tbl>
      <w:tblPr>
        <w:tblW w:type="dxa" w:w="9360"/>
        <w:tblBorders>
          <w:top w:val="single" w:color="C9D2DF" w:sz="4"/>
          <w:left w:val="single" w:color="C9D2DF" w:sz="4"/>
          <w:bottom w:val="single" w:color="C9D2DF" w:sz="4"/>
          <w:right w:val="single" w:color="C9D2DF" w:sz="4"/>
          <w:insideH w:val="single" w:color="C9D2DF" w:sz="4"/>
          <w:insideV w:val="single" w:color="C9D2DF" w:sz="4"/>
        </w:tblBorders>
      </w:tblPr>
      <w:tblGrid>
        <w:gridCol w:w="2400"/>
        <w:gridCol w:w="6960"/>
      </w:tblGrid>
      <w:tr>
        <w:trPr>
          <w:tblHeader/>
        </w:trPr>
        <w:tc>
          <w:tcPr>
            <w:tcW w:type="dxa" w:w="2400"/>
            <w:shd w:fill="1F3864" w:color="auto" w:val="clear"/>
            <w:tcMar>
              <w:top w:type="dxa" w:w="66"/>
              <w:left w:type="dxa" w:w="120"/>
              <w:bottom w:type="dxa" w:w="66"/>
              <w:right w:type="dxa" w:w="120"/>
            </w:tcMar>
          </w:tcPr>
          <w:p>
            <w:pPr>
              <w:spacing w:after="0" w:line="260"/>
            </w:pPr>
            <w:r>
              <w:rPr>
                <w:b/>
                <w:bCs/>
                <w:color w:val="FFFFFF"/>
                <w:sz w:val="20"/>
                <w:szCs w:val="20"/>
              </w:rPr>
              <w:t xml:space="preserve">Layer</w:t>
            </w:r>
          </w:p>
        </w:tc>
        <w:tc>
          <w:tcPr>
            <w:tcW w:type="dxa" w:w="6960"/>
            <w:shd w:fill="1F3864" w:color="auto" w:val="clear"/>
            <w:tcMar>
              <w:top w:type="dxa" w:w="66"/>
              <w:left w:type="dxa" w:w="120"/>
              <w:bottom w:type="dxa" w:w="66"/>
              <w:right w:type="dxa" w:w="120"/>
            </w:tcMar>
          </w:tcPr>
          <w:p>
            <w:pPr>
              <w:spacing w:after="0" w:line="260"/>
            </w:pPr>
            <w:r>
              <w:rPr>
                <w:b/>
                <w:bCs/>
                <w:color w:val="FFFFFF"/>
                <w:sz w:val="20"/>
                <w:szCs w:val="20"/>
              </w:rPr>
              <w:t xml:space="preserve">Technologies</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ML &amp; modelling</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Python 3.11, scikit-learn, XGBoost, LightGBM, scikit-survival, SHAP, imbalanced-learn, Optuna</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Data &amp; processing</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pandas, NumPy, PostgreSQL 15 + PostGIS, SQLAlchemy</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Service / API</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FastAPI, Pydantic, Uvicorn, python-jose (JWT)</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MLOps</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MLflow (tracking &amp; registry), joblib / ONNX, Evidently (drift)</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Frontend</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React 18, Vite, Recharts, Leaflet / Mapbox GL JS</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Infrastructure</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Docker, Docker Compose, Nginx</w:t>
            </w:r>
          </w:p>
        </w:tc>
      </w:tr>
      <w:tr>
        <w:tc>
          <w:tcPr>
            <w:tcW w:type="dxa" w:w="2400"/>
            <w:tcMar>
              <w:top w:type="dxa" w:w="54"/>
              <w:left w:type="dxa" w:w="120"/>
              <w:bottom w:type="dxa" w:w="54"/>
              <w:right w:type="dxa" w:w="120"/>
            </w:tcMar>
          </w:tcPr>
          <w:p>
            <w:pPr>
              <w:spacing w:after="0" w:line="258"/>
            </w:pPr>
            <w:r>
              <w:rPr>
                <w:b w:val="false"/>
                <w:bCs w:val="false"/>
                <w:color w:val="222222"/>
                <w:sz w:val="19"/>
                <w:szCs w:val="19"/>
              </w:rPr>
              <w:t xml:space="preserve">Quality</w:t>
            </w:r>
          </w:p>
        </w:tc>
        <w:tc>
          <w:tcPr>
            <w:tcW w:type="dxa" w:w="6960"/>
            <w:tcMar>
              <w:top w:type="dxa" w:w="54"/>
              <w:left w:type="dxa" w:w="120"/>
              <w:bottom w:type="dxa" w:w="54"/>
              <w:right w:type="dxa" w:w="120"/>
            </w:tcMar>
          </w:tcPr>
          <w:p>
            <w:pPr>
              <w:spacing w:after="0" w:line="258"/>
            </w:pPr>
            <w:r>
              <w:rPr>
                <w:b w:val="false"/>
                <w:bCs w:val="false"/>
                <w:color w:val="222222"/>
                <w:sz w:val="19"/>
                <w:szCs w:val="19"/>
              </w:rPr>
              <w:t xml:space="preserve">pytest, schema validation, chronological back-testing</w:t>
            </w:r>
          </w:p>
        </w:tc>
      </w:tr>
    </w:tbl>
    <w:p>
      <w:pPr>
        <w:pStyle w:val="Heading1"/>
      </w:pPr>
      <w:r>
        <w:t xml:space="preserve">14. Validation Plan</w:t>
      </w:r>
    </w:p>
    <w:p>
      <w:pPr>
        <w:spacing w:after="140" w:line="276"/>
        <w:jc w:val="both"/>
      </w:pPr>
      <w:r>
        <w:rPr>
          <w:b w:val="false"/>
          <w:bCs w:val="false"/>
          <w:i w:val="false"/>
          <w:iCs w:val="false"/>
          <w:color w:val="222222"/>
          <w:sz w:val="22"/>
          <w:szCs w:val="22"/>
        </w:rPr>
        <w:t xml:space="preserve">The prototype is demonstrated to work — not merely to run — through a concrete evaluation: a chronological hold-out of projects unseen in training; a comparison of the gradient-boosted models against the logistic-regression baseline; the full metric suite with emphasis on recall for High/Critical projects; a reliability curve proving calibration; a SHAP analysis confirming that the model's learned drivers align with the causes named in official reports; and an ablation showing which feature families contribute most. Together these establish that the predictions are accurate, calibrated, explainable, and grounded in the real drivers of land-acquisition delay.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F" w:sz="4" w:space="6"/>
      </w:pBdr>
      <w:spacing w:before="60"/>
      <w:jc w:val="center"/>
    </w:pPr>
    <w:r>
      <w:rPr>
        <w:color w:val="6B6B6B"/>
        <w:sz w:val="16"/>
        <w:szCs w:val="16"/>
      </w:rPr>
      <w:t xml:space="preserve">SIH26017 · Technical Design Document · 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2F6F6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2DF" w:sz="8" w:space="6"/>
      </w:pBdr>
      <w:spacing w:after="13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60" w:before="200"/>
      <w:outlineLvl w:val="1"/>
    </w:pPr>
    <w:rPr>
      <w:rFonts w:ascii="Calibri" w:cs="Calibri" w:eastAsia="Calibri" w:hAnsi="Calibri"/>
      <w:b/>
      <w:bCs/>
      <w:color w:val="2F6F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 AI Land Acquisition Delay-Prediction Platform (SIH26017)</dc:title>
  <dc:creator>MeerTech</dc:creator>
  <dc:description>SIH26017 technical design document</dc:description>
  <cp:lastModifiedBy>Un-named</cp:lastModifiedBy>
  <cp:revision>1</cp:revision>
  <dcterms:created xsi:type="dcterms:W3CDTF">2026-08-31T15:29:18.049Z</dcterms:created>
  <dcterms:modified xsi:type="dcterms:W3CDTF">2026-08-31T15:29:18.049Z</dcterms:modified>
</cp:coreProperties>
</file>

<file path=docProps/custom.xml><?xml version="1.0" encoding="utf-8"?>
<Properties xmlns="http://schemas.openxmlformats.org/officeDocument/2006/custom-properties" xmlns:vt="http://schemas.openxmlformats.org/officeDocument/2006/docPropsVTypes"/>
</file>