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2A3C"/>
          <w:sz w:val="34"/>
          <w:szCs w:val="34"/>
        </w:rPr>
        <w:t xml:space="preserve">Sales &amp; purchase orders and invoices — ERP UI design standard</w:t>
      </w:r>
    </w:p>
    <w:p>
      <w:pPr>
        <w:spacing w:after="280" w:before="0"/>
      </w:pPr>
      <w:r>
        <w:rPr>
          <w:i/>
          <w:iCs/>
          <w:color w:val="5A6472"/>
        </w:rPr>
        <w:t xml:space="preserve">Document types and order-to-invoice flow, field conventions, combined-vs-per-line calculation logic, multi-ledger additional charges, the Additional Settings side panel, further and withholding tax handling on both sides of the ledger, and general ledger posting — as used across SAP S/4HANA, Oracle Fusion Cloud, and Microsoft Dynamics 365</w:t>
      </w:r>
    </w:p>
    <w:p>
      <w:pPr>
        <w:pStyle w:val="Heading1"/>
        <w:spacing w:after="160" w:before="320"/>
      </w:pPr>
      <w:r>
        <w:rPr>
          <w:b/>
          <w:bCs/>
          <w:color w:val="1F2A3C"/>
          <w:sz w:val="28"/>
          <w:szCs w:val="28"/>
        </w:rPr>
        <w:t xml:space="preserve">1. Scope — four document types, one architecture</w:t>
      </w:r>
    </w:p>
    <w:p>
      <w:pPr>
        <w:spacing w:after="160" w:before="0"/>
      </w:pPr>
      <w:r>
        <w:t xml:space="preserve">This standard covers the four commercial documents every ERP carries, on both sides of the ledger:</w:t>
      </w:r>
    </w:p>
    <w:tbl>
      <w:tblPr>
        <w:tblW w:type="dxa" w:w="10080"/>
        <w:tblBorders>
          <w:top w:val="single" w:color="C8CDD4" w:sz="4"/>
          <w:left w:val="single" w:color="C8CDD4" w:sz="4"/>
          <w:bottom w:val="single" w:color="C8CDD4" w:sz="4"/>
          <w:right w:val="single" w:color="C8CDD4" w:sz="4"/>
          <w:insideH w:val="single" w:color="C8CDD4" w:sz="4"/>
          <w:insideV w:val="single" w:color="C8CDD4" w:sz="4"/>
        </w:tblBorders>
      </w:tblPr>
      <w:tblGrid>
        <w:gridCol w:w="2100"/>
        <w:gridCol w:w="3480"/>
        <w:gridCol w:w="1900"/>
        <w:gridCol w:w="2600"/>
      </w:tblGrid>
      <w:tr>
        <w:trPr>
          <w:tblHeader/>
        </w:trPr>
        <w:tc>
          <w:tcPr>
            <w:tcW w:type="dxa" w:w="2100"/>
            <w:shd w:fill="3D4E66" w:val="clear"/>
            <w:tcMar>
              <w:top w:type="dxa" w:w="60"/>
              <w:left w:type="dxa" w:w="100"/>
              <w:bottom w:type="dxa" w:w="60"/>
              <w:right w:type="dxa" w:w="100"/>
            </w:tcMar>
          </w:tcPr>
          <w:p>
            <w:pPr>
              <w:spacing w:after="0"/>
              <w:jc w:val="left"/>
            </w:pPr>
            <w:r>
              <w:rPr>
                <w:b/>
                <w:bCs/>
                <w:color w:val="FFFFFF"/>
                <w:sz w:val="20"/>
                <w:szCs w:val="20"/>
              </w:rPr>
              <w:t xml:space="preserve">Document</w:t>
            </w:r>
          </w:p>
        </w:tc>
        <w:tc>
          <w:tcPr>
            <w:tcW w:type="dxa" w:w="3480"/>
            <w:shd w:fill="3D4E66" w:val="clear"/>
            <w:tcMar>
              <w:top w:type="dxa" w:w="60"/>
              <w:left w:type="dxa" w:w="100"/>
              <w:bottom w:type="dxa" w:w="60"/>
              <w:right w:type="dxa" w:w="100"/>
            </w:tcMar>
          </w:tcPr>
          <w:p>
            <w:pPr>
              <w:spacing w:after="0"/>
              <w:jc w:val="left"/>
            </w:pPr>
            <w:r>
              <w:rPr>
                <w:b/>
                <w:bCs/>
                <w:color w:val="FFFFFF"/>
                <w:sz w:val="20"/>
                <w:szCs w:val="20"/>
              </w:rPr>
              <w:t xml:space="preserve">Role</w:t>
            </w:r>
          </w:p>
        </w:tc>
        <w:tc>
          <w:tcPr>
            <w:tcW w:type="dxa" w:w="1900"/>
            <w:shd w:fill="3D4E66" w:val="clear"/>
            <w:tcMar>
              <w:top w:type="dxa" w:w="60"/>
              <w:left w:type="dxa" w:w="100"/>
              <w:bottom w:type="dxa" w:w="60"/>
              <w:right w:type="dxa" w:w="100"/>
            </w:tcMar>
          </w:tcPr>
          <w:p>
            <w:pPr>
              <w:spacing w:after="0"/>
              <w:jc w:val="left"/>
            </w:pPr>
            <w:r>
              <w:rPr>
                <w:b/>
                <w:bCs/>
                <w:color w:val="FFFFFF"/>
                <w:sz w:val="20"/>
                <w:szCs w:val="20"/>
              </w:rPr>
              <w:t xml:space="preserve">Posts to GL?</w:t>
            </w:r>
          </w:p>
        </w:tc>
        <w:tc>
          <w:tcPr>
            <w:tcW w:type="dxa" w:w="2600"/>
            <w:shd w:fill="3D4E66" w:val="clear"/>
            <w:tcMar>
              <w:top w:type="dxa" w:w="60"/>
              <w:left w:type="dxa" w:w="100"/>
              <w:bottom w:type="dxa" w:w="60"/>
              <w:right w:type="dxa" w:w="100"/>
            </w:tcMar>
          </w:tcPr>
          <w:p>
            <w:pPr>
              <w:spacing w:after="0"/>
              <w:jc w:val="left"/>
            </w:pPr>
            <w:r>
              <w:rPr>
                <w:b/>
                <w:bCs/>
                <w:color w:val="FFFFFF"/>
                <w:sz w:val="20"/>
                <w:szCs w:val="20"/>
              </w:rPr>
              <w:t xml:space="preserve">Typically created from</w:t>
            </w:r>
          </w:p>
        </w:tc>
      </w:tr>
      <w:tr>
        <w:tc>
          <w:tcPr>
            <w:tcW w:type="dxa" w:w="2100"/>
            <w:tcMar>
              <w:top w:type="dxa" w:w="60"/>
              <w:left w:type="dxa" w:w="100"/>
              <w:bottom w:type="dxa" w:w="60"/>
              <w:right w:type="dxa" w:w="100"/>
            </w:tcMar>
          </w:tcPr>
          <w:p>
            <w:pPr>
              <w:spacing w:after="0"/>
              <w:jc w:val="left"/>
            </w:pPr>
            <w:r>
              <w:rPr>
                <w:b w:val="false"/>
                <w:bCs w:val="false"/>
                <w:sz w:val="20"/>
                <w:szCs w:val="20"/>
              </w:rPr>
              <w:t xml:space="preserve">Sales order (SO)</w:t>
            </w:r>
          </w:p>
        </w:tc>
        <w:tc>
          <w:tcPr>
            <w:tcW w:type="dxa" w:w="3480"/>
            <w:tcMar>
              <w:top w:type="dxa" w:w="60"/>
              <w:left w:type="dxa" w:w="100"/>
              <w:bottom w:type="dxa" w:w="60"/>
              <w:right w:type="dxa" w:w="100"/>
            </w:tcMar>
          </w:tcPr>
          <w:p>
            <w:pPr>
              <w:spacing w:after="0"/>
              <w:jc w:val="left"/>
            </w:pPr>
            <w:r>
              <w:rPr>
                <w:b w:val="false"/>
                <w:bCs w:val="false"/>
                <w:sz w:val="20"/>
                <w:szCs w:val="20"/>
              </w:rPr>
              <w:t xml:space="preserve">Commitment to sell — prices, quantities, terms agreed with a customer</w:t>
            </w:r>
          </w:p>
        </w:tc>
        <w:tc>
          <w:tcPr>
            <w:tcW w:type="dxa" w:w="1900"/>
            <w:tcMar>
              <w:top w:type="dxa" w:w="60"/>
              <w:left w:type="dxa" w:w="100"/>
              <w:bottom w:type="dxa" w:w="60"/>
              <w:right w:type="dxa" w:w="100"/>
            </w:tcMar>
          </w:tcPr>
          <w:p>
            <w:pPr>
              <w:spacing w:after="0"/>
              <w:jc w:val="left"/>
            </w:pPr>
            <w:r>
              <w:rPr>
                <w:b w:val="false"/>
                <w:bCs w:val="false"/>
                <w:sz w:val="20"/>
                <w:szCs w:val="20"/>
              </w:rPr>
              <w:t xml:space="preserve">No — backlog / commitment only</w:t>
            </w:r>
          </w:p>
        </w:tc>
        <w:tc>
          <w:tcPr>
            <w:tcW w:type="dxa" w:w="2600"/>
            <w:tcMar>
              <w:top w:type="dxa" w:w="60"/>
              <w:left w:type="dxa" w:w="100"/>
              <w:bottom w:type="dxa" w:w="60"/>
              <w:right w:type="dxa" w:w="100"/>
            </w:tcMar>
          </w:tcPr>
          <w:p>
            <w:pPr>
              <w:spacing w:after="0"/>
              <w:jc w:val="left"/>
            </w:pPr>
            <w:r>
              <w:rPr>
                <w:b w:val="false"/>
                <w:bCs w:val="false"/>
                <w:sz w:val="20"/>
                <w:szCs w:val="20"/>
              </w:rPr>
              <w:t xml:space="preserve">Quotation, or blank</w:t>
            </w:r>
          </w:p>
        </w:tc>
      </w:tr>
      <w:tr>
        <w:tc>
          <w:tcPr>
            <w:tcW w:type="dxa" w:w="2100"/>
            <w:tcMar>
              <w:top w:type="dxa" w:w="60"/>
              <w:left w:type="dxa" w:w="100"/>
              <w:bottom w:type="dxa" w:w="60"/>
              <w:right w:type="dxa" w:w="100"/>
            </w:tcMar>
          </w:tcPr>
          <w:p>
            <w:pPr>
              <w:spacing w:after="0"/>
              <w:jc w:val="left"/>
            </w:pPr>
            <w:r>
              <w:rPr>
                <w:b w:val="false"/>
                <w:bCs w:val="false"/>
                <w:sz w:val="20"/>
                <w:szCs w:val="20"/>
              </w:rPr>
              <w:t xml:space="preserve">Sales invoice (SI)</w:t>
            </w:r>
          </w:p>
        </w:tc>
        <w:tc>
          <w:tcPr>
            <w:tcW w:type="dxa" w:w="3480"/>
            <w:tcMar>
              <w:top w:type="dxa" w:w="60"/>
              <w:left w:type="dxa" w:w="100"/>
              <w:bottom w:type="dxa" w:w="60"/>
              <w:right w:type="dxa" w:w="100"/>
            </w:tcMar>
          </w:tcPr>
          <w:p>
            <w:pPr>
              <w:spacing w:after="0"/>
              <w:jc w:val="left"/>
            </w:pPr>
            <w:r>
              <w:rPr>
                <w:b w:val="false"/>
                <w:bCs w:val="false"/>
                <w:sz w:val="20"/>
                <w:szCs w:val="20"/>
              </w:rPr>
              <w:t xml:space="preserve">Bills the customer; the financial document</w:t>
            </w:r>
          </w:p>
        </w:tc>
        <w:tc>
          <w:tcPr>
            <w:tcW w:type="dxa" w:w="1900"/>
            <w:tcMar>
              <w:top w:type="dxa" w:w="60"/>
              <w:left w:type="dxa" w:w="100"/>
              <w:bottom w:type="dxa" w:w="60"/>
              <w:right w:type="dxa" w:w="100"/>
            </w:tcMar>
          </w:tcPr>
          <w:p>
            <w:pPr>
              <w:spacing w:after="0"/>
              <w:jc w:val="left"/>
            </w:pPr>
            <w:r>
              <w:rPr>
                <w:b w:val="false"/>
                <w:bCs w:val="false"/>
                <w:sz w:val="20"/>
                <w:szCs w:val="20"/>
              </w:rPr>
              <w:t xml:space="preserve">Yes — AR, revenue, output taxes</w:t>
            </w:r>
          </w:p>
        </w:tc>
        <w:tc>
          <w:tcPr>
            <w:tcW w:type="dxa" w:w="2600"/>
            <w:tcMar>
              <w:top w:type="dxa" w:w="60"/>
              <w:left w:type="dxa" w:w="100"/>
              <w:bottom w:type="dxa" w:w="60"/>
              <w:right w:type="dxa" w:w="100"/>
            </w:tcMar>
          </w:tcPr>
          <w:p>
            <w:pPr>
              <w:spacing w:after="0"/>
              <w:jc w:val="left"/>
            </w:pPr>
            <w:r>
              <w:rPr>
                <w:b w:val="false"/>
                <w:bCs w:val="false"/>
                <w:sz w:val="20"/>
                <w:szCs w:val="20"/>
              </w:rPr>
              <w:t xml:space="preserve">One or more SOs, or blank (§4)</w:t>
            </w:r>
          </w:p>
        </w:tc>
      </w:tr>
      <w:tr>
        <w:tc>
          <w:tcPr>
            <w:tcW w:type="dxa" w:w="2100"/>
            <w:tcMar>
              <w:top w:type="dxa" w:w="60"/>
              <w:left w:type="dxa" w:w="100"/>
              <w:bottom w:type="dxa" w:w="60"/>
              <w:right w:type="dxa" w:w="100"/>
            </w:tcMar>
          </w:tcPr>
          <w:p>
            <w:pPr>
              <w:spacing w:after="0"/>
              <w:jc w:val="left"/>
            </w:pPr>
            <w:r>
              <w:rPr>
                <w:b w:val="false"/>
                <w:bCs w:val="false"/>
                <w:sz w:val="20"/>
                <w:szCs w:val="20"/>
              </w:rPr>
              <w:t xml:space="preserve">Purchase order (PO)</w:t>
            </w:r>
          </w:p>
        </w:tc>
        <w:tc>
          <w:tcPr>
            <w:tcW w:type="dxa" w:w="3480"/>
            <w:tcMar>
              <w:top w:type="dxa" w:w="60"/>
              <w:left w:type="dxa" w:w="100"/>
              <w:bottom w:type="dxa" w:w="60"/>
              <w:right w:type="dxa" w:w="100"/>
            </w:tcMar>
          </w:tcPr>
          <w:p>
            <w:pPr>
              <w:spacing w:after="0"/>
              <w:jc w:val="left"/>
            </w:pPr>
            <w:r>
              <w:rPr>
                <w:b w:val="false"/>
                <w:bCs w:val="false"/>
                <w:sz w:val="20"/>
                <w:szCs w:val="20"/>
              </w:rPr>
              <w:t xml:space="preserve">Commitment to buy from a supplier</w:t>
            </w:r>
          </w:p>
        </w:tc>
        <w:tc>
          <w:tcPr>
            <w:tcW w:type="dxa" w:w="1900"/>
            <w:tcMar>
              <w:top w:type="dxa" w:w="60"/>
              <w:left w:type="dxa" w:w="100"/>
              <w:bottom w:type="dxa" w:w="60"/>
              <w:right w:type="dxa" w:w="100"/>
            </w:tcMar>
          </w:tcPr>
          <w:p>
            <w:pPr>
              <w:spacing w:after="0"/>
              <w:jc w:val="left"/>
            </w:pPr>
            <w:r>
              <w:rPr>
                <w:b w:val="false"/>
                <w:bCs w:val="false"/>
                <w:sz w:val="20"/>
                <w:szCs w:val="20"/>
              </w:rPr>
              <w:t xml:space="preserve">No — encumbrance optional</w:t>
            </w:r>
          </w:p>
        </w:tc>
        <w:tc>
          <w:tcPr>
            <w:tcW w:type="dxa" w:w="2600"/>
            <w:tcMar>
              <w:top w:type="dxa" w:w="60"/>
              <w:left w:type="dxa" w:w="100"/>
              <w:bottom w:type="dxa" w:w="60"/>
              <w:right w:type="dxa" w:w="100"/>
            </w:tcMar>
          </w:tcPr>
          <w:p>
            <w:pPr>
              <w:spacing w:after="0"/>
              <w:jc w:val="left"/>
            </w:pPr>
            <w:r>
              <w:rPr>
                <w:b w:val="false"/>
                <w:bCs w:val="false"/>
                <w:sz w:val="20"/>
                <w:szCs w:val="20"/>
              </w:rPr>
              <w:t xml:space="preserve">Requisition, or blank</w:t>
            </w:r>
          </w:p>
        </w:tc>
      </w:tr>
      <w:tr>
        <w:tc>
          <w:tcPr>
            <w:tcW w:type="dxa" w:w="2100"/>
            <w:tcMar>
              <w:top w:type="dxa" w:w="60"/>
              <w:left w:type="dxa" w:w="100"/>
              <w:bottom w:type="dxa" w:w="60"/>
              <w:right w:type="dxa" w:w="100"/>
            </w:tcMar>
          </w:tcPr>
          <w:p>
            <w:pPr>
              <w:spacing w:after="0"/>
              <w:jc w:val="left"/>
            </w:pPr>
            <w:r>
              <w:rPr>
                <w:b w:val="false"/>
                <w:bCs w:val="false"/>
                <w:sz w:val="20"/>
                <w:szCs w:val="20"/>
              </w:rPr>
              <w:t xml:space="preserve">Purchase invoice (PI)</w:t>
            </w:r>
          </w:p>
        </w:tc>
        <w:tc>
          <w:tcPr>
            <w:tcW w:type="dxa" w:w="3480"/>
            <w:tcMar>
              <w:top w:type="dxa" w:w="60"/>
              <w:left w:type="dxa" w:w="100"/>
              <w:bottom w:type="dxa" w:w="60"/>
              <w:right w:type="dxa" w:w="100"/>
            </w:tcMar>
          </w:tcPr>
          <w:p>
            <w:pPr>
              <w:spacing w:after="0"/>
              <w:jc w:val="left"/>
            </w:pPr>
            <w:r>
              <w:rPr>
                <w:b w:val="false"/>
                <w:bCs w:val="false"/>
                <w:sz w:val="20"/>
                <w:szCs w:val="20"/>
              </w:rPr>
              <w:t xml:space="preserve">Records the supplier’s bill</w:t>
            </w:r>
          </w:p>
        </w:tc>
        <w:tc>
          <w:tcPr>
            <w:tcW w:type="dxa" w:w="1900"/>
            <w:tcMar>
              <w:top w:type="dxa" w:w="60"/>
              <w:left w:type="dxa" w:w="100"/>
              <w:bottom w:type="dxa" w:w="60"/>
              <w:right w:type="dxa" w:w="100"/>
            </w:tcMar>
          </w:tcPr>
          <w:p>
            <w:pPr>
              <w:spacing w:after="0"/>
              <w:jc w:val="left"/>
            </w:pPr>
            <w:r>
              <w:rPr>
                <w:b w:val="false"/>
                <w:bCs w:val="false"/>
                <w:sz w:val="20"/>
                <w:szCs w:val="20"/>
              </w:rPr>
              <w:t xml:space="preserve">Yes — inventory/expense, input tax, AP</w:t>
            </w:r>
          </w:p>
        </w:tc>
        <w:tc>
          <w:tcPr>
            <w:tcW w:type="dxa" w:w="2600"/>
            <w:tcMar>
              <w:top w:type="dxa" w:w="60"/>
              <w:left w:type="dxa" w:w="100"/>
              <w:bottom w:type="dxa" w:w="60"/>
              <w:right w:type="dxa" w:w="100"/>
            </w:tcMar>
          </w:tcPr>
          <w:p>
            <w:pPr>
              <w:spacing w:after="0"/>
              <w:jc w:val="left"/>
            </w:pPr>
            <w:r>
              <w:rPr>
                <w:b w:val="false"/>
                <w:bCs w:val="false"/>
                <w:sz w:val="20"/>
                <w:szCs w:val="20"/>
              </w:rPr>
              <w:t xml:space="preserve">One or more POs, or blank (§4)</w:t>
            </w:r>
          </w:p>
        </w:tc>
      </w:tr>
    </w:tbl>
    <w:p>
      <w:pPr>
        <w:spacing w:after="160" w:before="160"/>
      </w:pPr>
      <w:r>
        <w:t xml:space="preserve">All four share the same screen architecture. Across SAP (S/4HANA Fiori “Create Sales Order/Invoice”, “Manage Purchase Orders/Supplier Invoices”), Oracle Fusion Cloud (Order Management, Receivables, Procurement, Payables), and Microsoft Dynamics 365 (Business Central and Finance &amp; Operations), the entry screen follows the same three-zone layout, regardless of vendor:</w:t>
      </w:r>
    </w:p>
    <w:p>
      <w:pPr>
        <w:pStyle w:val="ListParagraph"/>
        <w:numPr>
          <w:ilvl w:val="0"/>
          <w:numId w:val="2"/>
        </w:numPr>
        <w:spacing w:after="100"/>
      </w:pPr>
      <w:r>
        <w:t xml:space="preserve">Header / master data block — document number, dates, and the partner, billing, shipping and transport details that apply to the whole document.</w:t>
      </w:r>
    </w:p>
    <w:p>
      <w:pPr>
        <w:pStyle w:val="ListParagraph"/>
        <w:numPr>
          <w:ilvl w:val="0"/>
          <w:numId w:val="2"/>
        </w:numPr>
        <w:spacing w:after="100"/>
      </w:pPr>
      <w:r>
        <w:t xml:space="preserve">Line-item grid — one row per product/service, with quantity, rate, and the calculation columns that can be either document-wide or line-specific.</w:t>
      </w:r>
    </w:p>
    <w:p>
      <w:pPr>
        <w:pStyle w:val="ListParagraph"/>
        <w:numPr>
          <w:ilvl w:val="0"/>
          <w:numId w:val="2"/>
        </w:numPr>
        <w:spacing w:after="100"/>
      </w:pPr>
      <w:r>
        <w:t xml:space="preserve">Totals / tax summary panel — subtotal down to net payable, always positioned bottom-right or in a collapsible side panel, and always re-derived live as the grid changes.</w:t>
      </w:r>
    </w:p>
    <w:p>
      <w:pPr>
        <w:spacing w:after="160" w:before="0"/>
      </w:pPr>
      <w:r>
        <w:t xml:space="preserve">A fourth, on-demand zone — the right-hand Additional Settings slide-over (§7) — holds every toggle that governs how the document calculates, following SAP Fiori’s settings drawer, Oracle Redwood’s drawer pattern, and Dynamics 365’s side pane. Orders and invoices share the grid, charges, scopes and settings behaviour described in §5–§8; what invoices add is GL posting (§11) and the ability to be generated from orders (§4). The mockups throughout are original layouts built to the conventions described here, not screenshots of any vendor’s proprietary interface.</w:t>
      </w:r>
    </w:p>
    <w:p>
      <w:pPr>
        <w:pStyle w:val="Heading1"/>
        <w:spacing w:after="160" w:before="320"/>
      </w:pPr>
      <w:r>
        <w:rPr>
          <w:b/>
          <w:bCs/>
          <w:color w:val="1F2A3C"/>
          <w:sz w:val="28"/>
          <w:szCs w:val="28"/>
        </w:rPr>
        <w:t xml:space="preserve">2. Field catalogue</w:t>
      </w:r>
    </w:p>
    <w:p>
      <w:pPr>
        <w:pStyle w:val="Heading2"/>
        <w:spacing w:after="140" w:before="240"/>
      </w:pPr>
      <w:r>
        <w:rPr>
          <w:b/>
          <w:bCs/>
          <w:color w:val="3D4E66"/>
          <w:sz w:val="24"/>
          <w:szCs w:val="24"/>
        </w:rPr>
        <w:t xml:space="preserve">2.1 Customer / partner fields</w:t>
      </w:r>
    </w:p>
    <w:tbl>
      <w:tblPr>
        <w:tblW w:type="dxa" w:w="10080"/>
        <w:tblBorders>
          <w:top w:val="single" w:color="C8CDD4" w:sz="4"/>
          <w:left w:val="single" w:color="C8CDD4" w:sz="4"/>
          <w:bottom w:val="single" w:color="C8CDD4" w:sz="4"/>
          <w:right w:val="single" w:color="C8CDD4" w:sz="4"/>
          <w:insideH w:val="single" w:color="C8CDD4" w:sz="4"/>
          <w:insideV w:val="single" w:color="C8CDD4" w:sz="4"/>
        </w:tblBorders>
      </w:tblPr>
      <w:tblGrid>
        <w:gridCol w:w="1650"/>
        <w:gridCol w:w="2900"/>
        <w:gridCol w:w="1800"/>
        <w:gridCol w:w="1830"/>
        <w:gridCol w:w="1900"/>
      </w:tblGrid>
      <w:tr>
        <w:trPr>
          <w:tblHeader/>
        </w:trPr>
        <w:tc>
          <w:tcPr>
            <w:tcW w:type="dxa" w:w="1650"/>
            <w:shd w:fill="3D4E66" w:val="clear"/>
            <w:tcMar>
              <w:top w:type="dxa" w:w="60"/>
              <w:left w:type="dxa" w:w="100"/>
              <w:bottom w:type="dxa" w:w="60"/>
              <w:right w:type="dxa" w:w="100"/>
            </w:tcMar>
          </w:tcPr>
          <w:p>
            <w:pPr>
              <w:spacing w:after="0"/>
              <w:jc w:val="left"/>
            </w:pPr>
            <w:r>
              <w:rPr>
                <w:b/>
                <w:bCs/>
                <w:color w:val="FFFFFF"/>
                <w:sz w:val="20"/>
                <w:szCs w:val="20"/>
              </w:rPr>
              <w:t xml:space="preserve">Field</w:t>
            </w:r>
          </w:p>
        </w:tc>
        <w:tc>
          <w:tcPr>
            <w:tcW w:type="dxa" w:w="2900"/>
            <w:shd w:fill="3D4E66" w:val="clear"/>
            <w:tcMar>
              <w:top w:type="dxa" w:w="60"/>
              <w:left w:type="dxa" w:w="100"/>
              <w:bottom w:type="dxa" w:w="60"/>
              <w:right w:type="dxa" w:w="100"/>
            </w:tcMar>
          </w:tcPr>
          <w:p>
            <w:pPr>
              <w:spacing w:after="0"/>
              <w:jc w:val="left"/>
            </w:pPr>
            <w:r>
              <w:rPr>
                <w:b/>
                <w:bCs/>
                <w:color w:val="FFFFFF"/>
                <w:sz w:val="20"/>
                <w:szCs w:val="20"/>
              </w:rPr>
              <w:t xml:space="preserve">Purpose</w:t>
            </w:r>
          </w:p>
        </w:tc>
        <w:tc>
          <w:tcPr>
            <w:tcW w:type="dxa" w:w="1800"/>
            <w:shd w:fill="3D4E66" w:val="clear"/>
            <w:tcMar>
              <w:top w:type="dxa" w:w="60"/>
              <w:left w:type="dxa" w:w="100"/>
              <w:bottom w:type="dxa" w:w="60"/>
              <w:right w:type="dxa" w:w="100"/>
            </w:tcMar>
          </w:tcPr>
          <w:p>
            <w:pPr>
              <w:spacing w:after="0"/>
              <w:jc w:val="left"/>
            </w:pPr>
            <w:r>
              <w:rPr>
                <w:b/>
                <w:bCs/>
                <w:color w:val="FFFFFF"/>
                <w:sz w:val="20"/>
                <w:szCs w:val="20"/>
              </w:rPr>
              <w:t xml:space="preserve">SAP term</w:t>
            </w:r>
          </w:p>
        </w:tc>
        <w:tc>
          <w:tcPr>
            <w:tcW w:type="dxa" w:w="1830"/>
            <w:shd w:fill="3D4E66" w:val="clear"/>
            <w:tcMar>
              <w:top w:type="dxa" w:w="60"/>
              <w:left w:type="dxa" w:w="100"/>
              <w:bottom w:type="dxa" w:w="60"/>
              <w:right w:type="dxa" w:w="100"/>
            </w:tcMar>
          </w:tcPr>
          <w:p>
            <w:pPr>
              <w:spacing w:after="0"/>
              <w:jc w:val="left"/>
            </w:pPr>
            <w:r>
              <w:rPr>
                <w:b/>
                <w:bCs/>
                <w:color w:val="FFFFFF"/>
                <w:sz w:val="20"/>
                <w:szCs w:val="20"/>
              </w:rPr>
              <w:t xml:space="preserve">Oracle term</w:t>
            </w:r>
          </w:p>
        </w:tc>
        <w:tc>
          <w:tcPr>
            <w:tcW w:type="dxa" w:w="1900"/>
            <w:shd w:fill="3D4E66" w:val="clear"/>
            <w:tcMar>
              <w:top w:type="dxa" w:w="60"/>
              <w:left w:type="dxa" w:w="100"/>
              <w:bottom w:type="dxa" w:w="60"/>
              <w:right w:type="dxa" w:w="100"/>
            </w:tcMar>
          </w:tcPr>
          <w:p>
            <w:pPr>
              <w:spacing w:after="0"/>
              <w:jc w:val="left"/>
            </w:pPr>
            <w:r>
              <w:rPr>
                <w:b/>
                <w:bCs/>
                <w:color w:val="FFFFFF"/>
                <w:sz w:val="20"/>
                <w:szCs w:val="20"/>
              </w:rPr>
              <w:t xml:space="preserve">Dynamics 365 term</w:t>
            </w:r>
          </w:p>
        </w:tc>
      </w:tr>
      <w:tr>
        <w:tc>
          <w:tcPr>
            <w:tcW w:type="dxa" w:w="1650"/>
            <w:tcMar>
              <w:top w:type="dxa" w:w="60"/>
              <w:left w:type="dxa" w:w="100"/>
              <w:bottom w:type="dxa" w:w="60"/>
              <w:right w:type="dxa" w:w="100"/>
            </w:tcMar>
          </w:tcPr>
          <w:p>
            <w:pPr>
              <w:spacing w:after="0"/>
              <w:jc w:val="left"/>
            </w:pPr>
            <w:r>
              <w:rPr>
                <w:b w:val="false"/>
                <w:bCs w:val="false"/>
                <w:sz w:val="20"/>
                <w:szCs w:val="20"/>
              </w:rPr>
              <w:t xml:space="preserve">Sold-to party</w:t>
            </w:r>
          </w:p>
        </w:tc>
        <w:tc>
          <w:tcPr>
            <w:tcW w:type="dxa" w:w="2900"/>
            <w:tcMar>
              <w:top w:type="dxa" w:w="60"/>
              <w:left w:type="dxa" w:w="100"/>
              <w:bottom w:type="dxa" w:w="60"/>
              <w:right w:type="dxa" w:w="100"/>
            </w:tcMar>
          </w:tcPr>
          <w:p>
            <w:pPr>
              <w:spacing w:after="0"/>
              <w:jc w:val="left"/>
            </w:pPr>
            <w:r>
              <w:rPr>
                <w:b w:val="false"/>
                <w:bCs w:val="false"/>
                <w:sz w:val="20"/>
                <w:szCs w:val="20"/>
              </w:rPr>
              <w:t xml:space="preserve">Primary customer on the document</w:t>
            </w:r>
          </w:p>
        </w:tc>
        <w:tc>
          <w:tcPr>
            <w:tcW w:type="dxa" w:w="1800"/>
            <w:tcMar>
              <w:top w:type="dxa" w:w="60"/>
              <w:left w:type="dxa" w:w="100"/>
              <w:bottom w:type="dxa" w:w="60"/>
              <w:right w:type="dxa" w:w="100"/>
            </w:tcMar>
          </w:tcPr>
          <w:p>
            <w:pPr>
              <w:spacing w:after="0"/>
              <w:jc w:val="left"/>
            </w:pPr>
            <w:r>
              <w:rPr>
                <w:b w:val="false"/>
                <w:bCs w:val="false"/>
                <w:sz w:val="20"/>
                <w:szCs w:val="20"/>
              </w:rPr>
              <w:t xml:space="preserve">Sold-to Party</w:t>
            </w:r>
          </w:p>
        </w:tc>
        <w:tc>
          <w:tcPr>
            <w:tcW w:type="dxa" w:w="1830"/>
            <w:tcMar>
              <w:top w:type="dxa" w:w="60"/>
              <w:left w:type="dxa" w:w="100"/>
              <w:bottom w:type="dxa" w:w="60"/>
              <w:right w:type="dxa" w:w="100"/>
            </w:tcMar>
          </w:tcPr>
          <w:p>
            <w:pPr>
              <w:spacing w:after="0"/>
              <w:jc w:val="left"/>
            </w:pPr>
            <w:r>
              <w:rPr>
                <w:b w:val="false"/>
                <w:bCs w:val="false"/>
                <w:sz w:val="20"/>
                <w:szCs w:val="20"/>
              </w:rPr>
              <w:t xml:space="preserve">Bill-to Customer</w:t>
            </w:r>
          </w:p>
        </w:tc>
        <w:tc>
          <w:tcPr>
            <w:tcW w:type="dxa" w:w="1900"/>
            <w:tcMar>
              <w:top w:type="dxa" w:w="60"/>
              <w:left w:type="dxa" w:w="100"/>
              <w:bottom w:type="dxa" w:w="60"/>
              <w:right w:type="dxa" w:w="100"/>
            </w:tcMar>
          </w:tcPr>
          <w:p>
            <w:pPr>
              <w:spacing w:after="0"/>
              <w:jc w:val="left"/>
            </w:pPr>
            <w:r>
              <w:rPr>
                <w:b w:val="false"/>
                <w:bCs w:val="false"/>
                <w:sz w:val="20"/>
                <w:szCs w:val="20"/>
              </w:rPr>
              <w:t xml:space="preserve">Customer / Bill-to Customer</w:t>
            </w:r>
          </w:p>
        </w:tc>
      </w:tr>
      <w:tr>
        <w:tc>
          <w:tcPr>
            <w:tcW w:type="dxa" w:w="1650"/>
            <w:tcMar>
              <w:top w:type="dxa" w:w="60"/>
              <w:left w:type="dxa" w:w="100"/>
              <w:bottom w:type="dxa" w:w="60"/>
              <w:right w:type="dxa" w:w="100"/>
            </w:tcMar>
          </w:tcPr>
          <w:p>
            <w:pPr>
              <w:spacing w:after="0"/>
              <w:jc w:val="left"/>
            </w:pPr>
            <w:r>
              <w:rPr>
                <w:b w:val="false"/>
                <w:bCs w:val="false"/>
                <w:sz w:val="20"/>
                <w:szCs w:val="20"/>
              </w:rPr>
              <w:t xml:space="preserve">Ship-to party</w:t>
            </w:r>
          </w:p>
        </w:tc>
        <w:tc>
          <w:tcPr>
            <w:tcW w:type="dxa" w:w="2900"/>
            <w:tcMar>
              <w:top w:type="dxa" w:w="60"/>
              <w:left w:type="dxa" w:w="100"/>
              <w:bottom w:type="dxa" w:w="60"/>
              <w:right w:type="dxa" w:w="100"/>
            </w:tcMar>
          </w:tcPr>
          <w:p>
            <w:pPr>
              <w:spacing w:after="0"/>
              <w:jc w:val="left"/>
            </w:pPr>
            <w:r>
              <w:rPr>
                <w:b w:val="false"/>
                <w:bCs w:val="false"/>
                <w:sz w:val="20"/>
                <w:szCs w:val="20"/>
              </w:rPr>
              <w:t xml:space="preserve">Delivery/receiving customer</w:t>
            </w:r>
          </w:p>
        </w:tc>
        <w:tc>
          <w:tcPr>
            <w:tcW w:type="dxa" w:w="1800"/>
            <w:tcMar>
              <w:top w:type="dxa" w:w="60"/>
              <w:left w:type="dxa" w:w="100"/>
              <w:bottom w:type="dxa" w:w="60"/>
              <w:right w:type="dxa" w:w="100"/>
            </w:tcMar>
          </w:tcPr>
          <w:p>
            <w:pPr>
              <w:spacing w:after="0"/>
              <w:jc w:val="left"/>
            </w:pPr>
            <w:r>
              <w:rPr>
                <w:b w:val="false"/>
                <w:bCs w:val="false"/>
                <w:sz w:val="20"/>
                <w:szCs w:val="20"/>
              </w:rPr>
              <w:t xml:space="preserve">Ship-to Party</w:t>
            </w:r>
          </w:p>
        </w:tc>
        <w:tc>
          <w:tcPr>
            <w:tcW w:type="dxa" w:w="1830"/>
            <w:tcMar>
              <w:top w:type="dxa" w:w="60"/>
              <w:left w:type="dxa" w:w="100"/>
              <w:bottom w:type="dxa" w:w="60"/>
              <w:right w:type="dxa" w:w="100"/>
            </w:tcMar>
          </w:tcPr>
          <w:p>
            <w:pPr>
              <w:spacing w:after="0"/>
              <w:jc w:val="left"/>
            </w:pPr>
            <w:r>
              <w:rPr>
                <w:b w:val="false"/>
                <w:bCs w:val="false"/>
                <w:sz w:val="20"/>
                <w:szCs w:val="20"/>
              </w:rPr>
              <w:t xml:space="preserve">Ship-to Customer</w:t>
            </w:r>
          </w:p>
        </w:tc>
        <w:tc>
          <w:tcPr>
            <w:tcW w:type="dxa" w:w="1900"/>
            <w:tcMar>
              <w:top w:type="dxa" w:w="60"/>
              <w:left w:type="dxa" w:w="100"/>
              <w:bottom w:type="dxa" w:w="60"/>
              <w:right w:type="dxa" w:w="100"/>
            </w:tcMar>
          </w:tcPr>
          <w:p>
            <w:pPr>
              <w:spacing w:after="0"/>
              <w:jc w:val="left"/>
            </w:pPr>
            <w:r>
              <w:rPr>
                <w:b w:val="false"/>
                <w:bCs w:val="false"/>
                <w:sz w:val="20"/>
                <w:szCs w:val="20"/>
              </w:rPr>
              <w:t xml:space="preserve">Ship-to Customer</w:t>
            </w:r>
          </w:p>
        </w:tc>
      </w:tr>
      <w:tr>
        <w:tc>
          <w:tcPr>
            <w:tcW w:type="dxa" w:w="1650"/>
            <w:tcMar>
              <w:top w:type="dxa" w:w="60"/>
              <w:left w:type="dxa" w:w="100"/>
              <w:bottom w:type="dxa" w:w="60"/>
              <w:right w:type="dxa" w:w="100"/>
            </w:tcMar>
          </w:tcPr>
          <w:p>
            <w:pPr>
              <w:spacing w:after="0"/>
              <w:jc w:val="left"/>
            </w:pPr>
            <w:r>
              <w:rPr>
                <w:b w:val="false"/>
                <w:bCs w:val="false"/>
                <w:sz w:val="20"/>
                <w:szCs w:val="20"/>
              </w:rPr>
              <w:t xml:space="preserve">Customer reference</w:t>
            </w:r>
          </w:p>
        </w:tc>
        <w:tc>
          <w:tcPr>
            <w:tcW w:type="dxa" w:w="2900"/>
            <w:tcMar>
              <w:top w:type="dxa" w:w="60"/>
              <w:left w:type="dxa" w:w="100"/>
              <w:bottom w:type="dxa" w:w="60"/>
              <w:right w:type="dxa" w:w="100"/>
            </w:tcMar>
          </w:tcPr>
          <w:p>
            <w:pPr>
              <w:spacing w:after="0"/>
              <w:jc w:val="left"/>
            </w:pPr>
            <w:r>
              <w:rPr>
                <w:b w:val="false"/>
                <w:bCs w:val="false"/>
                <w:sz w:val="20"/>
                <w:szCs w:val="20"/>
              </w:rPr>
              <w:t xml:space="preserve">Buyer’s own PO number</w:t>
            </w:r>
          </w:p>
        </w:tc>
        <w:tc>
          <w:tcPr>
            <w:tcW w:type="dxa" w:w="1800"/>
            <w:tcMar>
              <w:top w:type="dxa" w:w="60"/>
              <w:left w:type="dxa" w:w="100"/>
              <w:bottom w:type="dxa" w:w="60"/>
              <w:right w:type="dxa" w:w="100"/>
            </w:tcMar>
          </w:tcPr>
          <w:p>
            <w:pPr>
              <w:spacing w:after="0"/>
              <w:jc w:val="left"/>
            </w:pPr>
            <w:r>
              <w:rPr>
                <w:b w:val="false"/>
                <w:bCs w:val="false"/>
                <w:sz w:val="20"/>
                <w:szCs w:val="20"/>
              </w:rPr>
              <w:t xml:space="preserve">Customer Reference / PO Number</w:t>
            </w:r>
          </w:p>
        </w:tc>
        <w:tc>
          <w:tcPr>
            <w:tcW w:type="dxa" w:w="1830"/>
            <w:tcMar>
              <w:top w:type="dxa" w:w="60"/>
              <w:left w:type="dxa" w:w="100"/>
              <w:bottom w:type="dxa" w:w="60"/>
              <w:right w:type="dxa" w:w="100"/>
            </w:tcMar>
          </w:tcPr>
          <w:p>
            <w:pPr>
              <w:spacing w:after="0"/>
              <w:jc w:val="left"/>
            </w:pPr>
            <w:r>
              <w:rPr>
                <w:b w:val="false"/>
                <w:bCs w:val="false"/>
                <w:sz w:val="20"/>
                <w:szCs w:val="20"/>
              </w:rPr>
              <w:t xml:space="preserve">Customer PO</w:t>
            </w:r>
          </w:p>
        </w:tc>
        <w:tc>
          <w:tcPr>
            <w:tcW w:type="dxa" w:w="1900"/>
            <w:tcMar>
              <w:top w:type="dxa" w:w="60"/>
              <w:left w:type="dxa" w:w="100"/>
              <w:bottom w:type="dxa" w:w="60"/>
              <w:right w:type="dxa" w:w="100"/>
            </w:tcMar>
          </w:tcPr>
          <w:p>
            <w:pPr>
              <w:spacing w:after="0"/>
              <w:jc w:val="left"/>
            </w:pPr>
            <w:r>
              <w:rPr>
                <w:b w:val="false"/>
                <w:bCs w:val="false"/>
                <w:sz w:val="20"/>
                <w:szCs w:val="20"/>
              </w:rPr>
              <w:t xml:space="preserve">Your Reference</w:t>
            </w:r>
          </w:p>
        </w:tc>
      </w:tr>
      <w:tr>
        <w:tc>
          <w:tcPr>
            <w:tcW w:type="dxa" w:w="1650"/>
            <w:tcMar>
              <w:top w:type="dxa" w:w="60"/>
              <w:left w:type="dxa" w:w="100"/>
              <w:bottom w:type="dxa" w:w="60"/>
              <w:right w:type="dxa" w:w="100"/>
            </w:tcMar>
          </w:tcPr>
          <w:p>
            <w:pPr>
              <w:spacing w:after="0"/>
              <w:jc w:val="left"/>
            </w:pPr>
            <w:r>
              <w:rPr>
                <w:b w:val="false"/>
                <w:bCs w:val="false"/>
                <w:sz w:val="20"/>
                <w:szCs w:val="20"/>
              </w:rPr>
              <w:t xml:space="preserve">Tax registration no.</w:t>
            </w:r>
          </w:p>
        </w:tc>
        <w:tc>
          <w:tcPr>
            <w:tcW w:type="dxa" w:w="2900"/>
            <w:tcMar>
              <w:top w:type="dxa" w:w="60"/>
              <w:left w:type="dxa" w:w="100"/>
              <w:bottom w:type="dxa" w:w="60"/>
              <w:right w:type="dxa" w:w="100"/>
            </w:tcMar>
          </w:tcPr>
          <w:p>
            <w:pPr>
              <w:spacing w:after="0"/>
              <w:jc w:val="left"/>
            </w:pPr>
            <w:r>
              <w:rPr>
                <w:b w:val="false"/>
                <w:bCs w:val="false"/>
                <w:sz w:val="20"/>
                <w:szCs w:val="20"/>
              </w:rPr>
              <w:t xml:space="preserve">VAT / GST / sales-tax ID — also drives further tax (§8)</w:t>
            </w:r>
          </w:p>
        </w:tc>
        <w:tc>
          <w:tcPr>
            <w:tcW w:type="dxa" w:w="1800"/>
            <w:tcMar>
              <w:top w:type="dxa" w:w="60"/>
              <w:left w:type="dxa" w:w="100"/>
              <w:bottom w:type="dxa" w:w="60"/>
              <w:right w:type="dxa" w:w="100"/>
            </w:tcMar>
          </w:tcPr>
          <w:p>
            <w:pPr>
              <w:spacing w:after="0"/>
              <w:jc w:val="left"/>
            </w:pPr>
            <w:r>
              <w:rPr>
                <w:b w:val="false"/>
                <w:bCs w:val="false"/>
                <w:sz w:val="20"/>
                <w:szCs w:val="20"/>
              </w:rPr>
              <w:t xml:space="preserve">Tax Number</w:t>
            </w:r>
          </w:p>
        </w:tc>
        <w:tc>
          <w:tcPr>
            <w:tcW w:type="dxa" w:w="1830"/>
            <w:tcMar>
              <w:top w:type="dxa" w:w="60"/>
              <w:left w:type="dxa" w:w="100"/>
              <w:bottom w:type="dxa" w:w="60"/>
              <w:right w:type="dxa" w:w="100"/>
            </w:tcMar>
          </w:tcPr>
          <w:p>
            <w:pPr>
              <w:spacing w:after="0"/>
              <w:jc w:val="left"/>
            </w:pPr>
            <w:r>
              <w:rPr>
                <w:b w:val="false"/>
                <w:bCs w:val="false"/>
                <w:sz w:val="20"/>
                <w:szCs w:val="20"/>
              </w:rPr>
              <w:t xml:space="preserve">Taxpayer ID</w:t>
            </w:r>
          </w:p>
        </w:tc>
        <w:tc>
          <w:tcPr>
            <w:tcW w:type="dxa" w:w="1900"/>
            <w:tcMar>
              <w:top w:type="dxa" w:w="60"/>
              <w:left w:type="dxa" w:w="100"/>
              <w:bottom w:type="dxa" w:w="60"/>
              <w:right w:type="dxa" w:w="100"/>
            </w:tcMar>
          </w:tcPr>
          <w:p>
            <w:pPr>
              <w:spacing w:after="0"/>
              <w:jc w:val="left"/>
            </w:pPr>
            <w:r>
              <w:rPr>
                <w:b w:val="false"/>
                <w:bCs w:val="false"/>
                <w:sz w:val="20"/>
                <w:szCs w:val="20"/>
              </w:rPr>
              <w:t xml:space="preserve">Tax Registration Number</w:t>
            </w:r>
          </w:p>
        </w:tc>
      </w:tr>
      <w:tr>
        <w:tc>
          <w:tcPr>
            <w:tcW w:type="dxa" w:w="1650"/>
            <w:tcMar>
              <w:top w:type="dxa" w:w="60"/>
              <w:left w:type="dxa" w:w="100"/>
              <w:bottom w:type="dxa" w:w="60"/>
              <w:right w:type="dxa" w:w="100"/>
            </w:tcMar>
          </w:tcPr>
          <w:p>
            <w:pPr>
              <w:spacing w:after="0"/>
              <w:jc w:val="left"/>
            </w:pPr>
            <w:r>
              <w:rPr>
                <w:b w:val="false"/>
                <w:bCs w:val="false"/>
                <w:sz w:val="20"/>
                <w:szCs w:val="20"/>
              </w:rPr>
              <w:t xml:space="preserve">Payment terms</w:t>
            </w:r>
          </w:p>
        </w:tc>
        <w:tc>
          <w:tcPr>
            <w:tcW w:type="dxa" w:w="2900"/>
            <w:tcMar>
              <w:top w:type="dxa" w:w="60"/>
              <w:left w:type="dxa" w:w="100"/>
              <w:bottom w:type="dxa" w:w="60"/>
              <w:right w:type="dxa" w:w="100"/>
            </w:tcMar>
          </w:tcPr>
          <w:p>
            <w:pPr>
              <w:spacing w:after="0"/>
              <w:jc w:val="left"/>
            </w:pPr>
            <w:r>
              <w:rPr>
                <w:b w:val="false"/>
                <w:bCs w:val="false"/>
                <w:sz w:val="20"/>
                <w:szCs w:val="20"/>
              </w:rPr>
              <w:t xml:space="preserve">Due-date calculation</w:t>
            </w:r>
          </w:p>
        </w:tc>
        <w:tc>
          <w:tcPr>
            <w:tcW w:type="dxa" w:w="1800"/>
            <w:tcMar>
              <w:top w:type="dxa" w:w="60"/>
              <w:left w:type="dxa" w:w="100"/>
              <w:bottom w:type="dxa" w:w="60"/>
              <w:right w:type="dxa" w:w="100"/>
            </w:tcMar>
          </w:tcPr>
          <w:p>
            <w:pPr>
              <w:spacing w:after="0"/>
              <w:jc w:val="left"/>
            </w:pPr>
            <w:r>
              <w:rPr>
                <w:b w:val="false"/>
                <w:bCs w:val="false"/>
                <w:sz w:val="20"/>
                <w:szCs w:val="20"/>
              </w:rPr>
              <w:t xml:space="preserve">Terms of Payment</w:t>
            </w:r>
          </w:p>
        </w:tc>
        <w:tc>
          <w:tcPr>
            <w:tcW w:type="dxa" w:w="1830"/>
            <w:tcMar>
              <w:top w:type="dxa" w:w="60"/>
              <w:left w:type="dxa" w:w="100"/>
              <w:bottom w:type="dxa" w:w="60"/>
              <w:right w:type="dxa" w:w="100"/>
            </w:tcMar>
          </w:tcPr>
          <w:p>
            <w:pPr>
              <w:spacing w:after="0"/>
              <w:jc w:val="left"/>
            </w:pPr>
            <w:r>
              <w:rPr>
                <w:b w:val="false"/>
                <w:bCs w:val="false"/>
                <w:sz w:val="20"/>
                <w:szCs w:val="20"/>
              </w:rPr>
              <w:t xml:space="preserve">Payment Terms</w:t>
            </w:r>
          </w:p>
        </w:tc>
        <w:tc>
          <w:tcPr>
            <w:tcW w:type="dxa" w:w="1900"/>
            <w:tcMar>
              <w:top w:type="dxa" w:w="60"/>
              <w:left w:type="dxa" w:w="100"/>
              <w:bottom w:type="dxa" w:w="60"/>
              <w:right w:type="dxa" w:w="100"/>
            </w:tcMar>
          </w:tcPr>
          <w:p>
            <w:pPr>
              <w:spacing w:after="0"/>
              <w:jc w:val="left"/>
            </w:pPr>
            <w:r>
              <w:rPr>
                <w:b w:val="false"/>
                <w:bCs w:val="false"/>
                <w:sz w:val="20"/>
                <w:szCs w:val="20"/>
              </w:rPr>
              <w:t xml:space="preserve">Payment Terms</w:t>
            </w:r>
          </w:p>
        </w:tc>
      </w:tr>
      <w:tr>
        <w:tc>
          <w:tcPr>
            <w:tcW w:type="dxa" w:w="1650"/>
            <w:tcMar>
              <w:top w:type="dxa" w:w="60"/>
              <w:left w:type="dxa" w:w="100"/>
              <w:bottom w:type="dxa" w:w="60"/>
              <w:right w:type="dxa" w:w="100"/>
            </w:tcMar>
          </w:tcPr>
          <w:p>
            <w:pPr>
              <w:spacing w:after="0"/>
              <w:jc w:val="left"/>
            </w:pPr>
            <w:r>
              <w:rPr>
                <w:b w:val="false"/>
                <w:bCs w:val="false"/>
                <w:sz w:val="20"/>
                <w:szCs w:val="20"/>
              </w:rPr>
              <w:t xml:space="preserve">Price list / group</w:t>
            </w:r>
          </w:p>
        </w:tc>
        <w:tc>
          <w:tcPr>
            <w:tcW w:type="dxa" w:w="2900"/>
            <w:tcMar>
              <w:top w:type="dxa" w:w="60"/>
              <w:left w:type="dxa" w:w="100"/>
              <w:bottom w:type="dxa" w:w="60"/>
              <w:right w:type="dxa" w:w="100"/>
            </w:tcMar>
          </w:tcPr>
          <w:p>
            <w:pPr>
              <w:spacing w:after="0"/>
              <w:jc w:val="left"/>
            </w:pPr>
            <w:r>
              <w:rPr>
                <w:b w:val="false"/>
                <w:bCs w:val="false"/>
                <w:sz w:val="20"/>
                <w:szCs w:val="20"/>
              </w:rPr>
              <w:t xml:space="preserve">Which price book applies</w:t>
            </w:r>
          </w:p>
        </w:tc>
        <w:tc>
          <w:tcPr>
            <w:tcW w:type="dxa" w:w="1800"/>
            <w:tcMar>
              <w:top w:type="dxa" w:w="60"/>
              <w:left w:type="dxa" w:w="100"/>
              <w:bottom w:type="dxa" w:w="60"/>
              <w:right w:type="dxa" w:w="100"/>
            </w:tcMar>
          </w:tcPr>
          <w:p>
            <w:pPr>
              <w:spacing w:after="0"/>
              <w:jc w:val="left"/>
            </w:pPr>
            <w:r>
              <w:rPr>
                <w:b w:val="false"/>
                <w:bCs w:val="false"/>
                <w:sz w:val="20"/>
                <w:szCs w:val="20"/>
              </w:rPr>
              <w:t xml:space="preserve">Customer Pricing Procedure</w:t>
            </w:r>
          </w:p>
        </w:tc>
        <w:tc>
          <w:tcPr>
            <w:tcW w:type="dxa" w:w="1830"/>
            <w:tcMar>
              <w:top w:type="dxa" w:w="60"/>
              <w:left w:type="dxa" w:w="100"/>
              <w:bottom w:type="dxa" w:w="60"/>
              <w:right w:type="dxa" w:w="100"/>
            </w:tcMar>
          </w:tcPr>
          <w:p>
            <w:pPr>
              <w:spacing w:after="0"/>
              <w:jc w:val="left"/>
            </w:pPr>
            <w:r>
              <w:rPr>
                <w:b w:val="false"/>
                <w:bCs w:val="false"/>
                <w:sz w:val="20"/>
                <w:szCs w:val="20"/>
              </w:rPr>
              <w:t xml:space="preserve">Price List</w:t>
            </w:r>
          </w:p>
        </w:tc>
        <w:tc>
          <w:tcPr>
            <w:tcW w:type="dxa" w:w="1900"/>
            <w:tcMar>
              <w:top w:type="dxa" w:w="60"/>
              <w:left w:type="dxa" w:w="100"/>
              <w:bottom w:type="dxa" w:w="60"/>
              <w:right w:type="dxa" w:w="100"/>
            </w:tcMar>
          </w:tcPr>
          <w:p>
            <w:pPr>
              <w:spacing w:after="0"/>
              <w:jc w:val="left"/>
            </w:pPr>
            <w:r>
              <w:rPr>
                <w:b w:val="false"/>
                <w:bCs w:val="false"/>
                <w:sz w:val="20"/>
                <w:szCs w:val="20"/>
              </w:rPr>
              <w:t xml:space="preserve">Customer Price Group</w:t>
            </w:r>
          </w:p>
        </w:tc>
      </w:tr>
      <w:tr>
        <w:tc>
          <w:tcPr>
            <w:tcW w:type="dxa" w:w="1650"/>
            <w:tcMar>
              <w:top w:type="dxa" w:w="60"/>
              <w:left w:type="dxa" w:w="100"/>
              <w:bottom w:type="dxa" w:w="60"/>
              <w:right w:type="dxa" w:w="100"/>
            </w:tcMar>
          </w:tcPr>
          <w:p>
            <w:pPr>
              <w:spacing w:after="0"/>
              <w:jc w:val="left"/>
            </w:pPr>
            <w:r>
              <w:rPr>
                <w:b w:val="false"/>
                <w:bCs w:val="false"/>
                <w:sz w:val="20"/>
                <w:szCs w:val="20"/>
              </w:rPr>
              <w:t xml:space="preserve">Salesperson / office</w:t>
            </w:r>
          </w:p>
        </w:tc>
        <w:tc>
          <w:tcPr>
            <w:tcW w:type="dxa" w:w="2900"/>
            <w:tcMar>
              <w:top w:type="dxa" w:w="60"/>
              <w:left w:type="dxa" w:w="100"/>
              <w:bottom w:type="dxa" w:w="60"/>
              <w:right w:type="dxa" w:w="100"/>
            </w:tcMar>
          </w:tcPr>
          <w:p>
            <w:pPr>
              <w:spacing w:after="0"/>
              <w:jc w:val="left"/>
            </w:pPr>
            <w:r>
              <w:rPr>
                <w:b w:val="false"/>
                <w:bCs w:val="false"/>
                <w:sz w:val="20"/>
                <w:szCs w:val="20"/>
              </w:rPr>
              <w:t xml:space="preserve">Attribution and reporting</w:t>
            </w:r>
          </w:p>
        </w:tc>
        <w:tc>
          <w:tcPr>
            <w:tcW w:type="dxa" w:w="1800"/>
            <w:tcMar>
              <w:top w:type="dxa" w:w="60"/>
              <w:left w:type="dxa" w:w="100"/>
              <w:bottom w:type="dxa" w:w="60"/>
              <w:right w:type="dxa" w:w="100"/>
            </w:tcMar>
          </w:tcPr>
          <w:p>
            <w:pPr>
              <w:spacing w:after="0"/>
              <w:jc w:val="left"/>
            </w:pPr>
            <w:r>
              <w:rPr>
                <w:b w:val="false"/>
                <w:bCs w:val="false"/>
                <w:sz w:val="20"/>
                <w:szCs w:val="20"/>
              </w:rPr>
              <w:t xml:space="preserve">Sales Employee / Sales Office</w:t>
            </w:r>
          </w:p>
        </w:tc>
        <w:tc>
          <w:tcPr>
            <w:tcW w:type="dxa" w:w="1830"/>
            <w:tcMar>
              <w:top w:type="dxa" w:w="60"/>
              <w:left w:type="dxa" w:w="100"/>
              <w:bottom w:type="dxa" w:w="60"/>
              <w:right w:type="dxa" w:w="100"/>
            </w:tcMar>
          </w:tcPr>
          <w:p>
            <w:pPr>
              <w:spacing w:after="0"/>
              <w:jc w:val="left"/>
            </w:pPr>
            <w:r>
              <w:rPr>
                <w:b w:val="false"/>
                <w:bCs w:val="false"/>
                <w:sz w:val="20"/>
                <w:szCs w:val="20"/>
              </w:rPr>
              <w:t xml:space="preserve">Salesperson</w:t>
            </w:r>
          </w:p>
        </w:tc>
        <w:tc>
          <w:tcPr>
            <w:tcW w:type="dxa" w:w="1900"/>
            <w:tcMar>
              <w:top w:type="dxa" w:w="60"/>
              <w:left w:type="dxa" w:w="100"/>
              <w:bottom w:type="dxa" w:w="60"/>
              <w:right w:type="dxa" w:w="100"/>
            </w:tcMar>
          </w:tcPr>
          <w:p>
            <w:pPr>
              <w:spacing w:after="0"/>
              <w:jc w:val="left"/>
            </w:pPr>
            <w:r>
              <w:rPr>
                <w:b w:val="false"/>
                <w:bCs w:val="false"/>
                <w:sz w:val="20"/>
                <w:szCs w:val="20"/>
              </w:rPr>
              <w:t xml:space="preserve">Salesperson Code</w:t>
            </w:r>
          </w:p>
        </w:tc>
      </w:tr>
    </w:tbl>
    <w:p>
      <w:pPr>
        <w:spacing w:after="120" w:before="0"/>
      </w:pPr>
      <w:r>
        <w:t xml:space="preserve"/>
      </w:r>
    </w:p>
    <w:p>
      <w:pPr>
        <w:pStyle w:val="Heading2"/>
        <w:spacing w:after="140" w:before="240"/>
      </w:pPr>
      <w:r>
        <w:rPr>
          <w:b/>
          <w:bCs/>
          <w:color w:val="3D4E66"/>
          <w:sz w:val="24"/>
          <w:szCs w:val="24"/>
        </w:rPr>
        <w:t xml:space="preserve">2.2 Transport / shipping fields</w:t>
      </w:r>
    </w:p>
    <w:tbl>
      <w:tblPr>
        <w:tblW w:type="dxa" w:w="10080"/>
        <w:tblBorders>
          <w:top w:val="single" w:color="C8CDD4" w:sz="4"/>
          <w:left w:val="single" w:color="C8CDD4" w:sz="4"/>
          <w:bottom w:val="single" w:color="C8CDD4" w:sz="4"/>
          <w:right w:val="single" w:color="C8CDD4" w:sz="4"/>
          <w:insideH w:val="single" w:color="C8CDD4" w:sz="4"/>
          <w:insideV w:val="single" w:color="C8CDD4" w:sz="4"/>
        </w:tblBorders>
      </w:tblPr>
      <w:tblGrid>
        <w:gridCol w:w="1750"/>
        <w:gridCol w:w="2800"/>
        <w:gridCol w:w="1800"/>
        <w:gridCol w:w="1930"/>
        <w:gridCol w:w="1800"/>
      </w:tblGrid>
      <w:tr>
        <w:trPr>
          <w:tblHeader/>
        </w:trPr>
        <w:tc>
          <w:tcPr>
            <w:tcW w:type="dxa" w:w="1750"/>
            <w:shd w:fill="3D4E66" w:val="clear"/>
            <w:tcMar>
              <w:top w:type="dxa" w:w="60"/>
              <w:left w:type="dxa" w:w="100"/>
              <w:bottom w:type="dxa" w:w="60"/>
              <w:right w:type="dxa" w:w="100"/>
            </w:tcMar>
          </w:tcPr>
          <w:p>
            <w:pPr>
              <w:spacing w:after="0"/>
              <w:jc w:val="left"/>
            </w:pPr>
            <w:r>
              <w:rPr>
                <w:b/>
                <w:bCs/>
                <w:color w:val="FFFFFF"/>
                <w:sz w:val="20"/>
                <w:szCs w:val="20"/>
              </w:rPr>
              <w:t xml:space="preserve">Field</w:t>
            </w:r>
          </w:p>
        </w:tc>
        <w:tc>
          <w:tcPr>
            <w:tcW w:type="dxa" w:w="2800"/>
            <w:shd w:fill="3D4E66" w:val="clear"/>
            <w:tcMar>
              <w:top w:type="dxa" w:w="60"/>
              <w:left w:type="dxa" w:w="100"/>
              <w:bottom w:type="dxa" w:w="60"/>
              <w:right w:type="dxa" w:w="100"/>
            </w:tcMar>
          </w:tcPr>
          <w:p>
            <w:pPr>
              <w:spacing w:after="0"/>
              <w:jc w:val="left"/>
            </w:pPr>
            <w:r>
              <w:rPr>
                <w:b/>
                <w:bCs/>
                <w:color w:val="FFFFFF"/>
                <w:sz w:val="20"/>
                <w:szCs w:val="20"/>
              </w:rPr>
              <w:t xml:space="preserve">Purpose</w:t>
            </w:r>
          </w:p>
        </w:tc>
        <w:tc>
          <w:tcPr>
            <w:tcW w:type="dxa" w:w="1800"/>
            <w:shd w:fill="3D4E66" w:val="clear"/>
            <w:tcMar>
              <w:top w:type="dxa" w:w="60"/>
              <w:left w:type="dxa" w:w="100"/>
              <w:bottom w:type="dxa" w:w="60"/>
              <w:right w:type="dxa" w:w="100"/>
            </w:tcMar>
          </w:tcPr>
          <w:p>
            <w:pPr>
              <w:spacing w:after="0"/>
              <w:jc w:val="left"/>
            </w:pPr>
            <w:r>
              <w:rPr>
                <w:b/>
                <w:bCs/>
                <w:color w:val="FFFFFF"/>
                <w:sz w:val="20"/>
                <w:szCs w:val="20"/>
              </w:rPr>
              <w:t xml:space="preserve">SAP term</w:t>
            </w:r>
          </w:p>
        </w:tc>
        <w:tc>
          <w:tcPr>
            <w:tcW w:type="dxa" w:w="1930"/>
            <w:shd w:fill="3D4E66" w:val="clear"/>
            <w:tcMar>
              <w:top w:type="dxa" w:w="60"/>
              <w:left w:type="dxa" w:w="100"/>
              <w:bottom w:type="dxa" w:w="60"/>
              <w:right w:type="dxa" w:w="100"/>
            </w:tcMar>
          </w:tcPr>
          <w:p>
            <w:pPr>
              <w:spacing w:after="0"/>
              <w:jc w:val="left"/>
            </w:pPr>
            <w:r>
              <w:rPr>
                <w:b/>
                <w:bCs/>
                <w:color w:val="FFFFFF"/>
                <w:sz w:val="20"/>
                <w:szCs w:val="20"/>
              </w:rPr>
              <w:t xml:space="preserve">Oracle term</w:t>
            </w:r>
          </w:p>
        </w:tc>
        <w:tc>
          <w:tcPr>
            <w:tcW w:type="dxa" w:w="1800"/>
            <w:shd w:fill="3D4E66" w:val="clear"/>
            <w:tcMar>
              <w:top w:type="dxa" w:w="60"/>
              <w:left w:type="dxa" w:w="100"/>
              <w:bottom w:type="dxa" w:w="60"/>
              <w:right w:type="dxa" w:w="100"/>
            </w:tcMar>
          </w:tcPr>
          <w:p>
            <w:pPr>
              <w:spacing w:after="0"/>
              <w:jc w:val="left"/>
            </w:pPr>
            <w:r>
              <w:rPr>
                <w:b/>
                <w:bCs/>
                <w:color w:val="FFFFFF"/>
                <w:sz w:val="20"/>
                <w:szCs w:val="20"/>
              </w:rPr>
              <w:t xml:space="preserve">Dynamics 365 term</w:t>
            </w:r>
          </w:p>
        </w:tc>
      </w:tr>
      <w:tr>
        <w:tc>
          <w:tcPr>
            <w:tcW w:type="dxa" w:w="1750"/>
            <w:tcMar>
              <w:top w:type="dxa" w:w="60"/>
              <w:left w:type="dxa" w:w="100"/>
              <w:bottom w:type="dxa" w:w="60"/>
              <w:right w:type="dxa" w:w="100"/>
            </w:tcMar>
          </w:tcPr>
          <w:p>
            <w:pPr>
              <w:spacing w:after="0"/>
              <w:jc w:val="left"/>
            </w:pPr>
            <w:r>
              <w:rPr>
                <w:b w:val="false"/>
                <w:bCs w:val="false"/>
                <w:sz w:val="20"/>
                <w:szCs w:val="20"/>
              </w:rPr>
              <w:t xml:space="preserve">Mode of transport</w:t>
            </w:r>
          </w:p>
        </w:tc>
        <w:tc>
          <w:tcPr>
            <w:tcW w:type="dxa" w:w="2800"/>
            <w:tcMar>
              <w:top w:type="dxa" w:w="60"/>
              <w:left w:type="dxa" w:w="100"/>
              <w:bottom w:type="dxa" w:w="60"/>
              <w:right w:type="dxa" w:w="100"/>
            </w:tcMar>
          </w:tcPr>
          <w:p>
            <w:pPr>
              <w:spacing w:after="0"/>
              <w:jc w:val="left"/>
            </w:pPr>
            <w:r>
              <w:rPr>
                <w:b w:val="false"/>
                <w:bCs w:val="false"/>
                <w:sz w:val="20"/>
                <w:szCs w:val="20"/>
              </w:rPr>
              <w:t xml:space="preserve">Road / rail / air / sea</w:t>
            </w:r>
          </w:p>
        </w:tc>
        <w:tc>
          <w:tcPr>
            <w:tcW w:type="dxa" w:w="1800"/>
            <w:tcMar>
              <w:top w:type="dxa" w:w="60"/>
              <w:left w:type="dxa" w:w="100"/>
              <w:bottom w:type="dxa" w:w="60"/>
              <w:right w:type="dxa" w:w="100"/>
            </w:tcMar>
          </w:tcPr>
          <w:p>
            <w:pPr>
              <w:spacing w:after="0"/>
              <w:jc w:val="left"/>
            </w:pPr>
            <w:r>
              <w:rPr>
                <w:b w:val="false"/>
                <w:bCs w:val="false"/>
                <w:sz w:val="20"/>
                <w:szCs w:val="20"/>
              </w:rPr>
              <w:t xml:space="preserve">Shipping Type</w:t>
            </w:r>
          </w:p>
        </w:tc>
        <w:tc>
          <w:tcPr>
            <w:tcW w:type="dxa" w:w="1930"/>
            <w:tcMar>
              <w:top w:type="dxa" w:w="60"/>
              <w:left w:type="dxa" w:w="100"/>
              <w:bottom w:type="dxa" w:w="60"/>
              <w:right w:type="dxa" w:w="100"/>
            </w:tcMar>
          </w:tcPr>
          <w:p>
            <w:pPr>
              <w:spacing w:after="0"/>
              <w:jc w:val="left"/>
            </w:pPr>
            <w:r>
              <w:rPr>
                <w:b w:val="false"/>
                <w:bCs w:val="false"/>
                <w:sz w:val="20"/>
                <w:szCs w:val="20"/>
              </w:rPr>
              <w:t xml:space="preserve">Shipping Method</w:t>
            </w:r>
          </w:p>
        </w:tc>
        <w:tc>
          <w:tcPr>
            <w:tcW w:type="dxa" w:w="1800"/>
            <w:tcMar>
              <w:top w:type="dxa" w:w="60"/>
              <w:left w:type="dxa" w:w="100"/>
              <w:bottom w:type="dxa" w:w="60"/>
              <w:right w:type="dxa" w:w="100"/>
            </w:tcMar>
          </w:tcPr>
          <w:p>
            <w:pPr>
              <w:spacing w:after="0"/>
              <w:jc w:val="left"/>
            </w:pPr>
            <w:r>
              <w:rPr>
                <w:b w:val="false"/>
                <w:bCs w:val="false"/>
                <w:sz w:val="20"/>
                <w:szCs w:val="20"/>
              </w:rPr>
              <w:t xml:space="preserve">Mode of Delivery</w:t>
            </w:r>
          </w:p>
        </w:tc>
      </w:tr>
      <w:tr>
        <w:tc>
          <w:tcPr>
            <w:tcW w:type="dxa" w:w="1750"/>
            <w:tcMar>
              <w:top w:type="dxa" w:w="60"/>
              <w:left w:type="dxa" w:w="100"/>
              <w:bottom w:type="dxa" w:w="60"/>
              <w:right w:type="dxa" w:w="100"/>
            </w:tcMar>
          </w:tcPr>
          <w:p>
            <w:pPr>
              <w:spacing w:after="0"/>
              <w:jc w:val="left"/>
            </w:pPr>
            <w:r>
              <w:rPr>
                <w:b w:val="false"/>
                <w:bCs w:val="false"/>
                <w:sz w:val="20"/>
                <w:szCs w:val="20"/>
              </w:rPr>
              <w:t xml:space="preserve">Vehicle / transport doc. no.</w:t>
            </w:r>
          </w:p>
        </w:tc>
        <w:tc>
          <w:tcPr>
            <w:tcW w:type="dxa" w:w="2800"/>
            <w:tcMar>
              <w:top w:type="dxa" w:w="60"/>
              <w:left w:type="dxa" w:w="100"/>
              <w:bottom w:type="dxa" w:w="60"/>
              <w:right w:type="dxa" w:w="100"/>
            </w:tcMar>
          </w:tcPr>
          <w:p>
            <w:pPr>
              <w:spacing w:after="0"/>
              <w:jc w:val="left"/>
            </w:pPr>
            <w:r>
              <w:rPr>
                <w:b w:val="false"/>
                <w:bCs w:val="false"/>
                <w:sz w:val="20"/>
                <w:szCs w:val="20"/>
              </w:rPr>
              <w:t xml:space="preserve">LR, GR, bill of lading</w:t>
            </w:r>
          </w:p>
        </w:tc>
        <w:tc>
          <w:tcPr>
            <w:tcW w:type="dxa" w:w="1800"/>
            <w:tcMar>
              <w:top w:type="dxa" w:w="60"/>
              <w:left w:type="dxa" w:w="100"/>
              <w:bottom w:type="dxa" w:w="60"/>
              <w:right w:type="dxa" w:w="100"/>
            </w:tcMar>
          </w:tcPr>
          <w:p>
            <w:pPr>
              <w:spacing w:after="0"/>
              <w:jc w:val="left"/>
            </w:pPr>
            <w:r>
              <w:rPr>
                <w:b w:val="false"/>
                <w:bCs w:val="false"/>
                <w:sz w:val="20"/>
                <w:szCs w:val="20"/>
              </w:rPr>
              <w:t xml:space="preserve">Bill of Lading Number</w:t>
            </w:r>
          </w:p>
        </w:tc>
        <w:tc>
          <w:tcPr>
            <w:tcW w:type="dxa" w:w="1930"/>
            <w:tcMar>
              <w:top w:type="dxa" w:w="60"/>
              <w:left w:type="dxa" w:w="100"/>
              <w:bottom w:type="dxa" w:w="60"/>
              <w:right w:type="dxa" w:w="100"/>
            </w:tcMar>
          </w:tcPr>
          <w:p>
            <w:pPr>
              <w:spacing w:after="0"/>
              <w:jc w:val="left"/>
            </w:pPr>
            <w:r>
              <w:rPr>
                <w:b w:val="false"/>
                <w:bCs w:val="false"/>
                <w:sz w:val="20"/>
                <w:szCs w:val="20"/>
              </w:rPr>
              <w:t xml:space="preserve">Bill of Lading</w:t>
            </w:r>
          </w:p>
        </w:tc>
        <w:tc>
          <w:tcPr>
            <w:tcW w:type="dxa" w:w="1800"/>
            <w:tcMar>
              <w:top w:type="dxa" w:w="60"/>
              <w:left w:type="dxa" w:w="100"/>
              <w:bottom w:type="dxa" w:w="60"/>
              <w:right w:type="dxa" w:w="100"/>
            </w:tcMar>
          </w:tcPr>
          <w:p>
            <w:pPr>
              <w:spacing w:after="0"/>
              <w:jc w:val="left"/>
            </w:pPr>
            <w:r>
              <w:rPr>
                <w:b w:val="false"/>
                <w:bCs w:val="false"/>
                <w:sz w:val="20"/>
                <w:szCs w:val="20"/>
              </w:rPr>
              <w:t xml:space="preserve">Way Bill Number</w:t>
            </w:r>
          </w:p>
        </w:tc>
      </w:tr>
      <w:tr>
        <w:tc>
          <w:tcPr>
            <w:tcW w:type="dxa" w:w="1750"/>
            <w:tcMar>
              <w:top w:type="dxa" w:w="60"/>
              <w:left w:type="dxa" w:w="100"/>
              <w:bottom w:type="dxa" w:w="60"/>
              <w:right w:type="dxa" w:w="100"/>
            </w:tcMar>
          </w:tcPr>
          <w:p>
            <w:pPr>
              <w:spacing w:after="0"/>
              <w:jc w:val="left"/>
            </w:pPr>
            <w:r>
              <w:rPr>
                <w:b w:val="false"/>
                <w:bCs w:val="false"/>
                <w:sz w:val="20"/>
                <w:szCs w:val="20"/>
              </w:rPr>
              <w:t xml:space="preserve">Transporter / carrier</w:t>
            </w:r>
          </w:p>
        </w:tc>
        <w:tc>
          <w:tcPr>
            <w:tcW w:type="dxa" w:w="2800"/>
            <w:tcMar>
              <w:top w:type="dxa" w:w="60"/>
              <w:left w:type="dxa" w:w="100"/>
              <w:bottom w:type="dxa" w:w="60"/>
              <w:right w:type="dxa" w:w="100"/>
            </w:tcMar>
          </w:tcPr>
          <w:p>
            <w:pPr>
              <w:spacing w:after="0"/>
              <w:jc w:val="left"/>
            </w:pPr>
            <w:r>
              <w:rPr>
                <w:b w:val="false"/>
                <w:bCs w:val="false"/>
                <w:sz w:val="20"/>
                <w:szCs w:val="20"/>
              </w:rPr>
              <w:t xml:space="preserve">Third-party logistics provider</w:t>
            </w:r>
          </w:p>
        </w:tc>
        <w:tc>
          <w:tcPr>
            <w:tcW w:type="dxa" w:w="1800"/>
            <w:tcMar>
              <w:top w:type="dxa" w:w="60"/>
              <w:left w:type="dxa" w:w="100"/>
              <w:bottom w:type="dxa" w:w="60"/>
              <w:right w:type="dxa" w:w="100"/>
            </w:tcMar>
          </w:tcPr>
          <w:p>
            <w:pPr>
              <w:spacing w:after="0"/>
              <w:jc w:val="left"/>
            </w:pPr>
            <w:r>
              <w:rPr>
                <w:b w:val="false"/>
                <w:bCs w:val="false"/>
                <w:sz w:val="20"/>
                <w:szCs w:val="20"/>
              </w:rPr>
              <w:t xml:space="preserve">Forwarding Agent</w:t>
            </w:r>
          </w:p>
        </w:tc>
        <w:tc>
          <w:tcPr>
            <w:tcW w:type="dxa" w:w="1930"/>
            <w:tcMar>
              <w:top w:type="dxa" w:w="60"/>
              <w:left w:type="dxa" w:w="100"/>
              <w:bottom w:type="dxa" w:w="60"/>
              <w:right w:type="dxa" w:w="100"/>
            </w:tcMar>
          </w:tcPr>
          <w:p>
            <w:pPr>
              <w:spacing w:after="0"/>
              <w:jc w:val="left"/>
            </w:pPr>
            <w:r>
              <w:rPr>
                <w:b w:val="false"/>
                <w:bCs w:val="false"/>
                <w:sz w:val="20"/>
                <w:szCs w:val="20"/>
              </w:rPr>
              <w:t xml:space="preserve">Carrier</w:t>
            </w:r>
          </w:p>
        </w:tc>
        <w:tc>
          <w:tcPr>
            <w:tcW w:type="dxa" w:w="1800"/>
            <w:tcMar>
              <w:top w:type="dxa" w:w="60"/>
              <w:left w:type="dxa" w:w="100"/>
              <w:bottom w:type="dxa" w:w="60"/>
              <w:right w:type="dxa" w:w="100"/>
            </w:tcMar>
          </w:tcPr>
          <w:p>
            <w:pPr>
              <w:spacing w:after="0"/>
              <w:jc w:val="left"/>
            </w:pPr>
            <w:r>
              <w:rPr>
                <w:b w:val="false"/>
                <w:bCs w:val="false"/>
                <w:sz w:val="20"/>
                <w:szCs w:val="20"/>
              </w:rPr>
              <w:t xml:space="preserve">Shipping Agent</w:t>
            </w:r>
          </w:p>
        </w:tc>
      </w:tr>
      <w:tr>
        <w:tc>
          <w:tcPr>
            <w:tcW w:type="dxa" w:w="1750"/>
            <w:tcMar>
              <w:top w:type="dxa" w:w="60"/>
              <w:left w:type="dxa" w:w="100"/>
              <w:bottom w:type="dxa" w:w="60"/>
              <w:right w:type="dxa" w:w="100"/>
            </w:tcMar>
          </w:tcPr>
          <w:p>
            <w:pPr>
              <w:spacing w:after="0"/>
              <w:jc w:val="left"/>
            </w:pPr>
            <w:r>
              <w:rPr>
                <w:b w:val="false"/>
                <w:bCs w:val="false"/>
                <w:sz w:val="20"/>
                <w:szCs w:val="20"/>
              </w:rPr>
              <w:t xml:space="preserve">Freight terms</w:t>
            </w:r>
          </w:p>
        </w:tc>
        <w:tc>
          <w:tcPr>
            <w:tcW w:type="dxa" w:w="2800"/>
            <w:tcMar>
              <w:top w:type="dxa" w:w="60"/>
              <w:left w:type="dxa" w:w="100"/>
              <w:bottom w:type="dxa" w:w="60"/>
              <w:right w:type="dxa" w:w="100"/>
            </w:tcMar>
          </w:tcPr>
          <w:p>
            <w:pPr>
              <w:spacing w:after="0"/>
              <w:jc w:val="left"/>
            </w:pPr>
            <w:r>
              <w:rPr>
                <w:b w:val="false"/>
                <w:bCs w:val="false"/>
                <w:sz w:val="20"/>
                <w:szCs w:val="20"/>
              </w:rPr>
              <w:t xml:space="preserve">Who bears freight cost</w:t>
            </w:r>
          </w:p>
        </w:tc>
        <w:tc>
          <w:tcPr>
            <w:tcW w:type="dxa" w:w="1800"/>
            <w:tcMar>
              <w:top w:type="dxa" w:w="60"/>
              <w:left w:type="dxa" w:w="100"/>
              <w:bottom w:type="dxa" w:w="60"/>
              <w:right w:type="dxa" w:w="100"/>
            </w:tcMar>
          </w:tcPr>
          <w:p>
            <w:pPr>
              <w:spacing w:after="0"/>
              <w:jc w:val="left"/>
            </w:pPr>
            <w:r>
              <w:rPr>
                <w:b w:val="false"/>
                <w:bCs w:val="false"/>
                <w:sz w:val="20"/>
                <w:szCs w:val="20"/>
              </w:rPr>
              <w:t xml:space="preserve">Incoterms</w:t>
            </w:r>
          </w:p>
        </w:tc>
        <w:tc>
          <w:tcPr>
            <w:tcW w:type="dxa" w:w="1930"/>
            <w:tcMar>
              <w:top w:type="dxa" w:w="60"/>
              <w:left w:type="dxa" w:w="100"/>
              <w:bottom w:type="dxa" w:w="60"/>
              <w:right w:type="dxa" w:w="100"/>
            </w:tcMar>
          </w:tcPr>
          <w:p>
            <w:pPr>
              <w:spacing w:after="0"/>
              <w:jc w:val="left"/>
            </w:pPr>
            <w:r>
              <w:rPr>
                <w:b w:val="false"/>
                <w:bCs w:val="false"/>
                <w:sz w:val="20"/>
                <w:szCs w:val="20"/>
              </w:rPr>
              <w:t xml:space="preserve">Freight Terms</w:t>
            </w:r>
          </w:p>
        </w:tc>
        <w:tc>
          <w:tcPr>
            <w:tcW w:type="dxa" w:w="1800"/>
            <w:tcMar>
              <w:top w:type="dxa" w:w="60"/>
              <w:left w:type="dxa" w:w="100"/>
              <w:bottom w:type="dxa" w:w="60"/>
              <w:right w:type="dxa" w:w="100"/>
            </w:tcMar>
          </w:tcPr>
          <w:p>
            <w:pPr>
              <w:spacing w:after="0"/>
              <w:jc w:val="left"/>
            </w:pPr>
            <w:r>
              <w:rPr>
                <w:b w:val="false"/>
                <w:bCs w:val="false"/>
                <w:sz w:val="20"/>
                <w:szCs w:val="20"/>
              </w:rPr>
              <w:t xml:space="preserve">Delivery Terms</w:t>
            </w:r>
          </w:p>
        </w:tc>
      </w:tr>
      <w:tr>
        <w:tc>
          <w:tcPr>
            <w:tcW w:type="dxa" w:w="1750"/>
            <w:tcMar>
              <w:top w:type="dxa" w:w="60"/>
              <w:left w:type="dxa" w:w="100"/>
              <w:bottom w:type="dxa" w:w="60"/>
              <w:right w:type="dxa" w:w="100"/>
            </w:tcMar>
          </w:tcPr>
          <w:p>
            <w:pPr>
              <w:spacing w:after="0"/>
              <w:jc w:val="left"/>
            </w:pPr>
            <w:r>
              <w:rPr>
                <w:b w:val="false"/>
                <w:bCs w:val="false"/>
                <w:sz w:val="20"/>
                <w:szCs w:val="20"/>
              </w:rPr>
              <w:t xml:space="preserve">Place of supply</w:t>
            </w:r>
          </w:p>
        </w:tc>
        <w:tc>
          <w:tcPr>
            <w:tcW w:type="dxa" w:w="2800"/>
            <w:tcMar>
              <w:top w:type="dxa" w:w="60"/>
              <w:left w:type="dxa" w:w="100"/>
              <w:bottom w:type="dxa" w:w="60"/>
              <w:right w:type="dxa" w:w="100"/>
            </w:tcMar>
          </w:tcPr>
          <w:p>
            <w:pPr>
              <w:spacing w:after="0"/>
              <w:jc w:val="left"/>
            </w:pPr>
            <w:r>
              <w:rPr>
                <w:b w:val="false"/>
                <w:bCs w:val="false"/>
                <w:sz w:val="20"/>
                <w:szCs w:val="20"/>
              </w:rPr>
              <w:t xml:space="preserve">Tax jurisdiction for the sale</w:t>
            </w:r>
          </w:p>
        </w:tc>
        <w:tc>
          <w:tcPr>
            <w:tcW w:type="dxa" w:w="1800"/>
            <w:tcMar>
              <w:top w:type="dxa" w:w="60"/>
              <w:left w:type="dxa" w:w="100"/>
              <w:bottom w:type="dxa" w:w="60"/>
              <w:right w:type="dxa" w:w="100"/>
            </w:tcMar>
          </w:tcPr>
          <w:p>
            <w:pPr>
              <w:spacing w:after="0"/>
              <w:jc w:val="left"/>
            </w:pPr>
            <w:r>
              <w:rPr>
                <w:b w:val="false"/>
                <w:bCs w:val="false"/>
                <w:sz w:val="20"/>
                <w:szCs w:val="20"/>
              </w:rPr>
              <w:t xml:space="preserve">Tax Jurisdiction Code</w:t>
            </w:r>
          </w:p>
        </w:tc>
        <w:tc>
          <w:tcPr>
            <w:tcW w:type="dxa" w:w="1930"/>
            <w:tcMar>
              <w:top w:type="dxa" w:w="60"/>
              <w:left w:type="dxa" w:w="100"/>
              <w:bottom w:type="dxa" w:w="60"/>
              <w:right w:type="dxa" w:w="100"/>
            </w:tcMar>
          </w:tcPr>
          <w:p>
            <w:pPr>
              <w:spacing w:after="0"/>
              <w:jc w:val="left"/>
            </w:pPr>
            <w:r>
              <w:rPr>
                <w:b w:val="false"/>
                <w:bCs w:val="false"/>
                <w:sz w:val="20"/>
                <w:szCs w:val="20"/>
              </w:rPr>
              <w:t xml:space="preserve">Ship-from/Ship-to Tax Jurisdiction</w:t>
            </w:r>
          </w:p>
        </w:tc>
        <w:tc>
          <w:tcPr>
            <w:tcW w:type="dxa" w:w="1800"/>
            <w:tcMar>
              <w:top w:type="dxa" w:w="60"/>
              <w:left w:type="dxa" w:w="100"/>
              <w:bottom w:type="dxa" w:w="60"/>
              <w:right w:type="dxa" w:w="100"/>
            </w:tcMar>
          </w:tcPr>
          <w:p>
            <w:pPr>
              <w:spacing w:after="0"/>
              <w:jc w:val="left"/>
            </w:pPr>
            <w:r>
              <w:rPr>
                <w:b w:val="false"/>
                <w:bCs w:val="false"/>
                <w:sz w:val="20"/>
                <w:szCs w:val="20"/>
              </w:rPr>
              <w:t xml:space="preserve">Tax Area</w:t>
            </w:r>
          </w:p>
        </w:tc>
      </w:tr>
      <w:tr>
        <w:tc>
          <w:tcPr>
            <w:tcW w:type="dxa" w:w="1750"/>
            <w:tcMar>
              <w:top w:type="dxa" w:w="60"/>
              <w:left w:type="dxa" w:w="100"/>
              <w:bottom w:type="dxa" w:w="60"/>
              <w:right w:type="dxa" w:w="100"/>
            </w:tcMar>
          </w:tcPr>
          <w:p>
            <w:pPr>
              <w:spacing w:after="0"/>
              <w:jc w:val="left"/>
            </w:pPr>
            <w:r>
              <w:rPr>
                <w:b w:val="false"/>
                <w:bCs w:val="false"/>
                <w:sz w:val="20"/>
                <w:szCs w:val="20"/>
              </w:rPr>
              <w:t xml:space="preserve">Dispatch / delivery date</w:t>
            </w:r>
          </w:p>
        </w:tc>
        <w:tc>
          <w:tcPr>
            <w:tcW w:type="dxa" w:w="2800"/>
            <w:tcMar>
              <w:top w:type="dxa" w:w="60"/>
              <w:left w:type="dxa" w:w="100"/>
              <w:bottom w:type="dxa" w:w="60"/>
              <w:right w:type="dxa" w:w="100"/>
            </w:tcMar>
          </w:tcPr>
          <w:p>
            <w:pPr>
              <w:spacing w:after="0"/>
              <w:jc w:val="left"/>
            </w:pPr>
            <w:r>
              <w:rPr>
                <w:b w:val="false"/>
                <w:bCs w:val="false"/>
                <w:sz w:val="20"/>
                <w:szCs w:val="20"/>
              </w:rPr>
              <w:t xml:space="preserve">Scheduling and goods issue</w:t>
            </w:r>
          </w:p>
        </w:tc>
        <w:tc>
          <w:tcPr>
            <w:tcW w:type="dxa" w:w="1800"/>
            <w:tcMar>
              <w:top w:type="dxa" w:w="60"/>
              <w:left w:type="dxa" w:w="100"/>
              <w:bottom w:type="dxa" w:w="60"/>
              <w:right w:type="dxa" w:w="100"/>
            </w:tcMar>
          </w:tcPr>
          <w:p>
            <w:pPr>
              <w:spacing w:after="0"/>
              <w:jc w:val="left"/>
            </w:pPr>
            <w:r>
              <w:rPr>
                <w:b w:val="false"/>
                <w:bCs w:val="false"/>
                <w:sz w:val="20"/>
                <w:szCs w:val="20"/>
              </w:rPr>
              <w:t xml:space="preserve">Goods Issue Date</w:t>
            </w:r>
          </w:p>
        </w:tc>
        <w:tc>
          <w:tcPr>
            <w:tcW w:type="dxa" w:w="1930"/>
            <w:tcMar>
              <w:top w:type="dxa" w:w="60"/>
              <w:left w:type="dxa" w:w="100"/>
              <w:bottom w:type="dxa" w:w="60"/>
              <w:right w:type="dxa" w:w="100"/>
            </w:tcMar>
          </w:tcPr>
          <w:p>
            <w:pPr>
              <w:spacing w:after="0"/>
              <w:jc w:val="left"/>
            </w:pPr>
            <w:r>
              <w:rPr>
                <w:b w:val="false"/>
                <w:bCs w:val="false"/>
                <w:sz w:val="20"/>
                <w:szCs w:val="20"/>
              </w:rPr>
              <w:t xml:space="preserve">Requested Ship Date</w:t>
            </w:r>
          </w:p>
        </w:tc>
        <w:tc>
          <w:tcPr>
            <w:tcW w:type="dxa" w:w="1800"/>
            <w:tcMar>
              <w:top w:type="dxa" w:w="60"/>
              <w:left w:type="dxa" w:w="100"/>
              <w:bottom w:type="dxa" w:w="60"/>
              <w:right w:type="dxa" w:w="100"/>
            </w:tcMar>
          </w:tcPr>
          <w:p>
            <w:pPr>
              <w:spacing w:after="0"/>
              <w:jc w:val="left"/>
            </w:pPr>
            <w:r>
              <w:rPr>
                <w:b w:val="false"/>
                <w:bCs w:val="false"/>
                <w:sz w:val="20"/>
                <w:szCs w:val="20"/>
              </w:rPr>
              <w:t xml:space="preserve">Shipping Date</w:t>
            </w:r>
          </w:p>
        </w:tc>
      </w:tr>
    </w:tbl>
    <w:p>
      <w:pPr>
        <w:spacing w:after="120" w:before="0"/>
      </w:pPr>
      <w:r>
        <w:t xml:space="preserve"/>
      </w:r>
    </w:p>
    <w:p>
      <w:pPr>
        <w:pStyle w:val="Heading2"/>
        <w:spacing w:after="140" w:before="240"/>
      </w:pPr>
      <w:r>
        <w:rPr>
          <w:b/>
          <w:bCs/>
          <w:color w:val="3D4E66"/>
          <w:sz w:val="24"/>
          <w:szCs w:val="24"/>
        </w:rPr>
        <w:t xml:space="preserve">2.3 Line item and calculation fields</w:t>
      </w:r>
    </w:p>
    <w:tbl>
      <w:tblPr>
        <w:tblW w:type="dxa" w:w="10080"/>
        <w:tblBorders>
          <w:top w:val="single" w:color="C8CDD4" w:sz="4"/>
          <w:left w:val="single" w:color="C8CDD4" w:sz="4"/>
          <w:bottom w:val="single" w:color="C8CDD4" w:sz="4"/>
          <w:right w:val="single" w:color="C8CDD4" w:sz="4"/>
          <w:insideH w:val="single" w:color="C8CDD4" w:sz="4"/>
          <w:insideV w:val="single" w:color="C8CDD4" w:sz="4"/>
        </w:tblBorders>
      </w:tblPr>
      <w:tblGrid>
        <w:gridCol w:w="1650"/>
        <w:gridCol w:w="2900"/>
        <w:gridCol w:w="1800"/>
        <w:gridCol w:w="1830"/>
        <w:gridCol w:w="1900"/>
      </w:tblGrid>
      <w:tr>
        <w:trPr>
          <w:tblHeader/>
        </w:trPr>
        <w:tc>
          <w:tcPr>
            <w:tcW w:type="dxa" w:w="1650"/>
            <w:shd w:fill="3D4E66" w:val="clear"/>
            <w:tcMar>
              <w:top w:type="dxa" w:w="60"/>
              <w:left w:type="dxa" w:w="100"/>
              <w:bottom w:type="dxa" w:w="60"/>
              <w:right w:type="dxa" w:w="100"/>
            </w:tcMar>
          </w:tcPr>
          <w:p>
            <w:pPr>
              <w:spacing w:after="0"/>
              <w:jc w:val="left"/>
            </w:pPr>
            <w:r>
              <w:rPr>
                <w:b/>
                <w:bCs/>
                <w:color w:val="FFFFFF"/>
                <w:sz w:val="20"/>
                <w:szCs w:val="20"/>
              </w:rPr>
              <w:t xml:space="preserve">Field</w:t>
            </w:r>
          </w:p>
        </w:tc>
        <w:tc>
          <w:tcPr>
            <w:tcW w:type="dxa" w:w="2900"/>
            <w:shd w:fill="3D4E66" w:val="clear"/>
            <w:tcMar>
              <w:top w:type="dxa" w:w="60"/>
              <w:left w:type="dxa" w:w="100"/>
              <w:bottom w:type="dxa" w:w="60"/>
              <w:right w:type="dxa" w:w="100"/>
            </w:tcMar>
          </w:tcPr>
          <w:p>
            <w:pPr>
              <w:spacing w:after="0"/>
              <w:jc w:val="left"/>
            </w:pPr>
            <w:r>
              <w:rPr>
                <w:b/>
                <w:bCs/>
                <w:color w:val="FFFFFF"/>
                <w:sz w:val="20"/>
                <w:szCs w:val="20"/>
              </w:rPr>
              <w:t xml:space="preserve">Purpose</w:t>
            </w:r>
          </w:p>
        </w:tc>
        <w:tc>
          <w:tcPr>
            <w:tcW w:type="dxa" w:w="1800"/>
            <w:shd w:fill="3D4E66" w:val="clear"/>
            <w:tcMar>
              <w:top w:type="dxa" w:w="60"/>
              <w:left w:type="dxa" w:w="100"/>
              <w:bottom w:type="dxa" w:w="60"/>
              <w:right w:type="dxa" w:w="100"/>
            </w:tcMar>
          </w:tcPr>
          <w:p>
            <w:pPr>
              <w:spacing w:after="0"/>
              <w:jc w:val="left"/>
            </w:pPr>
            <w:r>
              <w:rPr>
                <w:b/>
                <w:bCs/>
                <w:color w:val="FFFFFF"/>
                <w:sz w:val="20"/>
                <w:szCs w:val="20"/>
              </w:rPr>
              <w:t xml:space="preserve">SAP term</w:t>
            </w:r>
          </w:p>
        </w:tc>
        <w:tc>
          <w:tcPr>
            <w:tcW w:type="dxa" w:w="1830"/>
            <w:shd w:fill="3D4E66" w:val="clear"/>
            <w:tcMar>
              <w:top w:type="dxa" w:w="60"/>
              <w:left w:type="dxa" w:w="100"/>
              <w:bottom w:type="dxa" w:w="60"/>
              <w:right w:type="dxa" w:w="100"/>
            </w:tcMar>
          </w:tcPr>
          <w:p>
            <w:pPr>
              <w:spacing w:after="0"/>
              <w:jc w:val="left"/>
            </w:pPr>
            <w:r>
              <w:rPr>
                <w:b/>
                <w:bCs/>
                <w:color w:val="FFFFFF"/>
                <w:sz w:val="20"/>
                <w:szCs w:val="20"/>
              </w:rPr>
              <w:t xml:space="preserve">Oracle term</w:t>
            </w:r>
          </w:p>
        </w:tc>
        <w:tc>
          <w:tcPr>
            <w:tcW w:type="dxa" w:w="1900"/>
            <w:shd w:fill="3D4E66" w:val="clear"/>
            <w:tcMar>
              <w:top w:type="dxa" w:w="60"/>
              <w:left w:type="dxa" w:w="100"/>
              <w:bottom w:type="dxa" w:w="60"/>
              <w:right w:type="dxa" w:w="100"/>
            </w:tcMar>
          </w:tcPr>
          <w:p>
            <w:pPr>
              <w:spacing w:after="0"/>
              <w:jc w:val="left"/>
            </w:pPr>
            <w:r>
              <w:rPr>
                <w:b/>
                <w:bCs/>
                <w:color w:val="FFFFFF"/>
                <w:sz w:val="20"/>
                <w:szCs w:val="20"/>
              </w:rPr>
              <w:t xml:space="preserve">Dynamics 365 term</w:t>
            </w:r>
          </w:p>
        </w:tc>
      </w:tr>
      <w:tr>
        <w:tc>
          <w:tcPr>
            <w:tcW w:type="dxa" w:w="1650"/>
            <w:tcMar>
              <w:top w:type="dxa" w:w="60"/>
              <w:left w:type="dxa" w:w="100"/>
              <w:bottom w:type="dxa" w:w="60"/>
              <w:right w:type="dxa" w:w="100"/>
            </w:tcMar>
          </w:tcPr>
          <w:p>
            <w:pPr>
              <w:spacing w:after="0"/>
              <w:jc w:val="left"/>
            </w:pPr>
            <w:r>
              <w:rPr>
                <w:b w:val="false"/>
                <w:bCs w:val="false"/>
                <w:sz w:val="20"/>
                <w:szCs w:val="20"/>
              </w:rPr>
              <w:t xml:space="preserve">Item / material</w:t>
            </w:r>
          </w:p>
        </w:tc>
        <w:tc>
          <w:tcPr>
            <w:tcW w:type="dxa" w:w="2900"/>
            <w:tcMar>
              <w:top w:type="dxa" w:w="60"/>
              <w:left w:type="dxa" w:w="100"/>
              <w:bottom w:type="dxa" w:w="60"/>
              <w:right w:type="dxa" w:w="100"/>
            </w:tcMar>
          </w:tcPr>
          <w:p>
            <w:pPr>
              <w:spacing w:after="0"/>
              <w:jc w:val="left"/>
            </w:pPr>
            <w:r>
              <w:rPr>
                <w:b w:val="false"/>
                <w:bCs w:val="false"/>
                <w:sz w:val="20"/>
                <w:szCs w:val="20"/>
              </w:rPr>
              <w:t xml:space="preserve">Product or service sold</w:t>
            </w:r>
          </w:p>
        </w:tc>
        <w:tc>
          <w:tcPr>
            <w:tcW w:type="dxa" w:w="1800"/>
            <w:tcMar>
              <w:top w:type="dxa" w:w="60"/>
              <w:left w:type="dxa" w:w="100"/>
              <w:bottom w:type="dxa" w:w="60"/>
              <w:right w:type="dxa" w:w="100"/>
            </w:tcMar>
          </w:tcPr>
          <w:p>
            <w:pPr>
              <w:spacing w:after="0"/>
              <w:jc w:val="left"/>
            </w:pPr>
            <w:r>
              <w:rPr>
                <w:b w:val="false"/>
                <w:bCs w:val="false"/>
                <w:sz w:val="20"/>
                <w:szCs w:val="20"/>
              </w:rPr>
              <w:t xml:space="preserve">Material</w:t>
            </w:r>
          </w:p>
        </w:tc>
        <w:tc>
          <w:tcPr>
            <w:tcW w:type="dxa" w:w="1830"/>
            <w:tcMar>
              <w:top w:type="dxa" w:w="60"/>
              <w:left w:type="dxa" w:w="100"/>
              <w:bottom w:type="dxa" w:w="60"/>
              <w:right w:type="dxa" w:w="100"/>
            </w:tcMar>
          </w:tcPr>
          <w:p>
            <w:pPr>
              <w:spacing w:after="0"/>
              <w:jc w:val="left"/>
            </w:pPr>
            <w:r>
              <w:rPr>
                <w:b w:val="false"/>
                <w:bCs w:val="false"/>
                <w:sz w:val="20"/>
                <w:szCs w:val="20"/>
              </w:rPr>
              <w:t xml:space="preserve">Item</w:t>
            </w:r>
          </w:p>
        </w:tc>
        <w:tc>
          <w:tcPr>
            <w:tcW w:type="dxa" w:w="1900"/>
            <w:tcMar>
              <w:top w:type="dxa" w:w="60"/>
              <w:left w:type="dxa" w:w="100"/>
              <w:bottom w:type="dxa" w:w="60"/>
              <w:right w:type="dxa" w:w="100"/>
            </w:tcMar>
          </w:tcPr>
          <w:p>
            <w:pPr>
              <w:spacing w:after="0"/>
              <w:jc w:val="left"/>
            </w:pPr>
            <w:r>
              <w:rPr>
                <w:b w:val="false"/>
                <w:bCs w:val="false"/>
                <w:sz w:val="20"/>
                <w:szCs w:val="20"/>
              </w:rPr>
              <w:t xml:space="preserve">Item Number</w:t>
            </w:r>
          </w:p>
        </w:tc>
      </w:tr>
      <w:tr>
        <w:tc>
          <w:tcPr>
            <w:tcW w:type="dxa" w:w="1650"/>
            <w:tcMar>
              <w:top w:type="dxa" w:w="60"/>
              <w:left w:type="dxa" w:w="100"/>
              <w:bottom w:type="dxa" w:w="60"/>
              <w:right w:type="dxa" w:w="100"/>
            </w:tcMar>
          </w:tcPr>
          <w:p>
            <w:pPr>
              <w:spacing w:after="0"/>
              <w:jc w:val="left"/>
            </w:pPr>
            <w:r>
              <w:rPr>
                <w:b w:val="false"/>
                <w:bCs w:val="false"/>
                <w:sz w:val="20"/>
                <w:szCs w:val="20"/>
              </w:rPr>
              <w:t xml:space="preserve">Order ref</w:t>
            </w:r>
          </w:p>
        </w:tc>
        <w:tc>
          <w:tcPr>
            <w:tcW w:type="dxa" w:w="2900"/>
            <w:tcMar>
              <w:top w:type="dxa" w:w="60"/>
              <w:left w:type="dxa" w:w="100"/>
              <w:bottom w:type="dxa" w:w="60"/>
              <w:right w:type="dxa" w:w="100"/>
            </w:tcMar>
          </w:tcPr>
          <w:p>
            <w:pPr>
              <w:spacing w:after="0"/>
              <w:jc w:val="left"/>
            </w:pPr>
            <w:r>
              <w:rPr>
                <w:b w:val="false"/>
                <w:bCs w:val="false"/>
                <w:sz w:val="20"/>
                <w:szCs w:val="20"/>
              </w:rPr>
              <w:t xml:space="preserve">Source order of the line, when invoice was created from orders (§4)</w:t>
            </w:r>
          </w:p>
        </w:tc>
        <w:tc>
          <w:tcPr>
            <w:tcW w:type="dxa" w:w="1800"/>
            <w:tcMar>
              <w:top w:type="dxa" w:w="60"/>
              <w:left w:type="dxa" w:w="100"/>
              <w:bottom w:type="dxa" w:w="60"/>
              <w:right w:type="dxa" w:w="100"/>
            </w:tcMar>
          </w:tcPr>
          <w:p>
            <w:pPr>
              <w:spacing w:after="0"/>
              <w:jc w:val="left"/>
            </w:pPr>
            <w:r>
              <w:rPr>
                <w:b w:val="false"/>
                <w:bCs w:val="false"/>
                <w:sz w:val="20"/>
                <w:szCs w:val="20"/>
              </w:rPr>
              <w:t xml:space="preserve">Reference Document</w:t>
            </w:r>
          </w:p>
        </w:tc>
        <w:tc>
          <w:tcPr>
            <w:tcW w:type="dxa" w:w="1830"/>
            <w:tcMar>
              <w:top w:type="dxa" w:w="60"/>
              <w:left w:type="dxa" w:w="100"/>
              <w:bottom w:type="dxa" w:w="60"/>
              <w:right w:type="dxa" w:w="100"/>
            </w:tcMar>
          </w:tcPr>
          <w:p>
            <w:pPr>
              <w:spacing w:after="0"/>
              <w:jc w:val="left"/>
            </w:pPr>
            <w:r>
              <w:rPr>
                <w:b w:val="false"/>
                <w:bCs w:val="false"/>
                <w:sz w:val="20"/>
                <w:szCs w:val="20"/>
              </w:rPr>
              <w:t xml:space="preserve">Source Order</w:t>
            </w:r>
          </w:p>
        </w:tc>
        <w:tc>
          <w:tcPr>
            <w:tcW w:type="dxa" w:w="1900"/>
            <w:tcMar>
              <w:top w:type="dxa" w:w="60"/>
              <w:left w:type="dxa" w:w="100"/>
              <w:bottom w:type="dxa" w:w="60"/>
              <w:right w:type="dxa" w:w="100"/>
            </w:tcMar>
          </w:tcPr>
          <w:p>
            <w:pPr>
              <w:spacing w:after="0"/>
              <w:jc w:val="left"/>
            </w:pPr>
            <w:r>
              <w:rPr>
                <w:b w:val="false"/>
                <w:bCs w:val="false"/>
                <w:sz w:val="20"/>
                <w:szCs w:val="20"/>
              </w:rPr>
              <w:t xml:space="preserve">Order No.</w:t>
            </w:r>
          </w:p>
        </w:tc>
      </w:tr>
      <w:tr>
        <w:tc>
          <w:tcPr>
            <w:tcW w:type="dxa" w:w="1650"/>
            <w:tcMar>
              <w:top w:type="dxa" w:w="60"/>
              <w:left w:type="dxa" w:w="100"/>
              <w:bottom w:type="dxa" w:w="60"/>
              <w:right w:type="dxa" w:w="100"/>
            </w:tcMar>
          </w:tcPr>
          <w:p>
            <w:pPr>
              <w:spacing w:after="0"/>
              <w:jc w:val="left"/>
            </w:pPr>
            <w:r>
              <w:rPr>
                <w:b w:val="false"/>
                <w:bCs w:val="false"/>
                <w:sz w:val="20"/>
                <w:szCs w:val="20"/>
              </w:rPr>
              <w:t xml:space="preserve">Quantity</w:t>
            </w:r>
          </w:p>
        </w:tc>
        <w:tc>
          <w:tcPr>
            <w:tcW w:type="dxa" w:w="2900"/>
            <w:tcMar>
              <w:top w:type="dxa" w:w="60"/>
              <w:left w:type="dxa" w:w="100"/>
              <w:bottom w:type="dxa" w:w="60"/>
              <w:right w:type="dxa" w:w="100"/>
            </w:tcMar>
          </w:tcPr>
          <w:p>
            <w:pPr>
              <w:spacing w:after="0"/>
              <w:jc w:val="left"/>
            </w:pPr>
            <w:r>
              <w:rPr>
                <w:b w:val="false"/>
                <w:bCs w:val="false"/>
                <w:sz w:val="20"/>
                <w:szCs w:val="20"/>
              </w:rPr>
              <w:t xml:space="preserve">Units sold</w:t>
            </w:r>
          </w:p>
        </w:tc>
        <w:tc>
          <w:tcPr>
            <w:tcW w:type="dxa" w:w="1800"/>
            <w:tcMar>
              <w:top w:type="dxa" w:w="60"/>
              <w:left w:type="dxa" w:w="100"/>
              <w:bottom w:type="dxa" w:w="60"/>
              <w:right w:type="dxa" w:w="100"/>
            </w:tcMar>
          </w:tcPr>
          <w:p>
            <w:pPr>
              <w:spacing w:after="0"/>
              <w:jc w:val="left"/>
            </w:pPr>
            <w:r>
              <w:rPr>
                <w:b w:val="false"/>
                <w:bCs w:val="false"/>
                <w:sz w:val="20"/>
                <w:szCs w:val="20"/>
              </w:rPr>
              <w:t xml:space="preserve">Quantity</w:t>
            </w:r>
          </w:p>
        </w:tc>
        <w:tc>
          <w:tcPr>
            <w:tcW w:type="dxa" w:w="1830"/>
            <w:tcMar>
              <w:top w:type="dxa" w:w="60"/>
              <w:left w:type="dxa" w:w="100"/>
              <w:bottom w:type="dxa" w:w="60"/>
              <w:right w:type="dxa" w:w="100"/>
            </w:tcMar>
          </w:tcPr>
          <w:p>
            <w:pPr>
              <w:spacing w:after="0"/>
              <w:jc w:val="left"/>
            </w:pPr>
            <w:r>
              <w:rPr>
                <w:b w:val="false"/>
                <w:bCs w:val="false"/>
                <w:sz w:val="20"/>
                <w:szCs w:val="20"/>
              </w:rPr>
              <w:t xml:space="preserve">Quantity</w:t>
            </w:r>
          </w:p>
        </w:tc>
        <w:tc>
          <w:tcPr>
            <w:tcW w:type="dxa" w:w="1900"/>
            <w:tcMar>
              <w:top w:type="dxa" w:w="60"/>
              <w:left w:type="dxa" w:w="100"/>
              <w:bottom w:type="dxa" w:w="60"/>
              <w:right w:type="dxa" w:w="100"/>
            </w:tcMar>
          </w:tcPr>
          <w:p>
            <w:pPr>
              <w:spacing w:after="0"/>
              <w:jc w:val="left"/>
            </w:pPr>
            <w:r>
              <w:rPr>
                <w:b w:val="false"/>
                <w:bCs w:val="false"/>
                <w:sz w:val="20"/>
                <w:szCs w:val="20"/>
              </w:rPr>
              <w:t xml:space="preserve">Quantity</w:t>
            </w:r>
          </w:p>
        </w:tc>
      </w:tr>
      <w:tr>
        <w:tc>
          <w:tcPr>
            <w:tcW w:type="dxa" w:w="1650"/>
            <w:tcMar>
              <w:top w:type="dxa" w:w="60"/>
              <w:left w:type="dxa" w:w="100"/>
              <w:bottom w:type="dxa" w:w="60"/>
              <w:right w:type="dxa" w:w="100"/>
            </w:tcMar>
          </w:tcPr>
          <w:p>
            <w:pPr>
              <w:spacing w:after="0"/>
              <w:jc w:val="left"/>
            </w:pPr>
            <w:r>
              <w:rPr>
                <w:b w:val="false"/>
                <w:bCs w:val="false"/>
                <w:sz w:val="20"/>
                <w:szCs w:val="20"/>
              </w:rPr>
              <w:t xml:space="preserve">Rate / unit price</w:t>
            </w:r>
          </w:p>
        </w:tc>
        <w:tc>
          <w:tcPr>
            <w:tcW w:type="dxa" w:w="2900"/>
            <w:tcMar>
              <w:top w:type="dxa" w:w="60"/>
              <w:left w:type="dxa" w:w="100"/>
              <w:bottom w:type="dxa" w:w="60"/>
              <w:right w:type="dxa" w:w="100"/>
            </w:tcMar>
          </w:tcPr>
          <w:p>
            <w:pPr>
              <w:spacing w:after="0"/>
              <w:jc w:val="left"/>
            </w:pPr>
            <w:r>
              <w:rPr>
                <w:b w:val="false"/>
                <w:bCs w:val="false"/>
                <w:sz w:val="20"/>
                <w:szCs w:val="20"/>
              </w:rPr>
              <w:t xml:space="preserve">Price per unit</w:t>
            </w:r>
          </w:p>
        </w:tc>
        <w:tc>
          <w:tcPr>
            <w:tcW w:type="dxa" w:w="1800"/>
            <w:tcMar>
              <w:top w:type="dxa" w:w="60"/>
              <w:left w:type="dxa" w:w="100"/>
              <w:bottom w:type="dxa" w:w="60"/>
              <w:right w:type="dxa" w:w="100"/>
            </w:tcMar>
          </w:tcPr>
          <w:p>
            <w:pPr>
              <w:spacing w:after="0"/>
              <w:jc w:val="left"/>
            </w:pPr>
            <w:r>
              <w:rPr>
                <w:b w:val="false"/>
                <w:bCs w:val="false"/>
                <w:sz w:val="20"/>
                <w:szCs w:val="20"/>
              </w:rPr>
              <w:t xml:space="preserve">Price</w:t>
            </w:r>
          </w:p>
        </w:tc>
        <w:tc>
          <w:tcPr>
            <w:tcW w:type="dxa" w:w="1830"/>
            <w:tcMar>
              <w:top w:type="dxa" w:w="60"/>
              <w:left w:type="dxa" w:w="100"/>
              <w:bottom w:type="dxa" w:w="60"/>
              <w:right w:type="dxa" w:w="100"/>
            </w:tcMar>
          </w:tcPr>
          <w:p>
            <w:pPr>
              <w:spacing w:after="0"/>
              <w:jc w:val="left"/>
            </w:pPr>
            <w:r>
              <w:rPr>
                <w:b w:val="false"/>
                <w:bCs w:val="false"/>
                <w:sz w:val="20"/>
                <w:szCs w:val="20"/>
              </w:rPr>
              <w:t xml:space="preserve">Unit Selling Price</w:t>
            </w:r>
          </w:p>
        </w:tc>
        <w:tc>
          <w:tcPr>
            <w:tcW w:type="dxa" w:w="1900"/>
            <w:tcMar>
              <w:top w:type="dxa" w:w="60"/>
              <w:left w:type="dxa" w:w="100"/>
              <w:bottom w:type="dxa" w:w="60"/>
              <w:right w:type="dxa" w:w="100"/>
            </w:tcMar>
          </w:tcPr>
          <w:p>
            <w:pPr>
              <w:spacing w:after="0"/>
              <w:jc w:val="left"/>
            </w:pPr>
            <w:r>
              <w:rPr>
                <w:b w:val="false"/>
                <w:bCs w:val="false"/>
                <w:sz w:val="20"/>
                <w:szCs w:val="20"/>
              </w:rPr>
              <w:t xml:space="preserve">Unit Price</w:t>
            </w:r>
          </w:p>
        </w:tc>
      </w:tr>
      <w:tr>
        <w:tc>
          <w:tcPr>
            <w:tcW w:type="dxa" w:w="1650"/>
            <w:tcMar>
              <w:top w:type="dxa" w:w="60"/>
              <w:left w:type="dxa" w:w="100"/>
              <w:bottom w:type="dxa" w:w="60"/>
              <w:right w:type="dxa" w:w="100"/>
            </w:tcMar>
          </w:tcPr>
          <w:p>
            <w:pPr>
              <w:spacing w:after="0"/>
              <w:jc w:val="left"/>
            </w:pPr>
            <w:r>
              <w:rPr>
                <w:b w:val="false"/>
                <w:bCs w:val="false"/>
                <w:sz w:val="20"/>
                <w:szCs w:val="20"/>
              </w:rPr>
              <w:t xml:space="preserve">Amount</w:t>
            </w:r>
          </w:p>
        </w:tc>
        <w:tc>
          <w:tcPr>
            <w:tcW w:type="dxa" w:w="2900"/>
            <w:tcMar>
              <w:top w:type="dxa" w:w="60"/>
              <w:left w:type="dxa" w:w="100"/>
              <w:bottom w:type="dxa" w:w="60"/>
              <w:right w:type="dxa" w:w="100"/>
            </w:tcMar>
          </w:tcPr>
          <w:p>
            <w:pPr>
              <w:spacing w:after="0"/>
              <w:jc w:val="left"/>
            </w:pPr>
            <w:r>
              <w:rPr>
                <w:b w:val="false"/>
                <w:bCs w:val="false"/>
                <w:sz w:val="20"/>
                <w:szCs w:val="20"/>
              </w:rPr>
              <w:t xml:space="preserve">Qty × Rate, before adjustments</w:t>
            </w:r>
          </w:p>
        </w:tc>
        <w:tc>
          <w:tcPr>
            <w:tcW w:type="dxa" w:w="1800"/>
            <w:tcMar>
              <w:top w:type="dxa" w:w="60"/>
              <w:left w:type="dxa" w:w="100"/>
              <w:bottom w:type="dxa" w:w="60"/>
              <w:right w:type="dxa" w:w="100"/>
            </w:tcMar>
          </w:tcPr>
          <w:p>
            <w:pPr>
              <w:spacing w:after="0"/>
              <w:jc w:val="left"/>
            </w:pPr>
            <w:r>
              <w:rPr>
                <w:b w:val="false"/>
                <w:bCs w:val="false"/>
                <w:sz w:val="20"/>
                <w:szCs w:val="20"/>
              </w:rPr>
              <w:t xml:space="preserve">Net Value</w:t>
            </w:r>
          </w:p>
        </w:tc>
        <w:tc>
          <w:tcPr>
            <w:tcW w:type="dxa" w:w="1830"/>
            <w:tcMar>
              <w:top w:type="dxa" w:w="60"/>
              <w:left w:type="dxa" w:w="100"/>
              <w:bottom w:type="dxa" w:w="60"/>
              <w:right w:type="dxa" w:w="100"/>
            </w:tcMar>
          </w:tcPr>
          <w:p>
            <w:pPr>
              <w:spacing w:after="0"/>
              <w:jc w:val="left"/>
            </w:pPr>
            <w:r>
              <w:rPr>
                <w:b w:val="false"/>
                <w:bCs w:val="false"/>
                <w:sz w:val="20"/>
                <w:szCs w:val="20"/>
              </w:rPr>
              <w:t xml:space="preserve">Extended Amount</w:t>
            </w:r>
          </w:p>
        </w:tc>
        <w:tc>
          <w:tcPr>
            <w:tcW w:type="dxa" w:w="1900"/>
            <w:tcMar>
              <w:top w:type="dxa" w:w="60"/>
              <w:left w:type="dxa" w:w="100"/>
              <w:bottom w:type="dxa" w:w="60"/>
              <w:right w:type="dxa" w:w="100"/>
            </w:tcMar>
          </w:tcPr>
          <w:p>
            <w:pPr>
              <w:spacing w:after="0"/>
              <w:jc w:val="left"/>
            </w:pPr>
            <w:r>
              <w:rPr>
                <w:b w:val="false"/>
                <w:bCs w:val="false"/>
                <w:sz w:val="20"/>
                <w:szCs w:val="20"/>
              </w:rPr>
              <w:t xml:space="preserve">Line Amount</w:t>
            </w:r>
          </w:p>
        </w:tc>
      </w:tr>
      <w:tr>
        <w:tc>
          <w:tcPr>
            <w:tcW w:type="dxa" w:w="1650"/>
            <w:tcMar>
              <w:top w:type="dxa" w:w="60"/>
              <w:left w:type="dxa" w:w="100"/>
              <w:bottom w:type="dxa" w:w="60"/>
              <w:right w:type="dxa" w:w="100"/>
            </w:tcMar>
          </w:tcPr>
          <w:p>
            <w:pPr>
              <w:spacing w:after="0"/>
              <w:jc w:val="left"/>
            </w:pPr>
            <w:r>
              <w:rPr>
                <w:b w:val="false"/>
                <w:bCs w:val="false"/>
                <w:sz w:val="20"/>
                <w:szCs w:val="20"/>
              </w:rPr>
              <w:t xml:space="preserve">Discount % / value</w:t>
            </w:r>
          </w:p>
        </w:tc>
        <w:tc>
          <w:tcPr>
            <w:tcW w:type="dxa" w:w="2900"/>
            <w:tcMar>
              <w:top w:type="dxa" w:w="60"/>
              <w:left w:type="dxa" w:w="100"/>
              <w:bottom w:type="dxa" w:w="60"/>
              <w:right w:type="dxa" w:w="100"/>
            </w:tcMar>
          </w:tcPr>
          <w:p>
            <w:pPr>
              <w:spacing w:after="0"/>
              <w:jc w:val="left"/>
            </w:pPr>
            <w:r>
              <w:rPr>
                <w:b w:val="false"/>
                <w:bCs w:val="false"/>
                <w:sz w:val="20"/>
                <w:szCs w:val="20"/>
              </w:rPr>
              <w:t xml:space="preserve">Item-level price reduction</w:t>
            </w:r>
          </w:p>
        </w:tc>
        <w:tc>
          <w:tcPr>
            <w:tcW w:type="dxa" w:w="1800"/>
            <w:tcMar>
              <w:top w:type="dxa" w:w="60"/>
              <w:left w:type="dxa" w:w="100"/>
              <w:bottom w:type="dxa" w:w="60"/>
              <w:right w:type="dxa" w:w="100"/>
            </w:tcMar>
          </w:tcPr>
          <w:p>
            <w:pPr>
              <w:spacing w:after="0"/>
              <w:jc w:val="left"/>
            </w:pPr>
            <w:r>
              <w:rPr>
                <w:b w:val="false"/>
                <w:bCs w:val="false"/>
                <w:sz w:val="20"/>
                <w:szCs w:val="20"/>
              </w:rPr>
              <w:t xml:space="preserve">Pricing Condition (Discount)</w:t>
            </w:r>
          </w:p>
        </w:tc>
        <w:tc>
          <w:tcPr>
            <w:tcW w:type="dxa" w:w="1830"/>
            <w:tcMar>
              <w:top w:type="dxa" w:w="60"/>
              <w:left w:type="dxa" w:w="100"/>
              <w:bottom w:type="dxa" w:w="60"/>
              <w:right w:type="dxa" w:w="100"/>
            </w:tcMar>
          </w:tcPr>
          <w:p>
            <w:pPr>
              <w:spacing w:after="0"/>
              <w:jc w:val="left"/>
            </w:pPr>
            <w:r>
              <w:rPr>
                <w:b w:val="false"/>
                <w:bCs w:val="false"/>
                <w:sz w:val="20"/>
                <w:szCs w:val="20"/>
              </w:rPr>
              <w:t xml:space="preserve">Discount</w:t>
            </w:r>
          </w:p>
        </w:tc>
        <w:tc>
          <w:tcPr>
            <w:tcW w:type="dxa" w:w="1900"/>
            <w:tcMar>
              <w:top w:type="dxa" w:w="60"/>
              <w:left w:type="dxa" w:w="100"/>
              <w:bottom w:type="dxa" w:w="60"/>
              <w:right w:type="dxa" w:w="100"/>
            </w:tcMar>
          </w:tcPr>
          <w:p>
            <w:pPr>
              <w:spacing w:after="0"/>
              <w:jc w:val="left"/>
            </w:pPr>
            <w:r>
              <w:rPr>
                <w:b w:val="false"/>
                <w:bCs w:val="false"/>
                <w:sz w:val="20"/>
                <w:szCs w:val="20"/>
              </w:rPr>
              <w:t xml:space="preserve">Line Discount</w:t>
            </w:r>
          </w:p>
        </w:tc>
      </w:tr>
      <w:tr>
        <w:tc>
          <w:tcPr>
            <w:tcW w:type="dxa" w:w="1650"/>
            <w:tcMar>
              <w:top w:type="dxa" w:w="60"/>
              <w:left w:type="dxa" w:w="100"/>
              <w:bottom w:type="dxa" w:w="60"/>
              <w:right w:type="dxa" w:w="100"/>
            </w:tcMar>
          </w:tcPr>
          <w:p>
            <w:pPr>
              <w:spacing w:after="0"/>
              <w:jc w:val="left"/>
            </w:pPr>
            <w:r>
              <w:rPr>
                <w:b w:val="false"/>
                <w:bCs w:val="false"/>
                <w:sz w:val="20"/>
                <w:szCs w:val="20"/>
              </w:rPr>
              <w:t xml:space="preserve">Add. charges</w:t>
            </w:r>
          </w:p>
        </w:tc>
        <w:tc>
          <w:tcPr>
            <w:tcW w:type="dxa" w:w="2900"/>
            <w:tcMar>
              <w:top w:type="dxa" w:w="60"/>
              <w:left w:type="dxa" w:w="100"/>
              <w:bottom w:type="dxa" w:w="60"/>
              <w:right w:type="dxa" w:w="100"/>
            </w:tcMar>
          </w:tcPr>
          <w:p>
            <w:pPr>
              <w:spacing w:after="0"/>
              <w:jc w:val="left"/>
            </w:pPr>
            <w:r>
              <w:rPr>
                <w:b w:val="false"/>
                <w:bCs w:val="false"/>
                <w:sz w:val="20"/>
                <w:szCs w:val="20"/>
              </w:rPr>
              <w:t xml:space="preserve">Line’s share of every Per-item additional charge (§6)</w:t>
            </w:r>
          </w:p>
        </w:tc>
        <w:tc>
          <w:tcPr>
            <w:tcW w:type="dxa" w:w="1800"/>
            <w:tcMar>
              <w:top w:type="dxa" w:w="60"/>
              <w:left w:type="dxa" w:w="100"/>
              <w:bottom w:type="dxa" w:w="60"/>
              <w:right w:type="dxa" w:w="100"/>
            </w:tcMar>
          </w:tcPr>
          <w:p>
            <w:pPr>
              <w:spacing w:after="0"/>
              <w:jc w:val="left"/>
            </w:pPr>
            <w:r>
              <w:rPr>
                <w:b w:val="false"/>
                <w:bCs w:val="false"/>
                <w:sz w:val="20"/>
                <w:szCs w:val="20"/>
              </w:rPr>
              <w:t xml:space="preserve">Item Condition (freight etc.)</w:t>
            </w:r>
          </w:p>
        </w:tc>
        <w:tc>
          <w:tcPr>
            <w:tcW w:type="dxa" w:w="1830"/>
            <w:tcMar>
              <w:top w:type="dxa" w:w="60"/>
              <w:left w:type="dxa" w:w="100"/>
              <w:bottom w:type="dxa" w:w="60"/>
              <w:right w:type="dxa" w:w="100"/>
            </w:tcMar>
          </w:tcPr>
          <w:p>
            <w:pPr>
              <w:spacing w:after="0"/>
              <w:jc w:val="left"/>
            </w:pPr>
            <w:r>
              <w:rPr>
                <w:b w:val="false"/>
                <w:bCs w:val="false"/>
                <w:sz w:val="20"/>
                <w:szCs w:val="20"/>
              </w:rPr>
              <w:t xml:space="preserve">Charges</w:t>
            </w:r>
          </w:p>
        </w:tc>
        <w:tc>
          <w:tcPr>
            <w:tcW w:type="dxa" w:w="1900"/>
            <w:tcMar>
              <w:top w:type="dxa" w:w="60"/>
              <w:left w:type="dxa" w:w="100"/>
              <w:bottom w:type="dxa" w:w="60"/>
              <w:right w:type="dxa" w:w="100"/>
            </w:tcMar>
          </w:tcPr>
          <w:p>
            <w:pPr>
              <w:spacing w:after="0"/>
              <w:jc w:val="left"/>
            </w:pPr>
            <w:r>
              <w:rPr>
                <w:b w:val="false"/>
                <w:bCs w:val="false"/>
                <w:sz w:val="20"/>
                <w:szCs w:val="20"/>
              </w:rPr>
              <w:t xml:space="preserve">Charges Code / Auto Charge</w:t>
            </w:r>
          </w:p>
        </w:tc>
      </w:tr>
      <w:tr>
        <w:tc>
          <w:tcPr>
            <w:tcW w:type="dxa" w:w="1650"/>
            <w:tcMar>
              <w:top w:type="dxa" w:w="60"/>
              <w:left w:type="dxa" w:w="100"/>
              <w:bottom w:type="dxa" w:w="60"/>
              <w:right w:type="dxa" w:w="100"/>
            </w:tcMar>
          </w:tcPr>
          <w:p>
            <w:pPr>
              <w:spacing w:after="0"/>
              <w:jc w:val="left"/>
            </w:pPr>
            <w:r>
              <w:rPr>
                <w:b w:val="false"/>
                <w:bCs w:val="false"/>
                <w:sz w:val="20"/>
                <w:szCs w:val="20"/>
              </w:rPr>
              <w:t xml:space="preserve">Tax code / rate</w:t>
            </w:r>
          </w:p>
        </w:tc>
        <w:tc>
          <w:tcPr>
            <w:tcW w:type="dxa" w:w="2900"/>
            <w:tcMar>
              <w:top w:type="dxa" w:w="60"/>
              <w:left w:type="dxa" w:w="100"/>
              <w:bottom w:type="dxa" w:w="60"/>
              <w:right w:type="dxa" w:w="100"/>
            </w:tcMar>
          </w:tcPr>
          <w:p>
            <w:pPr>
              <w:spacing w:after="0"/>
              <w:jc w:val="left"/>
            </w:pPr>
            <w:r>
              <w:rPr>
                <w:b w:val="false"/>
                <w:bCs w:val="false"/>
                <w:sz w:val="20"/>
                <w:szCs w:val="20"/>
              </w:rPr>
              <w:t xml:space="preserve">GST, VAT, or sales-tax rate</w:t>
            </w:r>
          </w:p>
        </w:tc>
        <w:tc>
          <w:tcPr>
            <w:tcW w:type="dxa" w:w="1800"/>
            <w:tcMar>
              <w:top w:type="dxa" w:w="60"/>
              <w:left w:type="dxa" w:w="100"/>
              <w:bottom w:type="dxa" w:w="60"/>
              <w:right w:type="dxa" w:w="100"/>
            </w:tcMar>
          </w:tcPr>
          <w:p>
            <w:pPr>
              <w:spacing w:after="0"/>
              <w:jc w:val="left"/>
            </w:pPr>
            <w:r>
              <w:rPr>
                <w:b w:val="false"/>
                <w:bCs w:val="false"/>
                <w:sz w:val="20"/>
                <w:szCs w:val="20"/>
              </w:rPr>
              <w:t xml:space="preserve">Tax Code</w:t>
            </w:r>
          </w:p>
        </w:tc>
        <w:tc>
          <w:tcPr>
            <w:tcW w:type="dxa" w:w="1830"/>
            <w:tcMar>
              <w:top w:type="dxa" w:w="60"/>
              <w:left w:type="dxa" w:w="100"/>
              <w:bottom w:type="dxa" w:w="60"/>
              <w:right w:type="dxa" w:w="100"/>
            </w:tcMar>
          </w:tcPr>
          <w:p>
            <w:pPr>
              <w:spacing w:after="0"/>
              <w:jc w:val="left"/>
            </w:pPr>
            <w:r>
              <w:rPr>
                <w:b w:val="false"/>
                <w:bCs w:val="false"/>
                <w:sz w:val="20"/>
                <w:szCs w:val="20"/>
              </w:rPr>
              <w:t xml:space="preserve">Tax Rate Code</w:t>
            </w:r>
          </w:p>
        </w:tc>
        <w:tc>
          <w:tcPr>
            <w:tcW w:type="dxa" w:w="1900"/>
            <w:tcMar>
              <w:top w:type="dxa" w:w="60"/>
              <w:left w:type="dxa" w:w="100"/>
              <w:bottom w:type="dxa" w:w="60"/>
              <w:right w:type="dxa" w:w="100"/>
            </w:tcMar>
          </w:tcPr>
          <w:p>
            <w:pPr>
              <w:spacing w:after="0"/>
              <w:jc w:val="left"/>
            </w:pPr>
            <w:r>
              <w:rPr>
                <w:b w:val="false"/>
                <w:bCs w:val="false"/>
                <w:sz w:val="20"/>
                <w:szCs w:val="20"/>
              </w:rPr>
              <w:t xml:space="preserve">Item Sales Tax Group</w:t>
            </w:r>
          </w:p>
        </w:tc>
      </w:tr>
      <w:tr>
        <w:tc>
          <w:tcPr>
            <w:tcW w:type="dxa" w:w="1650"/>
            <w:tcMar>
              <w:top w:type="dxa" w:w="60"/>
              <w:left w:type="dxa" w:w="100"/>
              <w:bottom w:type="dxa" w:w="60"/>
              <w:right w:type="dxa" w:w="100"/>
            </w:tcMar>
          </w:tcPr>
          <w:p>
            <w:pPr>
              <w:spacing w:after="0"/>
              <w:jc w:val="left"/>
            </w:pPr>
            <w:r>
              <w:rPr>
                <w:b w:val="false"/>
                <w:bCs w:val="false"/>
                <w:sz w:val="20"/>
                <w:szCs w:val="20"/>
              </w:rPr>
              <w:t xml:space="preserve">Net amount</w:t>
            </w:r>
          </w:p>
        </w:tc>
        <w:tc>
          <w:tcPr>
            <w:tcW w:type="dxa" w:w="2900"/>
            <w:tcMar>
              <w:top w:type="dxa" w:w="60"/>
              <w:left w:type="dxa" w:w="100"/>
              <w:bottom w:type="dxa" w:w="60"/>
              <w:right w:type="dxa" w:w="100"/>
            </w:tcMar>
          </w:tcPr>
          <w:p>
            <w:pPr>
              <w:spacing w:after="0"/>
              <w:jc w:val="left"/>
            </w:pPr>
            <w:r>
              <w:rPr>
                <w:b w:val="false"/>
                <w:bCs w:val="false"/>
                <w:sz w:val="20"/>
                <w:szCs w:val="20"/>
              </w:rPr>
              <w:t xml:space="preserve">Line total after its own discount and tax allocation</w:t>
            </w:r>
          </w:p>
        </w:tc>
        <w:tc>
          <w:tcPr>
            <w:tcW w:type="dxa" w:w="1800"/>
            <w:tcMar>
              <w:top w:type="dxa" w:w="60"/>
              <w:left w:type="dxa" w:w="100"/>
              <w:bottom w:type="dxa" w:w="60"/>
              <w:right w:type="dxa" w:w="100"/>
            </w:tcMar>
          </w:tcPr>
          <w:p>
            <w:pPr>
              <w:spacing w:after="0"/>
              <w:jc w:val="left"/>
            </w:pPr>
            <w:r>
              <w:rPr>
                <w:b w:val="false"/>
                <w:bCs w:val="false"/>
                <w:sz w:val="20"/>
                <w:szCs w:val="20"/>
              </w:rPr>
              <w:t xml:space="preserve">Net Value</w:t>
            </w:r>
          </w:p>
        </w:tc>
        <w:tc>
          <w:tcPr>
            <w:tcW w:type="dxa" w:w="1830"/>
            <w:tcMar>
              <w:top w:type="dxa" w:w="60"/>
              <w:left w:type="dxa" w:w="100"/>
              <w:bottom w:type="dxa" w:w="60"/>
              <w:right w:type="dxa" w:w="100"/>
            </w:tcMar>
          </w:tcPr>
          <w:p>
            <w:pPr>
              <w:spacing w:after="0"/>
              <w:jc w:val="left"/>
            </w:pPr>
            <w:r>
              <w:rPr>
                <w:b w:val="false"/>
                <w:bCs w:val="false"/>
                <w:sz w:val="20"/>
                <w:szCs w:val="20"/>
              </w:rPr>
              <w:t xml:space="preserve">Extended Price</w:t>
            </w:r>
          </w:p>
        </w:tc>
        <w:tc>
          <w:tcPr>
            <w:tcW w:type="dxa" w:w="1900"/>
            <w:tcMar>
              <w:top w:type="dxa" w:w="60"/>
              <w:left w:type="dxa" w:w="100"/>
              <w:bottom w:type="dxa" w:w="60"/>
              <w:right w:type="dxa" w:w="100"/>
            </w:tcMar>
          </w:tcPr>
          <w:p>
            <w:pPr>
              <w:spacing w:after="0"/>
              <w:jc w:val="left"/>
            </w:pPr>
            <w:r>
              <w:rPr>
                <w:b w:val="false"/>
                <w:bCs w:val="false"/>
                <w:sz w:val="20"/>
                <w:szCs w:val="20"/>
              </w:rPr>
              <w:t xml:space="preserve">Net Amount</w:t>
            </w:r>
          </w:p>
        </w:tc>
      </w:tr>
    </w:tbl>
    <w:p>
      <w:pPr>
        <w:spacing w:after="120" w:before="0"/>
      </w:pPr>
      <w:r>
        <w:t xml:space="preserve"/>
      </w:r>
    </w:p>
    <w:p>
      <w:pPr>
        <w:pStyle w:val="Heading2"/>
        <w:spacing w:after="140" w:before="240"/>
      </w:pPr>
      <w:r>
        <w:rPr>
          <w:b/>
          <w:bCs/>
          <w:color w:val="3D4E66"/>
          <w:sz w:val="24"/>
          <w:szCs w:val="24"/>
        </w:rPr>
        <w:t xml:space="preserve">2.4 Sales ↔ purchase mirror</w:t>
      </w:r>
    </w:p>
    <w:p>
      <w:pPr>
        <w:spacing w:after="160" w:before="0"/>
      </w:pPr>
      <w:r>
        <w:t xml:space="preserve">Purchase documents reuse the whole catalogue with the partner roles and tax directions mirrored — the screen layout does not change:</w:t>
      </w:r>
    </w:p>
    <w:tbl>
      <w:tblPr>
        <w:tblW w:type="dxa" w:w="10080"/>
        <w:tblBorders>
          <w:top w:val="single" w:color="C8CDD4" w:sz="4"/>
          <w:left w:val="single" w:color="C8CDD4" w:sz="4"/>
          <w:bottom w:val="single" w:color="C8CDD4" w:sz="4"/>
          <w:right w:val="single" w:color="C8CDD4" w:sz="4"/>
          <w:insideH w:val="single" w:color="C8CDD4" w:sz="4"/>
          <w:insideV w:val="single" w:color="C8CDD4" w:sz="4"/>
        </w:tblBorders>
      </w:tblPr>
      <w:tblGrid>
        <w:gridCol w:w="4400"/>
        <w:gridCol w:w="5680"/>
      </w:tblGrid>
      <w:tr>
        <w:trPr>
          <w:tblHeader/>
        </w:trPr>
        <w:tc>
          <w:tcPr>
            <w:tcW w:type="dxa" w:w="4400"/>
            <w:shd w:fill="3D4E66" w:val="clear"/>
            <w:tcMar>
              <w:top w:type="dxa" w:w="60"/>
              <w:left w:type="dxa" w:w="100"/>
              <w:bottom w:type="dxa" w:w="60"/>
              <w:right w:type="dxa" w:w="100"/>
            </w:tcMar>
          </w:tcPr>
          <w:p>
            <w:pPr>
              <w:spacing w:after="0"/>
              <w:jc w:val="left"/>
            </w:pPr>
            <w:r>
              <w:rPr>
                <w:b/>
                <w:bCs/>
                <w:color w:val="FFFFFF"/>
                <w:sz w:val="20"/>
                <w:szCs w:val="20"/>
              </w:rPr>
              <w:t xml:space="preserve">Sales document</w:t>
            </w:r>
          </w:p>
        </w:tc>
        <w:tc>
          <w:tcPr>
            <w:tcW w:type="dxa" w:w="5680"/>
            <w:shd w:fill="3D4E66" w:val="clear"/>
            <w:tcMar>
              <w:top w:type="dxa" w:w="60"/>
              <w:left w:type="dxa" w:w="100"/>
              <w:bottom w:type="dxa" w:w="60"/>
              <w:right w:type="dxa" w:w="100"/>
            </w:tcMar>
          </w:tcPr>
          <w:p>
            <w:pPr>
              <w:spacing w:after="0"/>
              <w:jc w:val="left"/>
            </w:pPr>
            <w:r>
              <w:rPr>
                <w:b/>
                <w:bCs/>
                <w:color w:val="FFFFFF"/>
                <w:sz w:val="20"/>
                <w:szCs w:val="20"/>
              </w:rPr>
              <w:t xml:space="preserve">Purchase counterpart</w:t>
            </w:r>
          </w:p>
        </w:tc>
      </w:tr>
      <w:tr>
        <w:tc>
          <w:tcPr>
            <w:tcW w:type="dxa" w:w="4400"/>
            <w:tcMar>
              <w:top w:type="dxa" w:w="60"/>
              <w:left w:type="dxa" w:w="100"/>
              <w:bottom w:type="dxa" w:w="60"/>
              <w:right w:type="dxa" w:w="100"/>
            </w:tcMar>
          </w:tcPr>
          <w:p>
            <w:pPr>
              <w:spacing w:after="0"/>
              <w:jc w:val="left"/>
            </w:pPr>
            <w:r>
              <w:rPr>
                <w:b w:val="false"/>
                <w:bCs w:val="false"/>
                <w:sz w:val="20"/>
                <w:szCs w:val="20"/>
              </w:rPr>
              <w:t xml:space="preserve">Customer (sold-to / ship-to)</w:t>
            </w:r>
          </w:p>
        </w:tc>
        <w:tc>
          <w:tcPr>
            <w:tcW w:type="dxa" w:w="5680"/>
            <w:tcMar>
              <w:top w:type="dxa" w:w="60"/>
              <w:left w:type="dxa" w:w="100"/>
              <w:bottom w:type="dxa" w:w="60"/>
              <w:right w:type="dxa" w:w="100"/>
            </w:tcMar>
          </w:tcPr>
          <w:p>
            <w:pPr>
              <w:spacing w:after="0"/>
              <w:jc w:val="left"/>
            </w:pPr>
            <w:r>
              <w:rPr>
                <w:b w:val="false"/>
                <w:bCs w:val="false"/>
                <w:sz w:val="20"/>
                <w:szCs w:val="20"/>
              </w:rPr>
              <w:t xml:space="preserve">Supplier / vendor (order-from; deliver-to our warehouse)</w:t>
            </w:r>
          </w:p>
        </w:tc>
      </w:tr>
      <w:tr>
        <w:tc>
          <w:tcPr>
            <w:tcW w:type="dxa" w:w="4400"/>
            <w:tcMar>
              <w:top w:type="dxa" w:w="60"/>
              <w:left w:type="dxa" w:w="100"/>
              <w:bottom w:type="dxa" w:w="60"/>
              <w:right w:type="dxa" w:w="100"/>
            </w:tcMar>
          </w:tcPr>
          <w:p>
            <w:pPr>
              <w:spacing w:after="0"/>
              <w:jc w:val="left"/>
            </w:pPr>
            <w:r>
              <w:rPr>
                <w:b w:val="false"/>
                <w:bCs w:val="false"/>
                <w:sz w:val="20"/>
                <w:szCs w:val="20"/>
              </w:rPr>
              <w:t xml:space="preserve">Customer reference (their PO on our SO)</w:t>
            </w:r>
          </w:p>
        </w:tc>
        <w:tc>
          <w:tcPr>
            <w:tcW w:type="dxa" w:w="5680"/>
            <w:tcMar>
              <w:top w:type="dxa" w:w="60"/>
              <w:left w:type="dxa" w:w="100"/>
              <w:bottom w:type="dxa" w:w="60"/>
              <w:right w:type="dxa" w:w="100"/>
            </w:tcMar>
          </w:tcPr>
          <w:p>
            <w:pPr>
              <w:spacing w:after="0"/>
              <w:jc w:val="left"/>
            </w:pPr>
            <w:r>
              <w:rPr>
                <w:b w:val="false"/>
                <w:bCs w:val="false"/>
                <w:sz w:val="20"/>
                <w:szCs w:val="20"/>
              </w:rPr>
              <w:t xml:space="preserve">Our PO number (quoted on the supplier’s invoice)</w:t>
            </w:r>
          </w:p>
        </w:tc>
      </w:tr>
      <w:tr>
        <w:tc>
          <w:tcPr>
            <w:tcW w:type="dxa" w:w="4400"/>
            <w:tcMar>
              <w:top w:type="dxa" w:w="60"/>
              <w:left w:type="dxa" w:w="100"/>
              <w:bottom w:type="dxa" w:w="60"/>
              <w:right w:type="dxa" w:w="100"/>
            </w:tcMar>
          </w:tcPr>
          <w:p>
            <w:pPr>
              <w:spacing w:after="0"/>
              <w:jc w:val="left"/>
            </w:pPr>
            <w:r>
              <w:rPr>
                <w:b w:val="false"/>
                <w:bCs w:val="false"/>
                <w:sz w:val="20"/>
                <w:szCs w:val="20"/>
              </w:rPr>
              <w:t xml:space="preserve">Salesperson / sales office</w:t>
            </w:r>
          </w:p>
        </w:tc>
        <w:tc>
          <w:tcPr>
            <w:tcW w:type="dxa" w:w="5680"/>
            <w:tcMar>
              <w:top w:type="dxa" w:w="60"/>
              <w:left w:type="dxa" w:w="100"/>
              <w:bottom w:type="dxa" w:w="60"/>
              <w:right w:type="dxa" w:w="100"/>
            </w:tcMar>
          </w:tcPr>
          <w:p>
            <w:pPr>
              <w:spacing w:after="0"/>
              <w:jc w:val="left"/>
            </w:pPr>
            <w:r>
              <w:rPr>
                <w:b w:val="false"/>
                <w:bCs w:val="false"/>
                <w:sz w:val="20"/>
                <w:szCs w:val="20"/>
              </w:rPr>
              <w:t xml:space="preserve">Buyer / purchasing officer</w:t>
            </w:r>
          </w:p>
        </w:tc>
      </w:tr>
      <w:tr>
        <w:tc>
          <w:tcPr>
            <w:tcW w:type="dxa" w:w="4400"/>
            <w:tcMar>
              <w:top w:type="dxa" w:w="60"/>
              <w:left w:type="dxa" w:w="100"/>
              <w:bottom w:type="dxa" w:w="60"/>
              <w:right w:type="dxa" w:w="100"/>
            </w:tcMar>
          </w:tcPr>
          <w:p>
            <w:pPr>
              <w:spacing w:after="0"/>
              <w:jc w:val="left"/>
            </w:pPr>
            <w:r>
              <w:rPr>
                <w:b w:val="false"/>
                <w:bCs w:val="false"/>
                <w:sz w:val="20"/>
                <w:szCs w:val="20"/>
              </w:rPr>
              <w:t xml:space="preserve">Price list / customer group</w:t>
            </w:r>
          </w:p>
        </w:tc>
        <w:tc>
          <w:tcPr>
            <w:tcW w:type="dxa" w:w="5680"/>
            <w:tcMar>
              <w:top w:type="dxa" w:w="60"/>
              <w:left w:type="dxa" w:w="100"/>
              <w:bottom w:type="dxa" w:w="60"/>
              <w:right w:type="dxa" w:w="100"/>
            </w:tcMar>
          </w:tcPr>
          <w:p>
            <w:pPr>
              <w:spacing w:after="0"/>
              <w:jc w:val="left"/>
            </w:pPr>
            <w:r>
              <w:rPr>
                <w:b w:val="false"/>
                <w:bCs w:val="false"/>
                <w:sz w:val="20"/>
                <w:szCs w:val="20"/>
              </w:rPr>
              <w:t xml:space="preserve">Supplier price list / purchase contract</w:t>
            </w:r>
          </w:p>
        </w:tc>
      </w:tr>
      <w:tr>
        <w:tc>
          <w:tcPr>
            <w:tcW w:type="dxa" w:w="4400"/>
            <w:tcMar>
              <w:top w:type="dxa" w:w="60"/>
              <w:left w:type="dxa" w:w="100"/>
              <w:bottom w:type="dxa" w:w="60"/>
              <w:right w:type="dxa" w:w="100"/>
            </w:tcMar>
          </w:tcPr>
          <w:p>
            <w:pPr>
              <w:spacing w:after="0"/>
              <w:jc w:val="left"/>
            </w:pPr>
            <w:r>
              <w:rPr>
                <w:b w:val="false"/>
                <w:bCs w:val="false"/>
                <w:sz w:val="20"/>
                <w:szCs w:val="20"/>
              </w:rPr>
              <w:t xml:space="preserve">Sales tax payable (output tax)</w:t>
            </w:r>
          </w:p>
        </w:tc>
        <w:tc>
          <w:tcPr>
            <w:tcW w:type="dxa" w:w="5680"/>
            <w:tcMar>
              <w:top w:type="dxa" w:w="60"/>
              <w:left w:type="dxa" w:w="100"/>
              <w:bottom w:type="dxa" w:w="60"/>
              <w:right w:type="dxa" w:w="100"/>
            </w:tcMar>
          </w:tcPr>
          <w:p>
            <w:pPr>
              <w:spacing w:after="0"/>
              <w:jc w:val="left"/>
            </w:pPr>
            <w:r>
              <w:rPr>
                <w:b w:val="false"/>
                <w:bCs w:val="false"/>
                <w:sz w:val="20"/>
                <w:szCs w:val="20"/>
              </w:rPr>
              <w:t xml:space="preserve">Input sales tax receivable (recoverable)</w:t>
            </w:r>
          </w:p>
        </w:tc>
      </w:tr>
      <w:tr>
        <w:tc>
          <w:tcPr>
            <w:tcW w:type="dxa" w:w="4400"/>
            <w:tcMar>
              <w:top w:type="dxa" w:w="60"/>
              <w:left w:type="dxa" w:w="100"/>
              <w:bottom w:type="dxa" w:w="60"/>
              <w:right w:type="dxa" w:w="100"/>
            </w:tcMar>
          </w:tcPr>
          <w:p>
            <w:pPr>
              <w:spacing w:after="0"/>
              <w:jc w:val="left"/>
            </w:pPr>
            <w:r>
              <w:rPr>
                <w:b w:val="false"/>
                <w:bCs w:val="false"/>
                <w:sz w:val="20"/>
                <w:szCs w:val="20"/>
              </w:rPr>
              <w:t xml:space="preserve">Withholding tax receivable (customer withheld from us)</w:t>
            </w:r>
          </w:p>
        </w:tc>
        <w:tc>
          <w:tcPr>
            <w:tcW w:type="dxa" w:w="5680"/>
            <w:tcMar>
              <w:top w:type="dxa" w:w="60"/>
              <w:left w:type="dxa" w:w="100"/>
              <w:bottom w:type="dxa" w:w="60"/>
              <w:right w:type="dxa" w:w="100"/>
            </w:tcMar>
          </w:tcPr>
          <w:p>
            <w:pPr>
              <w:spacing w:after="0"/>
              <w:jc w:val="left"/>
            </w:pPr>
            <w:r>
              <w:rPr>
                <w:b w:val="false"/>
                <w:bCs w:val="false"/>
                <w:sz w:val="20"/>
                <w:szCs w:val="20"/>
              </w:rPr>
              <w:t xml:space="preserve">Withholding tax payable (we withhold from the supplier)</w:t>
            </w:r>
          </w:p>
        </w:tc>
      </w:tr>
      <w:tr>
        <w:tc>
          <w:tcPr>
            <w:tcW w:type="dxa" w:w="4400"/>
            <w:tcMar>
              <w:top w:type="dxa" w:w="60"/>
              <w:left w:type="dxa" w:w="100"/>
              <w:bottom w:type="dxa" w:w="60"/>
              <w:right w:type="dxa" w:w="100"/>
            </w:tcMar>
          </w:tcPr>
          <w:p>
            <w:pPr>
              <w:spacing w:after="0"/>
              <w:jc w:val="left"/>
            </w:pPr>
            <w:r>
              <w:rPr>
                <w:b w:val="false"/>
                <w:bCs w:val="false"/>
                <w:sz w:val="20"/>
                <w:szCs w:val="20"/>
              </w:rPr>
              <w:t xml:space="preserve">Charge recovered income (freight, labour billed on)</w:t>
            </w:r>
          </w:p>
        </w:tc>
        <w:tc>
          <w:tcPr>
            <w:tcW w:type="dxa" w:w="5680"/>
            <w:tcMar>
              <w:top w:type="dxa" w:w="60"/>
              <w:left w:type="dxa" w:w="100"/>
              <w:bottom w:type="dxa" w:w="60"/>
              <w:right w:type="dxa" w:w="100"/>
            </w:tcMar>
          </w:tcPr>
          <w:p>
            <w:pPr>
              <w:spacing w:after="0"/>
              <w:jc w:val="left"/>
            </w:pPr>
            <w:r>
              <w:rPr>
                <w:b w:val="false"/>
                <w:bCs w:val="false"/>
                <w:sz w:val="20"/>
                <w:szCs w:val="20"/>
              </w:rPr>
              <w:t xml:space="preserve">Landed cost absorbed into item cost, or purchase expense</w:t>
            </w:r>
          </w:p>
        </w:tc>
      </w:tr>
    </w:tbl>
    <w:p>
      <w:pPr>
        <w:pStyle w:val="Heading1"/>
        <w:spacing w:after="160" w:before="320"/>
      </w:pPr>
      <w:r>
        <w:rPr>
          <w:b/>
          <w:bCs/>
          <w:color w:val="1F2A3C"/>
          <w:sz w:val="28"/>
          <w:szCs w:val="28"/>
        </w:rPr>
        <w:t xml:space="preserve">3. Header, customer and transport block</w:t>
      </w:r>
    </w:p>
    <w:p>
      <w:pPr>
        <w:spacing w:after="160" w:before="0"/>
      </w:pPr>
      <w:r>
        <w:t xml:space="preserve">All three vendors keep this block as static, document-wide data entered once at the top of the screen — it never repeats per line and is not subject to the combined/per-line scopes described in Section 5. The same block serves orders and invoices; on the purchase side the partner fields flip per §2.4.</w:t>
      </w:r>
    </w:p>
    <w:p>
      <w:pPr>
        <w:spacing w:after="80" w:before="120"/>
        <w:jc w:val="center"/>
      </w:pPr>
      <w:r>
        <w:drawing>
          <wp:inline distT="0" distB="0" distL="0" distR="0">
            <wp:extent cx="6096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333875"/>
                    </a:xfrm>
                    <a:prstGeom prst="rect">
                      <a:avLst/>
                    </a:prstGeom>
                  </pic:spPr>
                </pic:pic>
              </a:graphicData>
            </a:graphic>
          </wp:inline>
        </w:drawing>
      </w:r>
    </w:p>
    <w:p>
      <w:pPr>
        <w:spacing w:after="240" w:before="0"/>
        <w:jc w:val="center"/>
      </w:pPr>
      <w:r>
        <w:rPr>
          <w:i/>
          <w:iCs/>
          <w:color w:val="5A6472"/>
          <w:sz w:val="20"/>
          <w:szCs w:val="20"/>
        </w:rPr>
        <w:t xml:space="preserve">Figure 1 — header, customer and transport data block.</w:t>
      </w:r>
    </w:p>
    <w:p>
      <w:pPr>
        <w:pStyle w:val="Heading1"/>
        <w:spacing w:after="160" w:before="320"/>
      </w:pPr>
      <w:r>
        <w:rPr>
          <w:b/>
          <w:bCs/>
          <w:color w:val="1F2A3C"/>
          <w:sz w:val="28"/>
          <w:szCs w:val="28"/>
        </w:rPr>
        <w:t xml:space="preserve">4. Creating an invoice — from orders, or blank</w:t>
      </w:r>
    </w:p>
    <w:p>
      <w:pPr>
        <w:pStyle w:val="Heading2"/>
        <w:spacing w:after="140" w:before="240"/>
      </w:pPr>
      <w:r>
        <w:rPr>
          <w:b/>
          <w:bCs/>
          <w:color w:val="3D4E66"/>
          <w:sz w:val="24"/>
          <w:szCs w:val="24"/>
        </w:rPr>
        <w:t xml:space="preserve">4.1 The source choice</w:t>
      </w:r>
    </w:p>
    <w:p>
      <w:pPr>
        <w:spacing w:after="160" w:before="0"/>
      </w:pPr>
      <w:r>
        <w:t xml:space="preserve">Invoice creation opens with a single decision, presented as two options: load from orders, or start blank. A sales invoice loads from the customer’s open sales orders; a purchase invoice loads from the supplier’s open purchase orders — the flow is identical (SAP “Create with Reference” / billing due list, Oracle “Create Invoice from Orders” / invoice matching, Dynamics 365 “Get Shipment/Receipt Lines”). A blank invoice has no order link: every line is typed by hand, and the Order ref column of §5.1 simply never appears.</w:t>
      </w:r>
    </w:p>
    <w:p>
      <w:pPr>
        <w:pStyle w:val="Heading2"/>
        <w:spacing w:after="140" w:before="240"/>
      </w:pPr>
      <w:r>
        <w:rPr>
          <w:b/>
          <w:bCs/>
          <w:color w:val="3D4E66"/>
          <w:sz w:val="24"/>
          <w:szCs w:val="24"/>
        </w:rPr>
        <w:t xml:space="preserve">4.2 The order picker</w:t>
      </w:r>
    </w:p>
    <w:p>
      <w:pPr>
        <w:spacing w:after="160" w:before="0"/>
      </w:pPr>
      <w:r>
        <w:t xml:space="preserve">Choosing “from orders” requires the partner first — the partner locks the list. The picker then shows only that partner’s orders that are open or partially invoiced, in the same currency and tax jurisdiction; fully-invoiced and closed orders appear greyed and unselectable. Multiple orders can be ticked into one invoice. Expanding an order exposes its lines with four figures each — ordered, already invoiced, balance, and an editable this-invoice quantity capped at the balance (or at delivered-not-yet-invoiced when delivery-based billing is enforced; on the purchase side, at received-not-yet-invoiced for 3-way PO–receipt–invoice matching). Partial loading is therefore per line, not just per order.</w:t>
      </w:r>
    </w:p>
    <w:p>
      <w:pPr>
        <w:spacing w:after="80" w:before="120"/>
        <w:jc w:val="center"/>
      </w:pPr>
      <w:r>
        <w:drawing>
          <wp:inline distT="0" distB="0" distL="0" distR="0">
            <wp:extent cx="6286500" cy="544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5448300"/>
                    </a:xfrm>
                    <a:prstGeom prst="rect">
                      <a:avLst/>
                    </a:prstGeom>
                  </pic:spPr>
                </pic:pic>
              </a:graphicData>
            </a:graphic>
          </wp:inline>
        </w:drawing>
      </w:r>
    </w:p>
    <w:p>
      <w:pPr>
        <w:spacing w:after="240" w:before="0"/>
        <w:jc w:val="center"/>
      </w:pPr>
      <w:r>
        <w:rPr>
          <w:i/>
          <w:iCs/>
          <w:color w:val="5A6472"/>
          <w:sz w:val="20"/>
          <w:szCs w:val="20"/>
        </w:rPr>
        <w:t xml:space="preserve">Figure 2 — the create-from-orders picker: one full order and one partial line loading into a single invoice; the same picker serves purchase invoices.</w:t>
      </w:r>
    </w:p>
    <w:p>
      <w:pPr>
        <w:pStyle w:val="Heading2"/>
        <w:spacing w:after="140" w:before="240"/>
      </w:pPr>
      <w:r>
        <w:rPr>
          <w:b/>
          <w:bCs/>
          <w:color w:val="3D4E66"/>
          <w:sz w:val="24"/>
          <w:szCs w:val="24"/>
        </w:rPr>
        <w:t xml:space="preserve">4.3 What loading copies</w:t>
      </w:r>
    </w:p>
    <w:p>
      <w:pPr>
        <w:pStyle w:val="ListParagraph"/>
        <w:numPr>
          <w:ilvl w:val="0"/>
          <w:numId w:val="2"/>
        </w:numPr>
        <w:spacing w:after="100"/>
      </w:pPr>
      <w:r>
        <w:t xml:space="preserve">Lines, quantities (as selected), rates, per-line discounts and per-line tax codes copy from the order and remain linked read-only until first edited — editing makes the value invoice-owned, and a subtle marker shows it now deviates from the order.</w:t>
      </w:r>
    </w:p>
    <w:p>
      <w:pPr>
        <w:pStyle w:val="ListParagraph"/>
        <w:numPr>
          <w:ilvl w:val="0"/>
          <w:numId w:val="2"/>
        </w:numPr>
        <w:spacing w:after="100"/>
      </w:pPr>
      <w:r>
        <w:t xml:space="preserve">Order-level Combined values — a combined discount, combined billed charges — copy pro-rata to the loaded share of the order (load one third of an order’s balance and one third of its remaining combined pools arrive). Per-item charges copy the shares belonging to the loaded lines and quantities.</w:t>
      </w:r>
    </w:p>
    <w:p>
      <w:pPr>
        <w:pStyle w:val="ListParagraph"/>
        <w:numPr>
          <w:ilvl w:val="0"/>
          <w:numId w:val="2"/>
        </w:numPr>
        <w:spacing w:after="100"/>
      </w:pPr>
      <w:r>
        <w:t xml:space="preserve">Tax settings (Apply further, Apply withholding, per-line tax scope) copy from the order but are re-evaluated against the partner’s current registration status at invoice date (§8).</w:t>
      </w:r>
    </w:p>
    <w:p>
      <w:pPr>
        <w:pStyle w:val="ListParagraph"/>
        <w:numPr>
          <w:ilvl w:val="0"/>
          <w:numId w:val="2"/>
        </w:numPr>
        <w:spacing w:after="100"/>
      </w:pPr>
      <w:r>
        <w:t xml:space="preserve">Lines from several orders sit in one grid; the Order ref column identifies each line’s source, and an optional per-order subtotal grouping can be switched on in Columns &amp; fields (§7).</w:t>
      </w:r>
    </w:p>
    <w:p>
      <w:pPr>
        <w:pStyle w:val="Heading2"/>
        <w:spacing w:after="140" w:before="240"/>
      </w:pPr>
      <w:r>
        <w:rPr>
          <w:b/>
          <w:bCs/>
          <w:color w:val="3D4E66"/>
          <w:sz w:val="24"/>
          <w:szCs w:val="24"/>
        </w:rPr>
        <w:t xml:space="preserve">4.4 Status and linkage</w:t>
      </w:r>
    </w:p>
    <w:p>
      <w:pPr>
        <w:spacing w:after="160" w:before="0"/>
      </w:pPr>
      <w:r>
        <w:t xml:space="preserve">Posting the invoice writes back to every source order: each loaded line’s invoiced quantity increases, and the order’s status moves Open → Partially invoiced → Fully invoiced. Over-invoicing beyond the administrator tolerance (§11.2) is blocked at save. Deleting a draft invoice — or posting a credit note against a posted one — restores the balances and reopens the orders. A blank invoice touches no order and carries no Order ref column.</w:t>
      </w:r>
    </w:p>
    <w:p>
      <w:pPr>
        <w:pStyle w:val="Heading1"/>
        <w:spacing w:after="160" w:before="320"/>
      </w:pPr>
      <w:r>
        <w:rPr>
          <w:b/>
          <w:bCs/>
          <w:color w:val="1F2A3C"/>
          <w:sz w:val="28"/>
          <w:szCs w:val="28"/>
        </w:rPr>
        <w:t xml:space="preserve">5. The combined-vs-per-line scopes, and how columns follow them</w:t>
      </w:r>
    </w:p>
    <w:p>
      <w:pPr>
        <w:spacing w:after="160" w:before="0"/>
      </w:pPr>
      <w:r>
        <w:t xml:space="preserve">The one design decision that most separates a basic form from an ERP-grade one is how Discount, Additional charges, and Tax are applied. Each of the three sections gets an explicit choice between two scopes:</w:t>
      </w:r>
    </w:p>
    <w:p>
      <w:pPr>
        <w:pStyle w:val="ListParagraph"/>
        <w:numPr>
          <w:ilvl w:val="0"/>
          <w:numId w:val="2"/>
        </w:numPr>
        <w:spacing w:after="100"/>
      </w:pPr>
      <w:r>
        <w:rPr>
          <w:b/>
          <w:bCs/>
        </w:rPr>
        <w:t xml:space="preserve">Combined — </w:t>
      </w:r>
      <w:r>
        <w:t xml:space="preserve">one percentage or flat value is entered once and applies to the whole document. No line carries its own discount, charge share, or tax rate; the line-item grid stays clean, with only Amount and no extra columns.</w:t>
      </w:r>
    </w:p>
    <w:p>
      <w:pPr>
        <w:pStyle w:val="ListParagraph"/>
        <w:numPr>
          <w:ilvl w:val="0"/>
          <w:numId w:val="2"/>
        </w:numPr>
        <w:spacing w:after="100"/>
      </w:pPr>
      <w:r>
        <w:rPr>
          <w:b/>
          <w:bCs/>
        </w:rPr>
        <w:t xml:space="preserve">Per line / Per item — </w:t>
      </w:r>
      <w:r>
        <w:t xml:space="preserve">each line can carry its own value. For Discount and for each additional charge this splits further into Auto-split (a single pool is entered once, then divided across lines pro-rata by value, by quantity, or by weight, shown read-only) or Manual (a distinct value is typed against every line). Tax is always manual when set to per line — there is no meaningful “auto-split” for a tax rate, since different products can legitimately sit in different tax brackets.</w:t>
      </w:r>
    </w:p>
    <w:p>
      <w:pPr>
        <w:spacing w:after="160" w:before="0"/>
      </w:pPr>
      <w:r>
        <w:t xml:space="preserve">Additional charges is not one global toggle: scope is chosen per charge inside the charges form (§6) — Freight can be Combined while Labour is Per item on the same document. The grid reacts to the set of charges as a whole: the moment at least one charge is Per item, the Add. charges column exists; when every charge is Combined, it does not. The same appear/disappear logic drives the Order ref column of §4 — present exactly when the invoice was created from orders.</w:t>
      </w:r>
    </w:p>
    <w:p>
      <w:pPr>
        <w:pStyle w:val="Heading2"/>
        <w:spacing w:after="140" w:before="240"/>
      </w:pPr>
      <w:r>
        <w:rPr>
          <w:b/>
          <w:bCs/>
          <w:color w:val="3D4E66"/>
          <w:sz w:val="24"/>
          <w:szCs w:val="24"/>
        </w:rPr>
        <w:t xml:space="preserve">5.1 Column visibility rules</w:t>
      </w:r>
    </w:p>
    <w:tbl>
      <w:tblPr>
        <w:tblW w:type="dxa" w:w="10080"/>
        <w:tblBorders>
          <w:top w:val="single" w:color="C8CDD4" w:sz="4"/>
          <w:left w:val="single" w:color="C8CDD4" w:sz="4"/>
          <w:bottom w:val="single" w:color="C8CDD4" w:sz="4"/>
          <w:right w:val="single" w:color="C8CDD4" w:sz="4"/>
          <w:insideH w:val="single" w:color="C8CDD4" w:sz="4"/>
          <w:insideV w:val="single" w:color="C8CDD4" w:sz="4"/>
        </w:tblBorders>
      </w:tblPr>
      <w:tblGrid>
        <w:gridCol w:w="4180"/>
        <w:gridCol w:w="3300"/>
        <w:gridCol w:w="2600"/>
      </w:tblGrid>
      <w:tr>
        <w:trPr>
          <w:tblHeader/>
        </w:trPr>
        <w:tc>
          <w:tcPr>
            <w:tcW w:type="dxa" w:w="4180"/>
            <w:shd w:fill="3D4E66" w:val="clear"/>
            <w:tcMar>
              <w:top w:type="dxa" w:w="60"/>
              <w:left w:type="dxa" w:w="100"/>
              <w:bottom w:type="dxa" w:w="60"/>
              <w:right w:type="dxa" w:w="100"/>
            </w:tcMar>
          </w:tcPr>
          <w:p>
            <w:pPr>
              <w:spacing w:after="0"/>
              <w:jc w:val="left"/>
            </w:pPr>
            <w:r>
              <w:rPr>
                <w:b/>
                <w:bCs/>
                <w:color w:val="FFFFFF"/>
                <w:sz w:val="20"/>
                <w:szCs w:val="20"/>
              </w:rPr>
              <w:t xml:space="preserve">Section / document state</w:t>
            </w:r>
          </w:p>
        </w:tc>
        <w:tc>
          <w:tcPr>
            <w:tcW w:type="dxa" w:w="3300"/>
            <w:shd w:fill="3D4E66" w:val="clear"/>
            <w:tcMar>
              <w:top w:type="dxa" w:w="60"/>
              <w:left w:type="dxa" w:w="100"/>
              <w:bottom w:type="dxa" w:w="60"/>
              <w:right w:type="dxa" w:w="100"/>
            </w:tcMar>
          </w:tcPr>
          <w:p>
            <w:pPr>
              <w:spacing w:after="0"/>
              <w:jc w:val="left"/>
            </w:pPr>
            <w:r>
              <w:rPr>
                <w:b/>
                <w:bCs/>
                <w:color w:val="FFFFFF"/>
                <w:sz w:val="20"/>
                <w:szCs w:val="20"/>
              </w:rPr>
              <w:t xml:space="preserve">Extra column shown</w:t>
            </w:r>
          </w:p>
        </w:tc>
        <w:tc>
          <w:tcPr>
            <w:tcW w:type="dxa" w:w="2600"/>
            <w:shd w:fill="3D4E66" w:val="clear"/>
            <w:tcMar>
              <w:top w:type="dxa" w:w="60"/>
              <w:left w:type="dxa" w:w="100"/>
              <w:bottom w:type="dxa" w:w="60"/>
              <w:right w:type="dxa" w:w="100"/>
            </w:tcMar>
          </w:tcPr>
          <w:p>
            <w:pPr>
              <w:spacing w:after="0"/>
              <w:jc w:val="left"/>
            </w:pPr>
            <w:r>
              <w:rPr>
                <w:b/>
                <w:bCs/>
                <w:color w:val="FFFFFF"/>
                <w:sz w:val="20"/>
                <w:szCs w:val="20"/>
              </w:rPr>
              <w:t xml:space="preserve">Editable?</w:t>
            </w:r>
          </w:p>
        </w:tc>
      </w:tr>
      <w:tr>
        <w:tc>
          <w:tcPr>
            <w:tcW w:type="dxa" w:w="4180"/>
            <w:tcMar>
              <w:top w:type="dxa" w:w="60"/>
              <w:left w:type="dxa" w:w="100"/>
              <w:bottom w:type="dxa" w:w="60"/>
              <w:right w:type="dxa" w:w="100"/>
            </w:tcMar>
          </w:tcPr>
          <w:p>
            <w:pPr>
              <w:spacing w:after="0"/>
              <w:jc w:val="left"/>
            </w:pPr>
            <w:r>
              <w:rPr>
                <w:b w:val="false"/>
                <w:bCs w:val="false"/>
                <w:sz w:val="20"/>
                <w:szCs w:val="20"/>
              </w:rPr>
              <w:t xml:space="preserve">Discount — Combined</w:t>
            </w:r>
          </w:p>
        </w:tc>
        <w:tc>
          <w:tcPr>
            <w:tcW w:type="dxa" w:w="3300"/>
            <w:tcMar>
              <w:top w:type="dxa" w:w="60"/>
              <w:left w:type="dxa" w:w="100"/>
              <w:bottom w:type="dxa" w:w="60"/>
              <w:right w:type="dxa" w:w="100"/>
            </w:tcMar>
          </w:tcPr>
          <w:p>
            <w:pPr>
              <w:spacing w:after="0"/>
              <w:jc w:val="left"/>
            </w:pPr>
            <w:r>
              <w:rPr>
                <w:b w:val="false"/>
                <w:bCs w:val="false"/>
                <w:sz w:val="20"/>
                <w:szCs w:val="20"/>
              </w:rPr>
              <w:t xml:space="preserve">none</w:t>
            </w:r>
          </w:p>
        </w:tc>
        <w:tc>
          <w:tcPr>
            <w:tcW w:type="dxa" w:w="2600"/>
            <w:tcMar>
              <w:top w:type="dxa" w:w="60"/>
              <w:left w:type="dxa" w:w="100"/>
              <w:bottom w:type="dxa" w:w="60"/>
              <w:right w:type="dxa" w:w="100"/>
            </w:tcMar>
          </w:tcPr>
          <w:p>
            <w:pPr>
              <w:spacing w:after="0"/>
              <w:jc w:val="left"/>
            </w:pPr>
            <w:r>
              <w:rPr>
                <w:b w:val="false"/>
                <w:bCs w:val="false"/>
                <w:sz w:val="20"/>
                <w:szCs w:val="20"/>
              </w:rPr>
              <w:t xml:space="preserve">—</w:t>
            </w:r>
          </w:p>
        </w:tc>
      </w:tr>
      <w:tr>
        <w:tc>
          <w:tcPr>
            <w:tcW w:type="dxa" w:w="4180"/>
            <w:tcMar>
              <w:top w:type="dxa" w:w="60"/>
              <w:left w:type="dxa" w:w="100"/>
              <w:bottom w:type="dxa" w:w="60"/>
              <w:right w:type="dxa" w:w="100"/>
            </w:tcMar>
          </w:tcPr>
          <w:p>
            <w:pPr>
              <w:spacing w:after="0"/>
              <w:jc w:val="left"/>
            </w:pPr>
            <w:r>
              <w:rPr>
                <w:b w:val="false"/>
                <w:bCs w:val="false"/>
                <w:sz w:val="20"/>
                <w:szCs w:val="20"/>
              </w:rPr>
              <w:t xml:space="preserve">Discount — Per line / Auto-split</w:t>
            </w:r>
          </w:p>
        </w:tc>
        <w:tc>
          <w:tcPr>
            <w:tcW w:type="dxa" w:w="3300"/>
            <w:tcMar>
              <w:top w:type="dxa" w:w="60"/>
              <w:left w:type="dxa" w:w="100"/>
              <w:bottom w:type="dxa" w:w="60"/>
              <w:right w:type="dxa" w:w="100"/>
            </w:tcMar>
          </w:tcPr>
          <w:p>
            <w:pPr>
              <w:spacing w:after="0"/>
              <w:jc w:val="left"/>
            </w:pPr>
            <w:r>
              <w:rPr>
                <w:b w:val="false"/>
                <w:bCs w:val="false"/>
                <w:sz w:val="20"/>
                <w:szCs w:val="20"/>
              </w:rPr>
              <w:t xml:space="preserve">Discount (computed)</w:t>
            </w:r>
          </w:p>
        </w:tc>
        <w:tc>
          <w:tcPr>
            <w:tcW w:type="dxa" w:w="2600"/>
            <w:tcMar>
              <w:top w:type="dxa" w:w="60"/>
              <w:left w:type="dxa" w:w="100"/>
              <w:bottom w:type="dxa" w:w="60"/>
              <w:right w:type="dxa" w:w="100"/>
            </w:tcMar>
          </w:tcPr>
          <w:p>
            <w:pPr>
              <w:spacing w:after="0"/>
              <w:jc w:val="left"/>
            </w:pPr>
            <w:r>
              <w:rPr>
                <w:b w:val="false"/>
                <w:bCs w:val="false"/>
                <w:sz w:val="20"/>
                <w:szCs w:val="20"/>
              </w:rPr>
              <w:t xml:space="preserve">No — read-only</w:t>
            </w:r>
          </w:p>
        </w:tc>
      </w:tr>
      <w:tr>
        <w:tc>
          <w:tcPr>
            <w:tcW w:type="dxa" w:w="4180"/>
            <w:tcMar>
              <w:top w:type="dxa" w:w="60"/>
              <w:left w:type="dxa" w:w="100"/>
              <w:bottom w:type="dxa" w:w="60"/>
              <w:right w:type="dxa" w:w="100"/>
            </w:tcMar>
          </w:tcPr>
          <w:p>
            <w:pPr>
              <w:spacing w:after="0"/>
              <w:jc w:val="left"/>
            </w:pPr>
            <w:r>
              <w:rPr>
                <w:b w:val="false"/>
                <w:bCs w:val="false"/>
                <w:sz w:val="20"/>
                <w:szCs w:val="20"/>
              </w:rPr>
              <w:t xml:space="preserve">Discount — Per line / Manual</w:t>
            </w:r>
          </w:p>
        </w:tc>
        <w:tc>
          <w:tcPr>
            <w:tcW w:type="dxa" w:w="3300"/>
            <w:tcMar>
              <w:top w:type="dxa" w:w="60"/>
              <w:left w:type="dxa" w:w="100"/>
              <w:bottom w:type="dxa" w:w="60"/>
              <w:right w:type="dxa" w:w="100"/>
            </w:tcMar>
          </w:tcPr>
          <w:p>
            <w:pPr>
              <w:spacing w:after="0"/>
              <w:jc w:val="left"/>
            </w:pPr>
            <w:r>
              <w:rPr>
                <w:b w:val="false"/>
                <w:bCs w:val="false"/>
                <w:sz w:val="20"/>
                <w:szCs w:val="20"/>
              </w:rPr>
              <w:t xml:space="preserve">Disc % / Disc value</w:t>
            </w:r>
          </w:p>
        </w:tc>
        <w:tc>
          <w:tcPr>
            <w:tcW w:type="dxa" w:w="2600"/>
            <w:tcMar>
              <w:top w:type="dxa" w:w="60"/>
              <w:left w:type="dxa" w:w="100"/>
              <w:bottom w:type="dxa" w:w="60"/>
              <w:right w:type="dxa" w:w="100"/>
            </w:tcMar>
          </w:tcPr>
          <w:p>
            <w:pPr>
              <w:spacing w:after="0"/>
              <w:jc w:val="left"/>
            </w:pPr>
            <w:r>
              <w:rPr>
                <w:b w:val="false"/>
                <w:bCs w:val="false"/>
                <w:sz w:val="20"/>
                <w:szCs w:val="20"/>
              </w:rPr>
              <w:t xml:space="preserve">Yes, per line</w:t>
            </w:r>
          </w:p>
        </w:tc>
      </w:tr>
      <w:tr>
        <w:tc>
          <w:tcPr>
            <w:tcW w:type="dxa" w:w="4180"/>
            <w:tcMar>
              <w:top w:type="dxa" w:w="60"/>
              <w:left w:type="dxa" w:w="100"/>
              <w:bottom w:type="dxa" w:w="60"/>
              <w:right w:type="dxa" w:w="100"/>
            </w:tcMar>
          </w:tcPr>
          <w:p>
            <w:pPr>
              <w:spacing w:after="0"/>
              <w:jc w:val="left"/>
            </w:pPr>
            <w:r>
              <w:rPr>
                <w:b w:val="false"/>
                <w:bCs w:val="false"/>
                <w:sz w:val="20"/>
                <w:szCs w:val="20"/>
              </w:rPr>
              <w:t xml:space="preserve">Add. charges — every charge Combined</w:t>
            </w:r>
          </w:p>
        </w:tc>
        <w:tc>
          <w:tcPr>
            <w:tcW w:type="dxa" w:w="3300"/>
            <w:tcMar>
              <w:top w:type="dxa" w:w="60"/>
              <w:left w:type="dxa" w:w="100"/>
              <w:bottom w:type="dxa" w:w="60"/>
              <w:right w:type="dxa" w:w="100"/>
            </w:tcMar>
          </w:tcPr>
          <w:p>
            <w:pPr>
              <w:spacing w:after="0"/>
              <w:jc w:val="left"/>
            </w:pPr>
            <w:r>
              <w:rPr>
                <w:b w:val="false"/>
                <w:bCs w:val="false"/>
                <w:sz w:val="20"/>
                <w:szCs w:val="20"/>
              </w:rPr>
              <w:t xml:space="preserve">none</w:t>
            </w:r>
          </w:p>
        </w:tc>
        <w:tc>
          <w:tcPr>
            <w:tcW w:type="dxa" w:w="2600"/>
            <w:tcMar>
              <w:top w:type="dxa" w:w="60"/>
              <w:left w:type="dxa" w:w="100"/>
              <w:bottom w:type="dxa" w:w="60"/>
              <w:right w:type="dxa" w:w="100"/>
            </w:tcMar>
          </w:tcPr>
          <w:p>
            <w:pPr>
              <w:spacing w:after="0"/>
              <w:jc w:val="left"/>
            </w:pPr>
            <w:r>
              <w:rPr>
                <w:b w:val="false"/>
                <w:bCs w:val="false"/>
                <w:sz w:val="20"/>
                <w:szCs w:val="20"/>
              </w:rPr>
              <w:t xml:space="preserve">—</w:t>
            </w:r>
          </w:p>
        </w:tc>
      </w:tr>
      <w:tr>
        <w:tc>
          <w:tcPr>
            <w:tcW w:type="dxa" w:w="4180"/>
            <w:tcMar>
              <w:top w:type="dxa" w:w="60"/>
              <w:left w:type="dxa" w:w="100"/>
              <w:bottom w:type="dxa" w:w="60"/>
              <w:right w:type="dxa" w:w="100"/>
            </w:tcMar>
          </w:tcPr>
          <w:p>
            <w:pPr>
              <w:spacing w:after="0"/>
              <w:jc w:val="left"/>
            </w:pPr>
            <w:r>
              <w:rPr>
                <w:b w:val="false"/>
                <w:bCs w:val="false"/>
                <w:sz w:val="20"/>
                <w:szCs w:val="20"/>
              </w:rPr>
              <w:t xml:space="preserve">Add. charges — ≥1 charge Per item, all Auto-split</w:t>
            </w:r>
          </w:p>
        </w:tc>
        <w:tc>
          <w:tcPr>
            <w:tcW w:type="dxa" w:w="3300"/>
            <w:tcMar>
              <w:top w:type="dxa" w:w="60"/>
              <w:left w:type="dxa" w:w="100"/>
              <w:bottom w:type="dxa" w:w="60"/>
              <w:right w:type="dxa" w:w="100"/>
            </w:tcMar>
          </w:tcPr>
          <w:p>
            <w:pPr>
              <w:spacing w:after="0"/>
              <w:jc w:val="left"/>
            </w:pPr>
            <w:r>
              <w:rPr>
                <w:b w:val="false"/>
                <w:bCs w:val="false"/>
                <w:sz w:val="20"/>
                <w:szCs w:val="20"/>
              </w:rPr>
              <w:t xml:space="preserve">Add. charges (computed Σ of shares)</w:t>
            </w:r>
          </w:p>
        </w:tc>
        <w:tc>
          <w:tcPr>
            <w:tcW w:type="dxa" w:w="2600"/>
            <w:tcMar>
              <w:top w:type="dxa" w:w="60"/>
              <w:left w:type="dxa" w:w="100"/>
              <w:bottom w:type="dxa" w:w="60"/>
              <w:right w:type="dxa" w:w="100"/>
            </w:tcMar>
          </w:tcPr>
          <w:p>
            <w:pPr>
              <w:spacing w:after="0"/>
              <w:jc w:val="left"/>
            </w:pPr>
            <w:r>
              <w:rPr>
                <w:b w:val="false"/>
                <w:bCs w:val="false"/>
                <w:sz w:val="20"/>
                <w:szCs w:val="20"/>
              </w:rPr>
              <w:t xml:space="preserve">No — cell click opens a read-only breakdown</w:t>
            </w:r>
          </w:p>
        </w:tc>
      </w:tr>
      <w:tr>
        <w:tc>
          <w:tcPr>
            <w:tcW w:type="dxa" w:w="4180"/>
            <w:tcMar>
              <w:top w:type="dxa" w:w="60"/>
              <w:left w:type="dxa" w:w="100"/>
              <w:bottom w:type="dxa" w:w="60"/>
              <w:right w:type="dxa" w:w="100"/>
            </w:tcMar>
          </w:tcPr>
          <w:p>
            <w:pPr>
              <w:spacing w:after="0"/>
              <w:jc w:val="left"/>
            </w:pPr>
            <w:r>
              <w:rPr>
                <w:b w:val="false"/>
                <w:bCs w:val="false"/>
                <w:sz w:val="20"/>
                <w:szCs w:val="20"/>
              </w:rPr>
              <w:t xml:space="preserve">Add. charges — ≥1 charge Per item / Manual</w:t>
            </w:r>
          </w:p>
        </w:tc>
        <w:tc>
          <w:tcPr>
            <w:tcW w:type="dxa" w:w="3300"/>
            <w:tcMar>
              <w:top w:type="dxa" w:w="60"/>
              <w:left w:type="dxa" w:w="100"/>
              <w:bottom w:type="dxa" w:w="60"/>
              <w:right w:type="dxa" w:w="100"/>
            </w:tcMar>
          </w:tcPr>
          <w:p>
            <w:pPr>
              <w:spacing w:after="0"/>
              <w:jc w:val="left"/>
            </w:pPr>
            <w:r>
              <w:rPr>
                <w:b w:val="false"/>
                <w:bCs w:val="false"/>
                <w:sz w:val="20"/>
                <w:szCs w:val="20"/>
              </w:rPr>
              <w:t xml:space="preserve">Add. charges</w:t>
            </w:r>
          </w:p>
        </w:tc>
        <w:tc>
          <w:tcPr>
            <w:tcW w:type="dxa" w:w="2600"/>
            <w:tcMar>
              <w:top w:type="dxa" w:w="60"/>
              <w:left w:type="dxa" w:w="100"/>
              <w:bottom w:type="dxa" w:w="60"/>
              <w:right w:type="dxa" w:w="100"/>
            </w:tcMar>
          </w:tcPr>
          <w:p>
            <w:pPr>
              <w:spacing w:after="0"/>
              <w:jc w:val="left"/>
            </w:pPr>
            <w:r>
              <w:rPr>
                <w:b w:val="false"/>
                <w:bCs w:val="false"/>
                <w:sz w:val="20"/>
                <w:szCs w:val="20"/>
              </w:rPr>
              <w:t xml:space="preserve">Via the breakdown editor — the cell lists each per-item charge for that line</w:t>
            </w:r>
          </w:p>
        </w:tc>
      </w:tr>
      <w:tr>
        <w:tc>
          <w:tcPr>
            <w:tcW w:type="dxa" w:w="4180"/>
            <w:tcMar>
              <w:top w:type="dxa" w:w="60"/>
              <w:left w:type="dxa" w:w="100"/>
              <w:bottom w:type="dxa" w:w="60"/>
              <w:right w:type="dxa" w:w="100"/>
            </w:tcMar>
          </w:tcPr>
          <w:p>
            <w:pPr>
              <w:spacing w:after="0"/>
              <w:jc w:val="left"/>
            </w:pPr>
            <w:r>
              <w:rPr>
                <w:b w:val="false"/>
                <w:bCs w:val="false"/>
                <w:sz w:val="20"/>
                <w:szCs w:val="20"/>
              </w:rPr>
              <w:t xml:space="preserve">Tax — Combined</w:t>
            </w:r>
          </w:p>
        </w:tc>
        <w:tc>
          <w:tcPr>
            <w:tcW w:type="dxa" w:w="3300"/>
            <w:tcMar>
              <w:top w:type="dxa" w:w="60"/>
              <w:left w:type="dxa" w:w="100"/>
              <w:bottom w:type="dxa" w:w="60"/>
              <w:right w:type="dxa" w:w="100"/>
            </w:tcMar>
          </w:tcPr>
          <w:p>
            <w:pPr>
              <w:spacing w:after="0"/>
              <w:jc w:val="left"/>
            </w:pPr>
            <w:r>
              <w:rPr>
                <w:b w:val="false"/>
                <w:bCs w:val="false"/>
                <w:sz w:val="20"/>
                <w:szCs w:val="20"/>
              </w:rPr>
              <w:t xml:space="preserve">none</w:t>
            </w:r>
          </w:p>
        </w:tc>
        <w:tc>
          <w:tcPr>
            <w:tcW w:type="dxa" w:w="2600"/>
            <w:tcMar>
              <w:top w:type="dxa" w:w="60"/>
              <w:left w:type="dxa" w:w="100"/>
              <w:bottom w:type="dxa" w:w="60"/>
              <w:right w:type="dxa" w:w="100"/>
            </w:tcMar>
          </w:tcPr>
          <w:p>
            <w:pPr>
              <w:spacing w:after="0"/>
              <w:jc w:val="left"/>
            </w:pPr>
            <w:r>
              <w:rPr>
                <w:b w:val="false"/>
                <w:bCs w:val="false"/>
                <w:sz w:val="20"/>
                <w:szCs w:val="20"/>
              </w:rPr>
              <w:t xml:space="preserve">—</w:t>
            </w:r>
          </w:p>
        </w:tc>
      </w:tr>
      <w:tr>
        <w:tc>
          <w:tcPr>
            <w:tcW w:type="dxa" w:w="4180"/>
            <w:tcMar>
              <w:top w:type="dxa" w:w="60"/>
              <w:left w:type="dxa" w:w="100"/>
              <w:bottom w:type="dxa" w:w="60"/>
              <w:right w:type="dxa" w:w="100"/>
            </w:tcMar>
          </w:tcPr>
          <w:p>
            <w:pPr>
              <w:spacing w:after="0"/>
              <w:jc w:val="left"/>
            </w:pPr>
            <w:r>
              <w:rPr>
                <w:b w:val="false"/>
                <w:bCs w:val="false"/>
                <w:sz w:val="20"/>
                <w:szCs w:val="20"/>
              </w:rPr>
              <w:t xml:space="preserve">Tax — Per line (always manual)</w:t>
            </w:r>
          </w:p>
        </w:tc>
        <w:tc>
          <w:tcPr>
            <w:tcW w:type="dxa" w:w="3300"/>
            <w:tcMar>
              <w:top w:type="dxa" w:w="60"/>
              <w:left w:type="dxa" w:w="100"/>
              <w:bottom w:type="dxa" w:w="60"/>
              <w:right w:type="dxa" w:w="100"/>
            </w:tcMar>
          </w:tcPr>
          <w:p>
            <w:pPr>
              <w:spacing w:after="0"/>
              <w:jc w:val="left"/>
            </w:pPr>
            <w:r>
              <w:rPr>
                <w:b w:val="false"/>
                <w:bCs w:val="false"/>
                <w:sz w:val="20"/>
                <w:szCs w:val="20"/>
              </w:rPr>
              <w:t xml:space="preserve">Tax %</w:t>
            </w:r>
          </w:p>
        </w:tc>
        <w:tc>
          <w:tcPr>
            <w:tcW w:type="dxa" w:w="2600"/>
            <w:tcMar>
              <w:top w:type="dxa" w:w="60"/>
              <w:left w:type="dxa" w:w="100"/>
              <w:bottom w:type="dxa" w:w="60"/>
              <w:right w:type="dxa" w:w="100"/>
            </w:tcMar>
          </w:tcPr>
          <w:p>
            <w:pPr>
              <w:spacing w:after="0"/>
              <w:jc w:val="left"/>
            </w:pPr>
            <w:r>
              <w:rPr>
                <w:b w:val="false"/>
                <w:bCs w:val="false"/>
                <w:sz w:val="20"/>
                <w:szCs w:val="20"/>
              </w:rPr>
              <w:t xml:space="preserve">Yes, per line</w:t>
            </w:r>
          </w:p>
        </w:tc>
      </w:tr>
      <w:tr>
        <w:tc>
          <w:tcPr>
            <w:tcW w:type="dxa" w:w="4180"/>
            <w:tcMar>
              <w:top w:type="dxa" w:w="60"/>
              <w:left w:type="dxa" w:w="100"/>
              <w:bottom w:type="dxa" w:w="60"/>
              <w:right w:type="dxa" w:w="100"/>
            </w:tcMar>
          </w:tcPr>
          <w:p>
            <w:pPr>
              <w:spacing w:after="0"/>
              <w:jc w:val="left"/>
            </w:pPr>
            <w:r>
              <w:rPr>
                <w:b w:val="false"/>
                <w:bCs w:val="false"/>
                <w:sz w:val="20"/>
                <w:szCs w:val="20"/>
              </w:rPr>
              <w:t xml:space="preserve">Invoice created from ≥1 order (§4)</w:t>
            </w:r>
          </w:p>
        </w:tc>
        <w:tc>
          <w:tcPr>
            <w:tcW w:type="dxa" w:w="3300"/>
            <w:tcMar>
              <w:top w:type="dxa" w:w="60"/>
              <w:left w:type="dxa" w:w="100"/>
              <w:bottom w:type="dxa" w:w="60"/>
              <w:right w:type="dxa" w:w="100"/>
            </w:tcMar>
          </w:tcPr>
          <w:p>
            <w:pPr>
              <w:spacing w:after="0"/>
              <w:jc w:val="left"/>
            </w:pPr>
            <w:r>
              <w:rPr>
                <w:b w:val="false"/>
                <w:bCs w:val="false"/>
                <w:sz w:val="20"/>
                <w:szCs w:val="20"/>
              </w:rPr>
              <w:t xml:space="preserve">Order ref (+ optional per-order subtotals)</w:t>
            </w:r>
          </w:p>
        </w:tc>
        <w:tc>
          <w:tcPr>
            <w:tcW w:type="dxa" w:w="2600"/>
            <w:tcMar>
              <w:top w:type="dxa" w:w="60"/>
              <w:left w:type="dxa" w:w="100"/>
              <w:bottom w:type="dxa" w:w="60"/>
              <w:right w:type="dxa" w:w="100"/>
            </w:tcMar>
          </w:tcPr>
          <w:p>
            <w:pPr>
              <w:spacing w:after="0"/>
              <w:jc w:val="left"/>
            </w:pPr>
            <w:r>
              <w:rPr>
                <w:b w:val="false"/>
                <w:bCs w:val="false"/>
                <w:sz w:val="20"/>
                <w:szCs w:val="20"/>
              </w:rPr>
              <w:t xml:space="preserve">No — informational link</w:t>
            </w:r>
          </w:p>
        </w:tc>
      </w:tr>
      <w:tr>
        <w:tc>
          <w:tcPr>
            <w:tcW w:type="dxa" w:w="4180"/>
            <w:tcMar>
              <w:top w:type="dxa" w:w="60"/>
              <w:left w:type="dxa" w:w="100"/>
              <w:bottom w:type="dxa" w:w="60"/>
              <w:right w:type="dxa" w:w="100"/>
            </w:tcMar>
          </w:tcPr>
          <w:p>
            <w:pPr>
              <w:spacing w:after="0"/>
              <w:jc w:val="left"/>
            </w:pPr>
            <w:r>
              <w:rPr>
                <w:b w:val="false"/>
                <w:bCs w:val="false"/>
                <w:sz w:val="20"/>
                <w:szCs w:val="20"/>
              </w:rPr>
              <w:t xml:space="preserve">Invoice created blank</w:t>
            </w:r>
          </w:p>
        </w:tc>
        <w:tc>
          <w:tcPr>
            <w:tcW w:type="dxa" w:w="3300"/>
            <w:tcMar>
              <w:top w:type="dxa" w:w="60"/>
              <w:left w:type="dxa" w:w="100"/>
              <w:bottom w:type="dxa" w:w="60"/>
              <w:right w:type="dxa" w:w="100"/>
            </w:tcMar>
          </w:tcPr>
          <w:p>
            <w:pPr>
              <w:spacing w:after="0"/>
              <w:jc w:val="left"/>
            </w:pPr>
            <w:r>
              <w:rPr>
                <w:b w:val="false"/>
                <w:bCs w:val="false"/>
                <w:sz w:val="20"/>
                <w:szCs w:val="20"/>
              </w:rPr>
              <w:t xml:space="preserve">Order ref hidden</w:t>
            </w:r>
          </w:p>
        </w:tc>
        <w:tc>
          <w:tcPr>
            <w:tcW w:type="dxa" w:w="2600"/>
            <w:tcMar>
              <w:top w:type="dxa" w:w="60"/>
              <w:left w:type="dxa" w:w="100"/>
              <w:bottom w:type="dxa" w:w="60"/>
              <w:right w:type="dxa" w:w="100"/>
            </w:tcMar>
          </w:tcPr>
          <w:p>
            <w:pPr>
              <w:spacing w:after="0"/>
              <w:jc w:val="left"/>
            </w:pPr>
            <w:r>
              <w:rPr>
                <w:b w:val="false"/>
                <w:bCs w:val="false"/>
                <w:sz w:val="20"/>
                <w:szCs w:val="20"/>
              </w:rPr>
              <w:t xml:space="preserve">—</w:t>
            </w:r>
          </w:p>
        </w:tc>
      </w:tr>
    </w:tbl>
    <w:p>
      <w:pPr>
        <w:spacing w:after="160" w:before="160"/>
      </w:pPr>
      <w:r>
        <w:t xml:space="preserve">The Net amount column is itself conditional: it is shown when Discount is Per line and/or at least one billed charge is Per item (there is a real per-line adjustment worth displaying), and hidden when everything is Combined, since it would just duplicate the Amount column.</w:t>
      </w:r>
    </w:p>
    <w:p>
      <w:pPr>
        <w:pStyle w:val="Heading2"/>
        <w:spacing w:after="140" w:before="240"/>
      </w:pPr>
      <w:r>
        <w:rPr>
          <w:b/>
          <w:bCs/>
          <w:color w:val="3D4E66"/>
          <w:sz w:val="24"/>
          <w:szCs w:val="24"/>
        </w:rPr>
        <w:t xml:space="preserve">5.2 Dynamic behaviour of the columns</w:t>
      </w:r>
    </w:p>
    <w:p>
      <w:pPr>
        <w:pStyle w:val="ListParagraph"/>
        <w:numPr>
          <w:ilvl w:val="0"/>
          <w:numId w:val="2"/>
        </w:numPr>
        <w:spacing w:after="100"/>
      </w:pPr>
      <w:r>
        <w:t xml:space="preserve">Columns mount and unmount instantly when a scope changes — no page reload — and the remaining columns reflow to reabsorb the width. Nothing is left behind as a dead, always-zero column.</w:t>
      </w:r>
    </w:p>
    <w:p>
      <w:pPr>
        <w:pStyle w:val="ListParagraph"/>
        <w:numPr>
          <w:ilvl w:val="0"/>
          <w:numId w:val="2"/>
        </w:numPr>
        <w:spacing w:after="100"/>
      </w:pPr>
      <w:r>
        <w:t xml:space="preserve">Hidden does not mean deleted: values typed under Per line / Manual are retained in memory when the section is flipped back to Combined, and restored intact if it is flipped again before saving. Only saving the document discards them.</w:t>
      </w:r>
    </w:p>
    <w:p>
      <w:pPr>
        <w:pStyle w:val="ListParagraph"/>
        <w:numPr>
          <w:ilvl w:val="0"/>
          <w:numId w:val="2"/>
        </w:numPr>
        <w:spacing w:after="100"/>
      </w:pPr>
      <w:r>
        <w:t xml:space="preserve">Flipping Per line → Combined seeds the combined field from the rollup total, never resets it to zero.</w:t>
      </w:r>
    </w:p>
    <w:p>
      <w:pPr>
        <w:pStyle w:val="ListParagraph"/>
        <w:numPr>
          <w:ilvl w:val="0"/>
          <w:numId w:val="2"/>
        </w:numPr>
        <w:spacing w:after="100"/>
      </w:pPr>
      <w:r>
        <w:t xml:space="preserve">Read-only computed columns (auto-split shares, rollups, Order ref) render in grey cells; hovering shows the formula or the source order behind the figure (e.g. “60.00 × 1,800.00 / 4,650.00”).</w:t>
      </w:r>
    </w:p>
    <w:p>
      <w:pPr>
        <w:pStyle w:val="ListParagraph"/>
        <w:numPr>
          <w:ilvl w:val="0"/>
          <w:numId w:val="2"/>
        </w:numPr>
        <w:spacing w:after="100"/>
      </w:pPr>
      <w:r>
        <w:t xml:space="preserve">Because several charges can be Per item at once, one Add. charges cell holds the sum of that line’s shares across all per-item charges — freight, labour, loading, unloading and so on. Clicking the cell opens a breakdown popover naming each charge, its method, and its share; charges that are Combined or expense-only are listed there as “not in column” so the user can always reconcile the figure.</w:t>
      </w:r>
    </w:p>
    <w:p>
      <w:pPr>
        <w:pStyle w:val="ListParagraph"/>
        <w:numPr>
          <w:ilvl w:val="0"/>
          <w:numId w:val="2"/>
        </w:numPr>
        <w:spacing w:after="100"/>
      </w:pPr>
      <w:r>
        <w:t xml:space="preserve">Every visibility change triggers the full recalculation chain (subtotal → discount → charge splits → tax bases → taxes → net payable) so the totals panel is never stale.</w:t>
      </w:r>
    </w:p>
    <w:p>
      <w:pPr>
        <w:spacing w:after="80" w:before="120"/>
        <w:jc w:val="center"/>
      </w:pPr>
      <w:r>
        <w:drawing>
          <wp:inline distT="0" distB="0" distL="0" distR="0">
            <wp:extent cx="62865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4229100"/>
                    </a:xfrm>
                    <a:prstGeom prst="rect">
                      <a:avLst/>
                    </a:prstGeom>
                  </pic:spPr>
                </pic:pic>
              </a:graphicData>
            </a:graphic>
          </wp:inline>
        </w:drawing>
      </w:r>
    </w:p>
    <w:p>
      <w:pPr>
        <w:spacing w:after="240" w:before="0"/>
        <w:jc w:val="center"/>
      </w:pPr>
      <w:r>
        <w:rPr>
          <w:i/>
          <w:iCs/>
          <w:color w:val="5A6472"/>
          <w:sz w:val="20"/>
          <w:szCs w:val="20"/>
        </w:rPr>
        <w:t xml:space="preserve">Figure 3 — line-item grid of a blank-created invoice (no Order ref column). The Add. charges column exists only because one charge (Labour) is Per item; its cell opens the breakdown shown.</w:t>
      </w:r>
    </w:p>
    <w:p>
      <w:pPr>
        <w:pStyle w:val="Heading1"/>
        <w:spacing w:after="160" w:before="320"/>
      </w:pPr>
      <w:r>
        <w:rPr>
          <w:b/>
          <w:bCs/>
          <w:color w:val="1F2A3C"/>
          <w:sz w:val="28"/>
          <w:szCs w:val="28"/>
        </w:rPr>
        <w:t xml:space="preserve">6. Additional charges — replacing the single Freight field</w:t>
      </w:r>
    </w:p>
    <w:p>
      <w:pPr>
        <w:spacing w:after="160" w:before="0"/>
      </w:pPr>
      <w:r>
        <w:t xml:space="preserve">A single “Freight” box cannot represent how documents are actually charged: freight, labour, loading, unloading, packing and insurance are separate expenses, hit different ledgers, and are treated differently for tax. This standard therefore replaces the Freight field with an Additional Charges facility, matching SAP header/item pricing conditions, Oracle Charges, and Dynamics 365 charges codes / auto-charges. It applies to orders and invoices alike; charges defined on an order flow to the invoice per §4.3.</w:t>
      </w:r>
    </w:p>
    <w:p>
      <w:pPr>
        <w:pStyle w:val="Heading2"/>
        <w:spacing w:after="140" w:before="240"/>
      </w:pPr>
      <w:r>
        <w:rPr>
          <w:b/>
          <w:bCs/>
          <w:color w:val="3D4E66"/>
          <w:sz w:val="24"/>
          <w:szCs w:val="24"/>
        </w:rPr>
        <w:t xml:space="preserve">6.1 The charges form</w:t>
      </w:r>
    </w:p>
    <w:p>
      <w:pPr>
        <w:spacing w:after="160" w:before="0"/>
      </w:pPr>
      <w:r>
        <w:t xml:space="preserve">The grid toolbar carries a button labelled with a live summary — “Additional Charges (3) · 200.00”. Clicking it opens the charges form (Figure 4). Each row of the form is one charge and carries five decisions:</w:t>
      </w:r>
    </w:p>
    <w:p>
      <w:pPr>
        <w:pStyle w:val="ListParagraph"/>
        <w:numPr>
          <w:ilvl w:val="0"/>
          <w:numId w:val="2"/>
        </w:numPr>
        <w:spacing w:after="100"/>
      </w:pPr>
      <w:r>
        <w:rPr>
          <w:b/>
          <w:bCs/>
        </w:rPr>
        <w:t xml:space="preserve">Charge type — </w:t>
      </w:r>
      <w:r>
        <w:t xml:space="preserve">picked from the chart of accounts, filtered to expense/income ledgers flagged “chargeable on sales” (or “on purchases”). The ledger, not free text, is the identity of the charge — it is what the GL posting in Section 11 will use.</w:t>
      </w:r>
    </w:p>
    <w:p>
      <w:pPr>
        <w:pStyle w:val="ListParagraph"/>
        <w:numPr>
          <w:ilvl w:val="0"/>
          <w:numId w:val="2"/>
        </w:numPr>
        <w:spacing w:after="100"/>
      </w:pPr>
      <w:r>
        <w:rPr>
          <w:b/>
          <w:bCs/>
        </w:rPr>
        <w:t xml:space="preserve">Amount — </w:t>
      </w:r>
      <w:r>
        <w:t xml:space="preserve">the document-level value of the charge (a % of subtotal entry mode is a permissible convenience; it resolves to a value).</w:t>
      </w:r>
    </w:p>
    <w:p>
      <w:pPr>
        <w:pStyle w:val="ListParagraph"/>
        <w:numPr>
          <w:ilvl w:val="0"/>
          <w:numId w:val="2"/>
        </w:numPr>
        <w:spacing w:after="100"/>
      </w:pPr>
      <w:r>
        <w:rPr>
          <w:b/>
          <w:bCs/>
        </w:rPr>
        <w:t xml:space="preserve">Scope — </w:t>
      </w:r>
      <w:r>
        <w:t xml:space="preserve">Combined or Per item, per charge (§6.2).</w:t>
      </w:r>
    </w:p>
    <w:p>
      <w:pPr>
        <w:pStyle w:val="ListParagraph"/>
        <w:numPr>
          <w:ilvl w:val="0"/>
          <w:numId w:val="2"/>
        </w:numPr>
        <w:spacing w:after="100"/>
      </w:pPr>
      <w:r>
        <w:rPr>
          <w:b/>
          <w:bCs/>
        </w:rPr>
        <w:t xml:space="preserve">Treatment — </w:t>
      </w:r>
      <w:r>
        <w:t xml:space="preserve">bill on the document, absorb into item values, or expense ledger only (§6.3).</w:t>
      </w:r>
    </w:p>
    <w:p>
      <w:pPr>
        <w:pStyle w:val="ListParagraph"/>
        <w:numPr>
          <w:ilvl w:val="0"/>
          <w:numId w:val="2"/>
        </w:numPr>
        <w:spacing w:after="100"/>
      </w:pPr>
      <w:r>
        <w:rPr>
          <w:b/>
          <w:bCs/>
        </w:rPr>
        <w:t xml:space="preserve">Tax bases — </w:t>
      </w:r>
      <w:r>
        <w:t xml:space="preserve">independent switches for sales tax, withholding tax and extra tax (§6.4); further tax follows the sales-tax base automatically.</w:t>
      </w:r>
    </w:p>
    <w:p>
      <w:pPr>
        <w:spacing w:after="160" w:before="0"/>
      </w:pPr>
      <w:r>
        <w:t xml:space="preserve">Rows are unlimited; the form foots to a total, split into billed and expense-only portions.</w:t>
      </w:r>
    </w:p>
    <w:p>
      <w:pPr>
        <w:spacing w:after="80" w:before="120"/>
        <w:jc w:val="center"/>
      </w:pPr>
      <w:r>
        <w:drawing>
          <wp:inline distT="0" distB="0" distL="0" distR="0">
            <wp:extent cx="62865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4648200"/>
                    </a:xfrm>
                    <a:prstGeom prst="rect">
                      <a:avLst/>
                    </a:prstGeom>
                  </pic:spPr>
                </pic:pic>
              </a:graphicData>
            </a:graphic>
          </wp:inline>
        </w:drawing>
      </w:r>
    </w:p>
    <w:p>
      <w:pPr>
        <w:spacing w:after="240" w:before="0"/>
        <w:jc w:val="center"/>
      </w:pPr>
      <w:r>
        <w:rPr>
          <w:i/>
          <w:iCs/>
          <w:color w:val="5A6472"/>
          <w:sz w:val="20"/>
          <w:szCs w:val="20"/>
        </w:rPr>
        <w:t xml:space="preserve">Figure 4 — the Additional Charges form; three charges from three ledgers, each with its own scope, treatment and tax bases.</w:t>
      </w:r>
    </w:p>
    <w:p>
      <w:pPr>
        <w:pStyle w:val="Heading2"/>
        <w:spacing w:after="140" w:before="240"/>
      </w:pPr>
      <w:r>
        <w:rPr>
          <w:b/>
          <w:bCs/>
          <w:color w:val="3D4E66"/>
          <w:sz w:val="24"/>
          <w:szCs w:val="24"/>
        </w:rPr>
        <w:t xml:space="preserve">6.2 Scope and distribution, per charge</w:t>
      </w:r>
    </w:p>
    <w:p>
      <w:pPr>
        <w:spacing w:after="160" w:before="0"/>
      </w:pPr>
      <w:r>
        <w:t xml:space="preserve">A Combined charge is one document-level figure — it never touches the grid. A Per-item charge is distributed across lines by one of four methods: pro-rata by line value (default), pro-rata by quantity, by weight, or manual per line. The first three are auto-split — the user enters one pool and the system divides it, read-only; manual exposes an input per line inside the breakdown editor.</w:t>
      </w:r>
    </w:p>
    <w:p>
      <w:pPr>
        <w:spacing w:after="160" w:before="0"/>
      </w:pPr>
      <w:r>
        <w:t xml:space="preserve">Whenever at least one charge is Per item, the grid materialises the Add. charges column described in §5. Its cell value is the sum of that line’s shares of every per-item charge; the breakdown popover itemises them. Rounding residuals from any auto-split are forced onto the last line so the column always foots exactly to the pool.</w:t>
      </w:r>
    </w:p>
    <w:p>
      <w:pPr>
        <w:pStyle w:val="Heading2"/>
        <w:spacing w:after="140" w:before="240"/>
      </w:pPr>
      <w:r>
        <w:rPr>
          <w:b/>
          <w:bCs/>
          <w:color w:val="3D4E66"/>
          <w:sz w:val="24"/>
          <w:szCs w:val="24"/>
        </w:rPr>
        <w:t xml:space="preserve">6.3 Treatment — three ways a charge can flow</w:t>
      </w:r>
    </w:p>
    <w:p>
      <w:pPr>
        <w:pStyle w:val="ListParagraph"/>
        <w:numPr>
          <w:ilvl w:val="0"/>
          <w:numId w:val="2"/>
        </w:numPr>
        <w:spacing w:after="100"/>
      </w:pPr>
      <w:r>
        <w:rPr>
          <w:b/>
          <w:bCs/>
        </w:rPr>
        <w:t xml:space="preserve">1. Bill on the document (separate charge). </w:t>
      </w:r>
      <w:r>
        <w:t xml:space="preserve">On a sales invoice the charge prints and adds to net payable — the classic “freight recovered” pattern; on a purchase invoice it is the supplier’s own charge line, adding to what we owe. Its tax-base switches (§6.4) decide which tax calculations it enters.</w:t>
      </w:r>
    </w:p>
    <w:p>
      <w:pPr>
        <w:pStyle w:val="ListParagraph"/>
        <w:numPr>
          <w:ilvl w:val="0"/>
          <w:numId w:val="2"/>
        </w:numPr>
        <w:spacing w:after="100"/>
      </w:pPr>
      <w:r>
        <w:rPr>
          <w:b/>
          <w:bCs/>
        </w:rPr>
        <w:t xml:space="preserve">2. Absorb into item values. </w:t>
      </w:r>
      <w:r>
        <w:t xml:space="preserve">The amount is spread pro-rata by line value into the line Amounts themselves before discount and tax. No separate charge line prints, and because the value now sits inside the goods value it is inherently inside every tax base — the switches are moot and disabled. On the purchase side this is literal carriage inward / landed cost: the charge capitalises into item cost. The totals panel still lists the charge as a memo row (“included in item values”) so the audit trail survives.</w:t>
      </w:r>
    </w:p>
    <w:p>
      <w:pPr>
        <w:pStyle w:val="ListParagraph"/>
        <w:numPr>
          <w:ilvl w:val="0"/>
          <w:numId w:val="2"/>
        </w:numPr>
        <w:spacing w:after="100"/>
      </w:pPr>
      <w:r>
        <w:rPr>
          <w:b/>
          <w:bCs/>
        </w:rPr>
        <w:t xml:space="preserve">3. Expense ledger only. </w:t>
      </w:r>
      <w:r>
        <w:t xml:space="preserve">The counterparty is not billed at all — the business absorbs the cost. Nothing is added to any tax base or to net payable; instead, saving the document also posts Dr the chosen expense ledger / Cr Charges payable (accrued), so the cost is captured the moment it is incurred. Tax-base switches are disabled for such a charge.</w:t>
      </w:r>
    </w:p>
    <w:p>
      <w:pPr>
        <w:pStyle w:val="Heading2"/>
        <w:spacing w:after="140" w:before="240"/>
      </w:pPr>
      <w:r>
        <w:rPr>
          <w:b/>
          <w:bCs/>
          <w:color w:val="3D4E66"/>
          <w:sz w:val="24"/>
          <w:szCs w:val="24"/>
        </w:rPr>
        <w:t xml:space="preserve">6.4 Tax-base switches, per charge and per tax type</w:t>
      </w:r>
    </w:p>
    <w:p>
      <w:pPr>
        <w:spacing w:after="160" w:before="0"/>
      </w:pPr>
      <w:r>
        <w:t xml:space="preserve">For every billed charge — Combined or Per item alike — independent switches decide whether it enters the sales-tax, withholding-tax and extra-tax calculations. A business can legitimately put freight inside the sales-tax base while keeping it out of the withholding-tax base, since the two are governed by different rules; and it can tax freight but not labour. Further tax deliberately has no switch of its own: by definition it is calculated on the same value as sales tax, so a charge inside the sales-tax base is automatically inside the further-tax base (§8). The document-level formulas therefore read:</w:t>
      </w:r>
    </w:p>
    <w:p>
      <w:pPr>
        <w:spacing w:after="60" w:before="0"/>
      </w:pPr>
      <w:r>
        <w:rPr>
          <w:i/>
          <w:iCs/>
        </w:rPr>
        <w:t xml:space="preserve">Sales-tax base = Subtotal − Discount + Σ (billed charges whose Sales-tax switch is On)</w:t>
      </w:r>
    </w:p>
    <w:p>
      <w:pPr>
        <w:spacing w:after="60" w:before="0"/>
      </w:pPr>
      <w:r>
        <w:rPr>
          <w:i/>
          <w:iCs/>
        </w:rPr>
        <w:t xml:space="preserve">Further-tax base = Sales-tax base — always; no separate switch</w:t>
      </w:r>
    </w:p>
    <w:p>
      <w:pPr>
        <w:spacing w:after="60" w:before="0"/>
      </w:pPr>
      <w:r>
        <w:rPr>
          <w:i/>
          <w:iCs/>
        </w:rPr>
        <w:t xml:space="preserve">W/H-tax base = Subtotal − Discount + Σ (billed charges whose W/H switch is On)</w:t>
      </w:r>
    </w:p>
    <w:p>
      <w:pPr>
        <w:spacing w:after="160" w:before="0"/>
      </w:pPr>
      <w:r>
        <w:rPr>
          <w:i/>
          <w:iCs/>
        </w:rPr>
        <w:t xml:space="preserve">Extra-tax base = Subtotal − Discount + Σ (billed charges whose Extra switch is On)</w:t>
      </w:r>
    </w:p>
    <w:p>
      <w:pPr>
        <w:spacing w:after="160" w:before="0"/>
      </w:pPr>
      <w:r>
        <w:t xml:space="preserve">When Tax is Per line, the same switches operate line by line: a Per-item charge contributes its own per-line share to each line’s base, and a Combined billed charge with the switch On is spread pro-rata by line value into the line bases (it still prints as one document-level figure). Withholding tax, where applied, is always calculated on the document-level base — never per line, and never compounded on top of sales tax.</w:t>
      </w:r>
    </w:p>
    <w:p>
      <w:pPr>
        <w:pStyle w:val="Heading2"/>
        <w:spacing w:after="140" w:before="240"/>
      </w:pPr>
      <w:r>
        <w:rPr>
          <w:b/>
          <w:bCs/>
          <w:color w:val="3D4E66"/>
          <w:sz w:val="24"/>
          <w:szCs w:val="24"/>
        </w:rPr>
        <w:t xml:space="preserve">6.5 Presentation in the totals panel</w:t>
      </w:r>
    </w:p>
    <w:p>
      <w:pPr>
        <w:spacing w:after="160" w:before="0"/>
      </w:pPr>
      <w:r>
        <w:t xml:space="preserve">Every charge saved in the form — regardless of scope or treatment — is itemised by name in the totals panel, directly below the Sales tax line (Figure 6). Billed charges carry badges for scope and bases and add into net payable; absorbed charges appear as grey memo rows (their value already sits inside Subtotal); expense-only charges appear greyed with “not billed” and are excluded from net payable. Nothing that was entered in the charges form is ever invisible on the face of the document.</w:t>
      </w:r>
    </w:p>
    <w:p>
      <w:pPr>
        <w:pStyle w:val="Heading1"/>
        <w:spacing w:after="160" w:before="320"/>
      </w:pPr>
      <w:r>
        <w:rPr>
          <w:b/>
          <w:bCs/>
          <w:color w:val="1F2A3C"/>
          <w:sz w:val="28"/>
          <w:szCs w:val="28"/>
        </w:rPr>
        <w:t xml:space="preserve">7. The Additional Settings side panel</w:t>
      </w:r>
    </w:p>
    <w:p>
      <w:pPr>
        <w:spacing w:after="160" w:before="0"/>
      </w:pPr>
      <w:r>
        <w:t xml:space="preserve">All configuration toggles move off the form surface into a right-hand slide-over, opened by the Additional Settings button on the grid toolbar. The document dims behind it; totals stay live. Compact chips above the grid (“Discount: Per line · Manual”, “Add. charges: 1 of 3 per item”, “Tax: Per line”) mirror the active modes so the operator never has to open the panel just to know the state.</w:t>
      </w:r>
    </w:p>
    <w:p>
      <w:pPr>
        <w:spacing w:after="160" w:before="0"/>
      </w:pPr>
      <w:r>
        <w:t xml:space="preserve">Inside, the settings are grouped into four sections that behave as a strict accordion:</w:t>
      </w:r>
    </w:p>
    <w:p>
      <w:pPr>
        <w:pStyle w:val="ListParagraph"/>
        <w:numPr>
          <w:ilvl w:val="0"/>
          <w:numId w:val="2"/>
        </w:numPr>
        <w:spacing w:after="100"/>
      </w:pPr>
      <w:r>
        <w:t xml:space="preserve">1 · Discount — Combined / Per line scope, and Auto-split vs Manual method.</w:t>
      </w:r>
    </w:p>
    <w:p>
      <w:pPr>
        <w:pStyle w:val="ListParagraph"/>
        <w:numPr>
          <w:ilvl w:val="0"/>
          <w:numId w:val="2"/>
        </w:numPr>
        <w:spacing w:after="100"/>
      </w:pPr>
      <w:r>
        <w:t xml:space="preserve">2 · Additional charges — default scope for new charges, default distribution method, default tax bases, and the “Manage charges” entry into the form of §6.1.</w:t>
      </w:r>
    </w:p>
    <w:p>
      <w:pPr>
        <w:pStyle w:val="ListParagraph"/>
        <w:numPr>
          <w:ilvl w:val="0"/>
          <w:numId w:val="2"/>
        </w:numPr>
        <w:spacing w:after="100"/>
      </w:pPr>
      <w:r>
        <w:t xml:space="preserve">3 · Taxes — the Apply further tax and Apply withholding tax switches for this document (§8), their rates, the per-line tax toggle, and which extra taxes are in play.</w:t>
      </w:r>
    </w:p>
    <w:p>
      <w:pPr>
        <w:pStyle w:val="ListParagraph"/>
        <w:numPr>
          <w:ilvl w:val="0"/>
          <w:numId w:val="2"/>
        </w:numPr>
        <w:spacing w:after="100"/>
      </w:pPr>
      <w:r>
        <w:t xml:space="preserve">4 · Columns &amp; fields — optional grid columns (including per-order subtotals on order-sourced invoices) and the transport/logistics block.</w:t>
      </w:r>
    </w:p>
    <w:p>
      <w:pPr>
        <w:spacing w:after="160" w:before="0"/>
      </w:pPr>
      <w:r>
        <w:t xml:space="preserve">Accordion rules: sections expand and collapse on click, and exactly one section is open at a time — expanding any section automatically collapses the one that was open. Collapsed section headers always display a live one-line summary of their current values (“Per line · Manual”, “Further: Off · W/H: Off”), so a collapsed section hides controls, never information. The panel remembers which section was last open per user. The panel governs this document; the defaults it starts from are the administrator’s Invoice Settings in Section 11.</w:t>
      </w:r>
    </w:p>
    <w:p>
      <w:pPr>
        <w:spacing w:after="80" w:before="120"/>
        <w:jc w:val="center"/>
      </w:pPr>
      <w:r>
        <w:drawing>
          <wp:inline distT="0" distB="0" distL="0" distR="0">
            <wp:extent cx="62865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4886325"/>
                    </a:xfrm>
                    <a:prstGeom prst="rect">
                      <a:avLst/>
                    </a:prstGeom>
                  </pic:spPr>
                </pic:pic>
              </a:graphicData>
            </a:graphic>
          </wp:inline>
        </w:drawing>
      </w:r>
    </w:p>
    <w:p>
      <w:pPr>
        <w:spacing w:after="240" w:before="0"/>
        <w:jc w:val="center"/>
      </w:pPr>
      <w:r>
        <w:rPr>
          <w:i/>
          <w:iCs/>
          <w:color w:val="5A6472"/>
          <w:sz w:val="20"/>
          <w:szCs w:val="20"/>
        </w:rPr>
        <w:t xml:space="preserve">Figure 5 — the Additional Settings slide-over. Section 2 is open; opening any other section collapses it.</w:t>
      </w:r>
    </w:p>
    <w:p>
      <w:pPr>
        <w:pStyle w:val="Heading1"/>
        <w:spacing w:after="160" w:before="320"/>
      </w:pPr>
      <w:r>
        <w:rPr>
          <w:b/>
          <w:bCs/>
          <w:color w:val="1F2A3C"/>
          <w:sz w:val="28"/>
          <w:szCs w:val="28"/>
        </w:rPr>
        <w:t xml:space="preserve">8. Further tax and withholding tax — apply, or not</w:t>
      </w:r>
    </w:p>
    <w:p>
      <w:pPr>
        <w:spacing w:after="160" w:before="0"/>
      </w:pPr>
      <w:r>
        <w:t xml:space="preserve">Two levies routinely sit on top of sales tax, and both are decided per document, not hard-coded:</w:t>
      </w:r>
    </w:p>
    <w:p>
      <w:pPr>
        <w:pStyle w:val="ListParagraph"/>
        <w:numPr>
          <w:ilvl w:val="0"/>
          <w:numId w:val="2"/>
        </w:numPr>
        <w:spacing w:after="100"/>
      </w:pPr>
      <w:r>
        <w:rPr>
          <w:b/>
          <w:bCs/>
        </w:rPr>
        <w:t xml:space="preserve">Further tax — </w:t>
      </w:r>
      <w:r>
        <w:t xml:space="preserve">an output-side surcharge some jurisdictions levy on supplies to unregistered buyers (for example the 3% further tax under Pakistan’s Sales Tax Act). The invoice carries an Apply further tax switch in the Taxes section (§7). When On, Further tax = further rate × the sales-tax base — by definition it is calculated on the same value as sales tax, which is why §6.4 gives it no base switches of its own. The switch defaults from the customer’s tax-registration status (§2.1): unregistered → On, registered → Off, always overridable. It applies to sales documents only — there is no further tax on purchases.</w:t>
      </w:r>
    </w:p>
    <w:p>
      <w:pPr>
        <w:pStyle w:val="ListParagraph"/>
        <w:numPr>
          <w:ilvl w:val="0"/>
          <w:numId w:val="2"/>
        </w:numPr>
        <w:spacing w:after="100"/>
      </w:pPr>
      <w:r>
        <w:rPr>
          <w:b/>
          <w:bCs/>
        </w:rPr>
        <w:t xml:space="preserve">Withholding tax — </w:t>
      </w:r>
      <w:r>
        <w:t xml:space="preserve">an income-tax deduction at source, with an Apply withholding tax switch per document and a mirrored treatment on the two sides. On a sales invoice the customer is the withholding agent: they retain W/H% of the base and pay the remainder, and the seller books the retained amount as Withholding tax receivable — an advance-tax asset, not an expense. On a purchase invoice the business itself is the agent: it retains W/H% from the supplier and books Withholding tax payable — a liability to deposit with the tax authority — while the supplier is paid net. The base follows the §6.4 W/H formula (jurisdictions differ on taxable-value vs gross bases; the base definition is configurable in §11.2, and this document’s examples use the taxable value). Withholding is never compounded on sales tax and never split per line.</w:t>
      </w:r>
    </w:p>
    <w:p>
      <w:pPr>
        <w:spacing w:after="160" w:before="0"/>
      </w:pPr>
      <w:r>
        <w:t xml:space="preserve">When a switch is Off, the corresponding totals row shows 0.00 greyed (or is hidden by §11.3 visibility) and nothing posts. Section 11’s examples show both switches Off (Example B), further tax applied to an unregistered customer (Example A), and withholding on the purchase side (Example C).</w:t>
      </w:r>
    </w:p>
    <w:p>
      <w:pPr>
        <w:pStyle w:val="Heading1"/>
        <w:spacing w:after="160" w:before="320"/>
      </w:pPr>
      <w:r>
        <w:rPr>
          <w:b/>
          <w:bCs/>
          <w:color w:val="1F2A3C"/>
          <w:sz w:val="28"/>
          <w:szCs w:val="28"/>
        </w:rPr>
        <w:t xml:space="preserve">9. Totals and tax summary panel</w:t>
      </w:r>
    </w:p>
    <w:p>
      <w:pPr>
        <w:spacing w:after="160" w:before="0"/>
      </w:pPr>
      <w:r>
        <w:t xml:space="preserve">The summary panel is where every Combined-mode value lives, alongside the pool inputs for auto-split — pro-rata still starts from one entered figure. Whichever sections are in Per line/Manual mode become read-only rollups here instead of inputs, so the printed total always reconciles to the sum of the visible line items. The fixed ordering is: Subtotal → Total discount → Taxable value → Sales tax → the itemised additional charges (§6.5) → Further tax (if applied) → Withholding tax (if applied) → extra taxes (as visible) → Net payable.</w:t>
      </w:r>
    </w:p>
    <w:p>
      <w:pPr>
        <w:spacing w:after="80" w:before="120"/>
        <w:jc w:val="center"/>
      </w:pPr>
      <w:r>
        <w:drawing>
          <wp:inline distT="0" distB="0" distL="0" distR="0">
            <wp:extent cx="6286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3629025"/>
                    </a:xfrm>
                    <a:prstGeom prst="rect">
                      <a:avLst/>
                    </a:prstGeom>
                  </pic:spPr>
                </pic:pic>
              </a:graphicData>
            </a:graphic>
          </wp:inline>
        </w:drawing>
      </w:r>
    </w:p>
    <w:p>
      <w:pPr>
        <w:spacing w:after="240" w:before="0"/>
        <w:jc w:val="center"/>
      </w:pPr>
      <w:r>
        <w:rPr>
          <w:i/>
          <w:iCs/>
          <w:color w:val="5A6472"/>
          <w:sz w:val="20"/>
          <w:szCs w:val="20"/>
        </w:rPr>
        <w:t xml:space="preserve">Figure 6 — totals panel. Sales tax first, then every additional charge by name; further and withholding tax follow, here both switched Off.</w:t>
      </w:r>
    </w:p>
    <w:p>
      <w:pPr>
        <w:pStyle w:val="Heading1"/>
        <w:spacing w:after="160" w:before="320"/>
      </w:pPr>
      <w:r>
        <w:rPr>
          <w:b/>
          <w:bCs/>
          <w:color w:val="1F2A3C"/>
          <w:sz w:val="28"/>
          <w:szCs w:val="28"/>
        </w:rPr>
        <w:t xml:space="preserve">10. Worked example — a sales invoice</w:t>
      </w:r>
    </w:p>
    <w:p>
      <w:pPr>
        <w:spacing w:after="160" w:before="0"/>
      </w:pPr>
      <w:r>
        <w:t xml:space="preserve">Two line items on a blank-created sales invoice. Discount = Per line / Manual; Tax = Per line / Manual; Apply further tax = Off and Apply withholding tax = Off (registered customer — Example A in §11 shows them On). Three charges: Freight outward 100.00 (Combined, billed, in ST base), Labour 60.00 (Per item, pro-rata by value, billed, in ST base), Unloading 40.00 (Combined, expense ledger only). Labour’s pool splits over the post-discount line values (1,800.00 and 2,850.00 of 4,650.00) as 23.23 and 36.77:</w:t>
      </w:r>
    </w:p>
    <w:tbl>
      <w:tblPr>
        <w:tblW w:type="dxa" w:w="10080"/>
        <w:tblBorders>
          <w:top w:val="single" w:color="C8CDD4" w:sz="4"/>
          <w:left w:val="single" w:color="C8CDD4" w:sz="4"/>
          <w:bottom w:val="single" w:color="C8CDD4" w:sz="4"/>
          <w:right w:val="single" w:color="C8CDD4" w:sz="4"/>
          <w:insideH w:val="single" w:color="C8CDD4" w:sz="4"/>
          <w:insideV w:val="single" w:color="C8CDD4" w:sz="4"/>
        </w:tblBorders>
      </w:tblPr>
      <w:tblGrid>
        <w:gridCol w:w="620"/>
        <w:gridCol w:w="1210"/>
        <w:gridCol w:w="1170"/>
        <w:gridCol w:w="1240"/>
        <w:gridCol w:w="1140"/>
        <w:gridCol w:w="1240"/>
        <w:gridCol w:w="1240"/>
        <w:gridCol w:w="850"/>
        <w:gridCol w:w="1370"/>
      </w:tblGrid>
      <w:tr>
        <w:trPr>
          <w:tblHeader/>
        </w:trPr>
        <w:tc>
          <w:tcPr>
            <w:tcW w:type="dxa" w:w="620"/>
            <w:shd w:fill="3D4E66" w:val="clear"/>
            <w:tcMar>
              <w:top w:type="dxa" w:w="60"/>
              <w:left w:type="dxa" w:w="100"/>
              <w:bottom w:type="dxa" w:w="60"/>
              <w:right w:type="dxa" w:w="100"/>
            </w:tcMar>
          </w:tcPr>
          <w:p>
            <w:pPr>
              <w:spacing w:after="0"/>
              <w:jc w:val="left"/>
            </w:pPr>
            <w:r>
              <w:rPr>
                <w:b/>
                <w:bCs/>
                <w:color w:val="FFFFFF"/>
                <w:sz w:val="19"/>
                <w:szCs w:val="19"/>
              </w:rPr>
              <w:t xml:space="preserve">Line</w:t>
            </w:r>
          </w:p>
        </w:tc>
        <w:tc>
          <w:tcPr>
            <w:tcW w:type="dxa" w:w="1210"/>
            <w:shd w:fill="3D4E66" w:val="clear"/>
            <w:tcMar>
              <w:top w:type="dxa" w:w="60"/>
              <w:left w:type="dxa" w:w="100"/>
              <w:bottom w:type="dxa" w:w="60"/>
              <w:right w:type="dxa" w:w="100"/>
            </w:tcMar>
          </w:tcPr>
          <w:p>
            <w:pPr>
              <w:spacing w:after="0"/>
              <w:jc w:val="left"/>
            </w:pPr>
            <w:r>
              <w:rPr>
                <w:b/>
                <w:bCs/>
                <w:color w:val="FFFFFF"/>
                <w:sz w:val="19"/>
                <w:szCs w:val="19"/>
              </w:rPr>
              <w:t xml:space="preserve">Qty × Rate</w:t>
            </w:r>
          </w:p>
        </w:tc>
        <w:tc>
          <w:tcPr>
            <w:tcW w:type="dxa" w:w="1170"/>
            <w:shd w:fill="3D4E66" w:val="clear"/>
            <w:tcMar>
              <w:top w:type="dxa" w:w="60"/>
              <w:left w:type="dxa" w:w="100"/>
              <w:bottom w:type="dxa" w:w="60"/>
              <w:right w:type="dxa" w:w="100"/>
            </w:tcMar>
          </w:tcPr>
          <w:p>
            <w:pPr>
              <w:spacing w:after="0"/>
              <w:jc w:val="right"/>
            </w:pPr>
            <w:r>
              <w:rPr>
                <w:b/>
                <w:bCs/>
                <w:color w:val="FFFFFF"/>
                <w:sz w:val="19"/>
                <w:szCs w:val="19"/>
              </w:rPr>
              <w:t xml:space="preserve">Amount</w:t>
            </w:r>
          </w:p>
        </w:tc>
        <w:tc>
          <w:tcPr>
            <w:tcW w:type="dxa" w:w="1240"/>
            <w:shd w:fill="3D4E66" w:val="clear"/>
            <w:tcMar>
              <w:top w:type="dxa" w:w="60"/>
              <w:left w:type="dxa" w:w="100"/>
              <w:bottom w:type="dxa" w:w="60"/>
              <w:right w:type="dxa" w:w="100"/>
            </w:tcMar>
          </w:tcPr>
          <w:p>
            <w:pPr>
              <w:spacing w:after="0"/>
              <w:jc w:val="left"/>
            </w:pPr>
            <w:r>
              <w:rPr>
                <w:b/>
                <w:bCs/>
                <w:color w:val="FFFFFF"/>
                <w:sz w:val="19"/>
                <w:szCs w:val="19"/>
              </w:rPr>
              <w:t xml:space="preserve">Discount</w:t>
            </w:r>
          </w:p>
        </w:tc>
        <w:tc>
          <w:tcPr>
            <w:tcW w:type="dxa" w:w="1140"/>
            <w:shd w:fill="3D4E66" w:val="clear"/>
            <w:tcMar>
              <w:top w:type="dxa" w:w="60"/>
              <w:left w:type="dxa" w:w="100"/>
              <w:bottom w:type="dxa" w:w="60"/>
              <w:right w:type="dxa" w:w="100"/>
            </w:tcMar>
          </w:tcPr>
          <w:p>
            <w:pPr>
              <w:spacing w:after="0"/>
              <w:jc w:val="right"/>
            </w:pPr>
            <w:r>
              <w:rPr>
                <w:b/>
                <w:bCs/>
                <w:color w:val="FFFFFF"/>
                <w:sz w:val="19"/>
                <w:szCs w:val="19"/>
              </w:rPr>
              <w:t xml:space="preserve">Add. chg</w:t>
            </w:r>
          </w:p>
        </w:tc>
        <w:tc>
          <w:tcPr>
            <w:tcW w:type="dxa" w:w="1240"/>
            <w:shd w:fill="3D4E66" w:val="clear"/>
            <w:tcMar>
              <w:top w:type="dxa" w:w="60"/>
              <w:left w:type="dxa" w:w="100"/>
              <w:bottom w:type="dxa" w:w="60"/>
              <w:right w:type="dxa" w:w="100"/>
            </w:tcMar>
          </w:tcPr>
          <w:p>
            <w:pPr>
              <w:spacing w:after="0"/>
              <w:jc w:val="right"/>
            </w:pPr>
            <w:r>
              <w:rPr>
                <w:b/>
                <w:bCs/>
                <w:color w:val="FFFFFF"/>
                <w:sz w:val="19"/>
                <w:szCs w:val="19"/>
              </w:rPr>
              <w:t xml:space="preserve">Net amount</w:t>
            </w:r>
          </w:p>
        </w:tc>
        <w:tc>
          <w:tcPr>
            <w:tcW w:type="dxa" w:w="1240"/>
            <w:shd w:fill="3D4E66" w:val="clear"/>
            <w:tcMar>
              <w:top w:type="dxa" w:w="60"/>
              <w:left w:type="dxa" w:w="100"/>
              <w:bottom w:type="dxa" w:w="60"/>
              <w:right w:type="dxa" w:w="100"/>
            </w:tcMar>
          </w:tcPr>
          <w:p>
            <w:pPr>
              <w:spacing w:after="0"/>
              <w:jc w:val="right"/>
            </w:pPr>
            <w:r>
              <w:rPr>
                <w:b/>
                <w:bCs/>
                <w:color w:val="FFFFFF"/>
                <w:sz w:val="19"/>
                <w:szCs w:val="19"/>
              </w:rPr>
              <w:t xml:space="preserve">Tax base</w:t>
            </w:r>
          </w:p>
        </w:tc>
        <w:tc>
          <w:tcPr>
            <w:tcW w:type="dxa" w:w="850"/>
            <w:shd w:fill="3D4E66" w:val="clear"/>
            <w:tcMar>
              <w:top w:type="dxa" w:w="60"/>
              <w:left w:type="dxa" w:w="100"/>
              <w:bottom w:type="dxa" w:w="60"/>
              <w:right w:type="dxa" w:w="100"/>
            </w:tcMar>
          </w:tcPr>
          <w:p>
            <w:pPr>
              <w:spacing w:after="0"/>
              <w:jc w:val="right"/>
            </w:pPr>
            <w:r>
              <w:rPr>
                <w:b/>
                <w:bCs/>
                <w:color w:val="FFFFFF"/>
                <w:sz w:val="19"/>
                <w:szCs w:val="19"/>
              </w:rPr>
              <w:t xml:space="preserve">Tax %</w:t>
            </w:r>
          </w:p>
        </w:tc>
        <w:tc>
          <w:tcPr>
            <w:tcW w:type="dxa" w:w="1370"/>
            <w:shd w:fill="3D4E66" w:val="clear"/>
            <w:tcMar>
              <w:top w:type="dxa" w:w="60"/>
              <w:left w:type="dxa" w:w="100"/>
              <w:bottom w:type="dxa" w:w="60"/>
              <w:right w:type="dxa" w:w="100"/>
            </w:tcMar>
          </w:tcPr>
          <w:p>
            <w:pPr>
              <w:spacing w:after="0"/>
              <w:jc w:val="right"/>
            </w:pPr>
            <w:r>
              <w:rPr>
                <w:b/>
                <w:bCs/>
                <w:color w:val="FFFFFF"/>
                <w:sz w:val="19"/>
                <w:szCs w:val="19"/>
              </w:rPr>
              <w:t xml:space="preserve">Line tax</w:t>
            </w:r>
          </w:p>
        </w:tc>
      </w:tr>
      <w:tr>
        <w:tc>
          <w:tcPr>
            <w:tcW w:type="dxa" w:w="620"/>
            <w:tcMar>
              <w:top w:type="dxa" w:w="60"/>
              <w:left w:type="dxa" w:w="100"/>
              <w:bottom w:type="dxa" w:w="60"/>
              <w:right w:type="dxa" w:w="100"/>
            </w:tcMar>
          </w:tcPr>
          <w:p>
            <w:pPr>
              <w:spacing w:after="0"/>
              <w:jc w:val="left"/>
            </w:pPr>
            <w:r>
              <w:rPr>
                <w:b w:val="false"/>
                <w:bCs w:val="false"/>
                <w:sz w:val="19"/>
                <w:szCs w:val="19"/>
              </w:rPr>
              <w:t xml:space="preserve">A</w:t>
            </w:r>
          </w:p>
        </w:tc>
        <w:tc>
          <w:tcPr>
            <w:tcW w:type="dxa" w:w="1210"/>
            <w:tcMar>
              <w:top w:type="dxa" w:w="60"/>
              <w:left w:type="dxa" w:w="100"/>
              <w:bottom w:type="dxa" w:w="60"/>
              <w:right w:type="dxa" w:w="100"/>
            </w:tcMar>
          </w:tcPr>
          <w:p>
            <w:pPr>
              <w:spacing w:after="0"/>
              <w:jc w:val="left"/>
            </w:pPr>
            <w:r>
              <w:rPr>
                <w:b w:val="false"/>
                <w:bCs w:val="false"/>
                <w:sz w:val="19"/>
                <w:szCs w:val="19"/>
              </w:rPr>
              <w:t xml:space="preserve">2 × 1,000</w:t>
            </w:r>
          </w:p>
        </w:tc>
        <w:tc>
          <w:tcPr>
            <w:tcW w:type="dxa" w:w="1170"/>
            <w:tcMar>
              <w:top w:type="dxa" w:w="60"/>
              <w:left w:type="dxa" w:w="100"/>
              <w:bottom w:type="dxa" w:w="60"/>
              <w:right w:type="dxa" w:w="100"/>
            </w:tcMar>
          </w:tcPr>
          <w:p>
            <w:pPr>
              <w:spacing w:after="0"/>
              <w:jc w:val="right"/>
            </w:pPr>
            <w:r>
              <w:rPr>
                <w:b w:val="false"/>
                <w:bCs w:val="false"/>
                <w:sz w:val="19"/>
                <w:szCs w:val="19"/>
              </w:rPr>
              <w:t xml:space="preserve">2,000.00</w:t>
            </w:r>
          </w:p>
        </w:tc>
        <w:tc>
          <w:tcPr>
            <w:tcW w:type="dxa" w:w="1240"/>
            <w:tcMar>
              <w:top w:type="dxa" w:w="60"/>
              <w:left w:type="dxa" w:w="100"/>
              <w:bottom w:type="dxa" w:w="60"/>
              <w:right w:type="dxa" w:w="100"/>
            </w:tcMar>
          </w:tcPr>
          <w:p>
            <w:pPr>
              <w:spacing w:after="0"/>
              <w:jc w:val="left"/>
            </w:pPr>
            <w:r>
              <w:rPr>
                <w:b w:val="false"/>
                <w:bCs w:val="false"/>
                <w:sz w:val="19"/>
                <w:szCs w:val="19"/>
              </w:rPr>
              <w:t xml:space="preserve">10% → 200.00</w:t>
            </w:r>
          </w:p>
        </w:tc>
        <w:tc>
          <w:tcPr>
            <w:tcW w:type="dxa" w:w="1140"/>
            <w:tcMar>
              <w:top w:type="dxa" w:w="60"/>
              <w:left w:type="dxa" w:w="100"/>
              <w:bottom w:type="dxa" w:w="60"/>
              <w:right w:type="dxa" w:w="100"/>
            </w:tcMar>
          </w:tcPr>
          <w:p>
            <w:pPr>
              <w:spacing w:after="0"/>
              <w:jc w:val="right"/>
            </w:pPr>
            <w:r>
              <w:rPr>
                <w:b w:val="false"/>
                <w:bCs w:val="false"/>
                <w:sz w:val="19"/>
                <w:szCs w:val="19"/>
              </w:rPr>
              <w:t xml:space="preserve">23.23</w:t>
            </w:r>
          </w:p>
        </w:tc>
        <w:tc>
          <w:tcPr>
            <w:tcW w:type="dxa" w:w="1240"/>
            <w:tcMar>
              <w:top w:type="dxa" w:w="60"/>
              <w:left w:type="dxa" w:w="100"/>
              <w:bottom w:type="dxa" w:w="60"/>
              <w:right w:type="dxa" w:w="100"/>
            </w:tcMar>
          </w:tcPr>
          <w:p>
            <w:pPr>
              <w:spacing w:after="0"/>
              <w:jc w:val="right"/>
            </w:pPr>
            <w:r>
              <w:rPr>
                <w:b w:val="false"/>
                <w:bCs w:val="false"/>
                <w:sz w:val="19"/>
                <w:szCs w:val="19"/>
              </w:rPr>
              <w:t xml:space="preserve">1,800.00</w:t>
            </w:r>
          </w:p>
        </w:tc>
        <w:tc>
          <w:tcPr>
            <w:tcW w:type="dxa" w:w="1240"/>
            <w:tcMar>
              <w:top w:type="dxa" w:w="60"/>
              <w:left w:type="dxa" w:w="100"/>
              <w:bottom w:type="dxa" w:w="60"/>
              <w:right w:type="dxa" w:w="100"/>
            </w:tcMar>
          </w:tcPr>
          <w:p>
            <w:pPr>
              <w:spacing w:after="0"/>
              <w:jc w:val="right"/>
            </w:pPr>
            <w:r>
              <w:rPr>
                <w:b w:val="false"/>
                <w:bCs w:val="false"/>
                <w:sz w:val="19"/>
                <w:szCs w:val="19"/>
              </w:rPr>
              <w:t xml:space="preserve">1,861.94</w:t>
            </w:r>
          </w:p>
        </w:tc>
        <w:tc>
          <w:tcPr>
            <w:tcW w:type="dxa" w:w="850"/>
            <w:tcMar>
              <w:top w:type="dxa" w:w="60"/>
              <w:left w:type="dxa" w:w="100"/>
              <w:bottom w:type="dxa" w:w="60"/>
              <w:right w:type="dxa" w:w="100"/>
            </w:tcMar>
          </w:tcPr>
          <w:p>
            <w:pPr>
              <w:spacing w:after="0"/>
              <w:jc w:val="right"/>
            </w:pPr>
            <w:r>
              <w:rPr>
                <w:b w:val="false"/>
                <w:bCs w:val="false"/>
                <w:sz w:val="19"/>
                <w:szCs w:val="19"/>
              </w:rPr>
              <w:t xml:space="preserve">18%</w:t>
            </w:r>
          </w:p>
        </w:tc>
        <w:tc>
          <w:tcPr>
            <w:tcW w:type="dxa" w:w="1370"/>
            <w:tcMar>
              <w:top w:type="dxa" w:w="60"/>
              <w:left w:type="dxa" w:w="100"/>
              <w:bottom w:type="dxa" w:w="60"/>
              <w:right w:type="dxa" w:w="100"/>
            </w:tcMar>
          </w:tcPr>
          <w:p>
            <w:pPr>
              <w:spacing w:after="0"/>
              <w:jc w:val="right"/>
            </w:pPr>
            <w:r>
              <w:rPr>
                <w:b w:val="false"/>
                <w:bCs w:val="false"/>
                <w:sz w:val="19"/>
                <w:szCs w:val="19"/>
              </w:rPr>
              <w:t xml:space="preserve">335.15</w:t>
            </w:r>
          </w:p>
        </w:tc>
      </w:tr>
      <w:tr>
        <w:tc>
          <w:tcPr>
            <w:tcW w:type="dxa" w:w="620"/>
            <w:tcMar>
              <w:top w:type="dxa" w:w="60"/>
              <w:left w:type="dxa" w:w="100"/>
              <w:bottom w:type="dxa" w:w="60"/>
              <w:right w:type="dxa" w:w="100"/>
            </w:tcMar>
          </w:tcPr>
          <w:p>
            <w:pPr>
              <w:spacing w:after="0"/>
              <w:jc w:val="left"/>
            </w:pPr>
            <w:r>
              <w:rPr>
                <w:b w:val="false"/>
                <w:bCs w:val="false"/>
                <w:sz w:val="19"/>
                <w:szCs w:val="19"/>
              </w:rPr>
              <w:t xml:space="preserve">B</w:t>
            </w:r>
          </w:p>
        </w:tc>
        <w:tc>
          <w:tcPr>
            <w:tcW w:type="dxa" w:w="1210"/>
            <w:tcMar>
              <w:top w:type="dxa" w:w="60"/>
              <w:left w:type="dxa" w:w="100"/>
              <w:bottom w:type="dxa" w:w="60"/>
              <w:right w:type="dxa" w:w="100"/>
            </w:tcMar>
          </w:tcPr>
          <w:p>
            <w:pPr>
              <w:spacing w:after="0"/>
              <w:jc w:val="left"/>
            </w:pPr>
            <w:r>
              <w:rPr>
                <w:b w:val="false"/>
                <w:bCs w:val="false"/>
                <w:sz w:val="19"/>
                <w:szCs w:val="19"/>
              </w:rPr>
              <w:t xml:space="preserve">1 × 3,000</w:t>
            </w:r>
          </w:p>
        </w:tc>
        <w:tc>
          <w:tcPr>
            <w:tcW w:type="dxa" w:w="1170"/>
            <w:tcMar>
              <w:top w:type="dxa" w:w="60"/>
              <w:left w:type="dxa" w:w="100"/>
              <w:bottom w:type="dxa" w:w="60"/>
              <w:right w:type="dxa" w:w="100"/>
            </w:tcMar>
          </w:tcPr>
          <w:p>
            <w:pPr>
              <w:spacing w:after="0"/>
              <w:jc w:val="right"/>
            </w:pPr>
            <w:r>
              <w:rPr>
                <w:b w:val="false"/>
                <w:bCs w:val="false"/>
                <w:sz w:val="19"/>
                <w:szCs w:val="19"/>
              </w:rPr>
              <w:t xml:space="preserve">3,000.00</w:t>
            </w:r>
          </w:p>
        </w:tc>
        <w:tc>
          <w:tcPr>
            <w:tcW w:type="dxa" w:w="1240"/>
            <w:tcMar>
              <w:top w:type="dxa" w:w="60"/>
              <w:left w:type="dxa" w:w="100"/>
              <w:bottom w:type="dxa" w:w="60"/>
              <w:right w:type="dxa" w:w="100"/>
            </w:tcMar>
          </w:tcPr>
          <w:p>
            <w:pPr>
              <w:spacing w:after="0"/>
              <w:jc w:val="left"/>
            </w:pPr>
            <w:r>
              <w:rPr>
                <w:b w:val="false"/>
                <w:bCs w:val="false"/>
                <w:sz w:val="19"/>
                <w:szCs w:val="19"/>
              </w:rPr>
              <w:t xml:space="preserve">5% → 150.00</w:t>
            </w:r>
          </w:p>
        </w:tc>
        <w:tc>
          <w:tcPr>
            <w:tcW w:type="dxa" w:w="1140"/>
            <w:tcMar>
              <w:top w:type="dxa" w:w="60"/>
              <w:left w:type="dxa" w:w="100"/>
              <w:bottom w:type="dxa" w:w="60"/>
              <w:right w:type="dxa" w:w="100"/>
            </w:tcMar>
          </w:tcPr>
          <w:p>
            <w:pPr>
              <w:spacing w:after="0"/>
              <w:jc w:val="right"/>
            </w:pPr>
            <w:r>
              <w:rPr>
                <w:b w:val="false"/>
                <w:bCs w:val="false"/>
                <w:sz w:val="19"/>
                <w:szCs w:val="19"/>
              </w:rPr>
              <w:t xml:space="preserve">36.77</w:t>
            </w:r>
          </w:p>
        </w:tc>
        <w:tc>
          <w:tcPr>
            <w:tcW w:type="dxa" w:w="1240"/>
            <w:tcMar>
              <w:top w:type="dxa" w:w="60"/>
              <w:left w:type="dxa" w:w="100"/>
              <w:bottom w:type="dxa" w:w="60"/>
              <w:right w:type="dxa" w:w="100"/>
            </w:tcMar>
          </w:tcPr>
          <w:p>
            <w:pPr>
              <w:spacing w:after="0"/>
              <w:jc w:val="right"/>
            </w:pPr>
            <w:r>
              <w:rPr>
                <w:b w:val="false"/>
                <w:bCs w:val="false"/>
                <w:sz w:val="19"/>
                <w:szCs w:val="19"/>
              </w:rPr>
              <w:t xml:space="preserve">2,850.00</w:t>
            </w:r>
          </w:p>
        </w:tc>
        <w:tc>
          <w:tcPr>
            <w:tcW w:type="dxa" w:w="1240"/>
            <w:tcMar>
              <w:top w:type="dxa" w:w="60"/>
              <w:left w:type="dxa" w:w="100"/>
              <w:bottom w:type="dxa" w:w="60"/>
              <w:right w:type="dxa" w:w="100"/>
            </w:tcMar>
          </w:tcPr>
          <w:p>
            <w:pPr>
              <w:spacing w:after="0"/>
              <w:jc w:val="right"/>
            </w:pPr>
            <w:r>
              <w:rPr>
                <w:b w:val="false"/>
                <w:bCs w:val="false"/>
                <w:sz w:val="19"/>
                <w:szCs w:val="19"/>
              </w:rPr>
              <w:t xml:space="preserve">2,948.06</w:t>
            </w:r>
          </w:p>
        </w:tc>
        <w:tc>
          <w:tcPr>
            <w:tcW w:type="dxa" w:w="850"/>
            <w:tcMar>
              <w:top w:type="dxa" w:w="60"/>
              <w:left w:type="dxa" w:w="100"/>
              <w:bottom w:type="dxa" w:w="60"/>
              <w:right w:type="dxa" w:w="100"/>
            </w:tcMar>
          </w:tcPr>
          <w:p>
            <w:pPr>
              <w:spacing w:after="0"/>
              <w:jc w:val="right"/>
            </w:pPr>
            <w:r>
              <w:rPr>
                <w:b w:val="false"/>
                <w:bCs w:val="false"/>
                <w:sz w:val="19"/>
                <w:szCs w:val="19"/>
              </w:rPr>
              <w:t xml:space="preserve">17%</w:t>
            </w:r>
          </w:p>
        </w:tc>
        <w:tc>
          <w:tcPr>
            <w:tcW w:type="dxa" w:w="1370"/>
            <w:tcMar>
              <w:top w:type="dxa" w:w="60"/>
              <w:left w:type="dxa" w:w="100"/>
              <w:bottom w:type="dxa" w:w="60"/>
              <w:right w:type="dxa" w:w="100"/>
            </w:tcMar>
          </w:tcPr>
          <w:p>
            <w:pPr>
              <w:spacing w:after="0"/>
              <w:jc w:val="right"/>
            </w:pPr>
            <w:r>
              <w:rPr>
                <w:b w:val="false"/>
                <w:bCs w:val="false"/>
                <w:sz w:val="19"/>
                <w:szCs w:val="19"/>
              </w:rPr>
              <w:t xml:space="preserve">501.17</w:t>
            </w:r>
          </w:p>
        </w:tc>
      </w:tr>
    </w:tbl>
    <w:p>
      <w:pPr>
        <w:spacing w:after="160" w:before="160"/>
      </w:pPr>
      <w:r>
        <w:t xml:space="preserve">Each line’s tax base = Net amount + its own Add. charges share + its pro-rata slice of Combined billed charges flagged into the sales-tax base (Freight 100.00 splits 38.71 / 61.29). Check: 1,800.00 + 23.23 + 38.71 = 1,861.94 and 2,850.00 + 36.77 + 61.29 = 2,948.06.</w:t>
      </w:r>
    </w:p>
    <w:p>
      <w:pPr>
        <w:spacing w:after="160" w:before="0"/>
      </w:pPr>
      <w:r>
        <w:rPr>
          <w:i/>
          <w:iCs/>
        </w:rPr>
        <w:t xml:space="preserve">Subtotal = 5,000.00; total discount = 350.00; taxable value = 4,650.00 + 100.00 + 60.00 = 4,810.00; total sales tax = 836.32; further tax = 0.00 (not applied); withholding = 0.00 (not applied); net payable = 4,810.00 + 836.32 = 5,646.32. Unloading (40.00) appears in the totals panel as expense-only, adds nothing to payable, and posts Dr Unloading expense / Cr Charges payable (§11.2). Rounding residuals of every split are forced onto the last line so the invoice foots exactly.</w:t>
      </w:r>
    </w:p>
    <w:p>
      <w:pPr>
        <w:pStyle w:val="Heading1"/>
        <w:spacing w:after="160" w:before="320"/>
      </w:pPr>
      <w:r>
        <w:rPr>
          <w:b/>
          <w:bCs/>
          <w:color w:val="1F2A3C"/>
          <w:sz w:val="28"/>
          <w:szCs w:val="28"/>
        </w:rPr>
        <w:t xml:space="preserve">11. Invoice settings (administrator) — defaults, tolerances and visibility</w:t>
      </w:r>
    </w:p>
    <w:p>
      <w:pPr>
        <w:spacing w:after="160" w:before="0"/>
      </w:pPr>
      <w:r>
        <w:t xml:space="preserve">Charges and top-up taxes sit in an odd spot: some tax authorities and business policies want a charge taxed along with the goods, others don’t; further tax depends on who the buyer is; withholding depends on which side of the transaction you stand. Rather than hard-coding answers, all three vendors expose this as configuration — SAP via pricing-procedure condition types, Oracle via tax-rule determinants, Dynamics 365 via charges code and tax group setup — not as something re-decided from scratch on every document.</w:t>
      </w:r>
    </w:p>
    <w:p>
      <w:pPr>
        <w:pStyle w:val="Heading2"/>
        <w:spacing w:after="140" w:before="240"/>
      </w:pPr>
      <w:r>
        <w:rPr>
          <w:b/>
          <w:bCs/>
          <w:color w:val="3D4E66"/>
          <w:sz w:val="24"/>
          <w:szCs w:val="24"/>
        </w:rPr>
        <w:t xml:space="preserve">11.1 Charge ledger defaults</w:t>
      </w:r>
    </w:p>
    <w:p>
      <w:pPr>
        <w:spacing w:after="160" w:before="0"/>
      </w:pPr>
      <w:r>
        <w:t xml:space="preserve">One row per chargeable ledger, seeding the charges form of §6.1: the default treatment, and the default state of the tax-base switches for when the charge is billed. Each switch is independent, and every default remains overridable per charge, per document, in the form itself.</w:t>
      </w:r>
    </w:p>
    <w:p>
      <w:pPr>
        <w:pStyle w:val="Heading2"/>
        <w:spacing w:after="140" w:before="240"/>
      </w:pPr>
      <w:r>
        <w:rPr>
          <w:b/>
          <w:bCs/>
          <w:color w:val="3D4E66"/>
          <w:sz w:val="24"/>
          <w:szCs w:val="24"/>
        </w:rPr>
        <w:t xml:space="preserve">11.2 Tax application defaults and order tolerances</w:t>
      </w:r>
    </w:p>
    <w:p>
      <w:pPr>
        <w:spacing w:after="160" w:before="0"/>
      </w:pPr>
      <w:r>
        <w:t xml:space="preserve">Default Apply further tax (Off, auto-On for unregistered customers), default Apply withholding tax per partner class, the rates for each, the withholding base definition (taxable value or gross), and the over-invoicing tolerance used by §4.4 all live here as document defaults.</w:t>
      </w:r>
    </w:p>
    <w:p>
      <w:pPr>
        <w:pStyle w:val="Heading2"/>
        <w:spacing w:after="140" w:before="240"/>
      </w:pPr>
      <w:r>
        <w:rPr>
          <w:b/>
          <w:bCs/>
          <w:color w:val="3D4E66"/>
          <w:sz w:val="24"/>
          <w:szCs w:val="24"/>
        </w:rPr>
        <w:t xml:space="preserve">11.3 Form field visibility</w:t>
      </w:r>
    </w:p>
    <w:p>
      <w:pPr>
        <w:spacing w:after="160" w:before="0"/>
      </w:pPr>
      <w:r>
        <w:t xml:space="preserve">A second group of switches controls which fields and toggles even appear on the day-to-day creation form — most businesses use only a subset, and hiding the rest keeps data-entry staff from being confronted with options that don’t apply to them:</w:t>
      </w:r>
    </w:p>
    <w:p>
      <w:pPr>
        <w:pStyle w:val="ListParagraph"/>
        <w:numPr>
          <w:ilvl w:val="0"/>
          <w:numId w:val="2"/>
        </w:numPr>
        <w:spacing w:after="100"/>
      </w:pPr>
      <w:r>
        <w:t xml:space="preserve">Create-from-orders picker / per-line discount toggle / Additional Charges button / per-line tax toggle — hiding one removes the control entirely and forces its behaviour (no order sourcing; Combined only; a no-charges document).</w:t>
      </w:r>
    </w:p>
    <w:p>
      <w:pPr>
        <w:pStyle w:val="ListParagraph"/>
        <w:numPr>
          <w:ilvl w:val="0"/>
          <w:numId w:val="2"/>
        </w:numPr>
        <w:spacing w:after="100"/>
      </w:pPr>
      <w:r>
        <w:t xml:space="preserve">Withholding / further / extra tax fields — many businesses only ever deal with one or two of these; hiding the rest declutters the totals panel and the Taxes accordion section alike.</w:t>
      </w:r>
    </w:p>
    <w:p>
      <w:pPr>
        <w:pStyle w:val="ListParagraph"/>
        <w:numPr>
          <w:ilvl w:val="0"/>
          <w:numId w:val="2"/>
        </w:numPr>
        <w:spacing w:after="100"/>
      </w:pPr>
      <w:r>
        <w:t xml:space="preserve">Transport / logistics block — relevant mainly to businesses that ship physical goods; service-only businesses can hide it.</w:t>
      </w:r>
    </w:p>
    <w:p>
      <w:pPr>
        <w:spacing w:after="80" w:before="120"/>
        <w:jc w:val="center"/>
      </w:pPr>
      <w:r>
        <w:drawing>
          <wp:inline distT="0" distB="0" distL="0" distR="0">
            <wp:extent cx="6096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733675"/>
                    </a:xfrm>
                    <a:prstGeom prst="rect">
                      <a:avLst/>
                    </a:prstGeom>
                  </pic:spPr>
                </pic:pic>
              </a:graphicData>
            </a:graphic>
          </wp:inline>
        </w:drawing>
      </w:r>
    </w:p>
    <w:p>
      <w:pPr>
        <w:spacing w:after="240" w:before="0"/>
        <w:jc w:val="center"/>
      </w:pPr>
      <w:r>
        <w:rPr>
          <w:i/>
          <w:iCs/>
          <w:color w:val="5A6472"/>
          <w:sz w:val="20"/>
          <w:szCs w:val="20"/>
        </w:rPr>
        <w:t xml:space="preserve">Figure 7 — administrator Invoice Settings; set once, inherited by every order and invoice and by the Additional Settings panel.</w:t>
      </w:r>
    </w:p>
    <w:p>
      <w:pPr>
        <w:pStyle w:val="Heading1"/>
        <w:spacing w:after="160" w:before="320"/>
      </w:pPr>
      <w:r>
        <w:rPr>
          <w:b/>
          <w:bCs/>
          <w:color w:val="1F2A3C"/>
          <w:sz w:val="28"/>
          <w:szCs w:val="28"/>
        </w:rPr>
        <w:t xml:space="preserve">12. General ledger posting</w:t>
      </w:r>
    </w:p>
    <w:p>
      <w:pPr>
        <w:spacing w:after="160" w:before="0"/>
      </w:pPr>
      <w:r>
        <w:t xml:space="preserve">Orders never post; invoices do. The creation screen only decides how numbers are calculated and displayed — what posts is a separate mapping, but it follows directly from the scope and treatment choices made in Sections 5, 6, 8 and 11:</w:t>
      </w:r>
    </w:p>
    <w:p>
      <w:pPr>
        <w:pStyle w:val="ListParagraph"/>
        <w:numPr>
          <w:ilvl w:val="0"/>
          <w:numId w:val="2"/>
        </w:numPr>
        <w:spacing w:after="100"/>
      </w:pPr>
      <w:r>
        <w:t xml:space="preserve">Combined mode always posts one aggregated line per natural GL account — one Discount line, one line per charge ledger, one Sales Tax Payable line — regardless of how many document lines fed into it.</w:t>
      </w:r>
    </w:p>
    <w:p>
      <w:pPr>
        <w:pStyle w:val="ListParagraph"/>
        <w:numPr>
          <w:ilvl w:val="0"/>
          <w:numId w:val="2"/>
        </w:numPr>
        <w:spacing w:after="100"/>
      </w:pPr>
      <w:r>
        <w:t xml:space="preserve">Per line / Per item mode can post multiple lines against the same natural account type when lines map to different sub-accounts — most commonly a different revenue account per item category, or a different Sales Tax Payable sub-account per tax rate/code (this split is what tax-return reporting actually needs; a single “Sales Tax Payable” account can’t tell an auditor how much was collected at 18% versus 17%).</w:t>
      </w:r>
    </w:p>
    <w:p>
      <w:pPr>
        <w:pStyle w:val="ListParagraph"/>
        <w:numPr>
          <w:ilvl w:val="0"/>
          <w:numId w:val="2"/>
        </w:numPr>
        <w:spacing w:after="100"/>
      </w:pPr>
      <w:r>
        <w:t xml:space="preserve">A billed charge credits the recovery/income account paired with its ledger (“Freight recovered”, “Labour charges recovered”) — separate from product revenue, since it is usually a pass-through of a cost rather than margin-bearing sales. On a purchase invoice the mirror applies: a supplier-billed charge debits cost, an absorbed charge capitalises into inventory (landed cost).</w:t>
      </w:r>
    </w:p>
    <w:p>
      <w:pPr>
        <w:pStyle w:val="ListParagraph"/>
        <w:numPr>
          <w:ilvl w:val="0"/>
          <w:numId w:val="2"/>
        </w:numPr>
        <w:spacing w:after="100"/>
      </w:pPr>
      <w:r>
        <w:t xml:space="preserve">An absorbed charge posts nowhere separately: its value is inside the revenue lines (sales) or the inventory/expense lines (purchase), because it was folded into the line Amounts before posting. The memo row in the totals panel is the only place it remains visible, which is precisely why that row exists.</w:t>
      </w:r>
    </w:p>
    <w:p>
      <w:pPr>
        <w:pStyle w:val="ListParagraph"/>
        <w:numPr>
          <w:ilvl w:val="0"/>
          <w:numId w:val="2"/>
        </w:numPr>
        <w:spacing w:after="100"/>
      </w:pPr>
      <w:r>
        <w:t xml:space="preserve">An expense-only charge posts Dr its expense ledger / Cr Charges payable (accrued) together with the invoice; the payable clears when the transporter’s or contractor’s bill is settled.</w:t>
      </w:r>
    </w:p>
    <w:p>
      <w:pPr>
        <w:pStyle w:val="ListParagraph"/>
        <w:numPr>
          <w:ilvl w:val="0"/>
          <w:numId w:val="2"/>
        </w:numPr>
        <w:spacing w:after="100"/>
      </w:pPr>
      <w:r>
        <w:t xml:space="preserve">Discount is booked as a contra-revenue debit (a “Sales Discount/Allowances” account), not netted silently into revenue, so gross sales and total discounts both remain visible on the P&amp;L.</w:t>
      </w:r>
    </w:p>
    <w:p>
      <w:pPr>
        <w:pStyle w:val="ListParagraph"/>
        <w:numPr>
          <w:ilvl w:val="0"/>
          <w:numId w:val="2"/>
        </w:numPr>
        <w:spacing w:after="100"/>
      </w:pPr>
      <w:r>
        <w:t xml:space="preserve">Further tax, when applied, is credited to Further tax payable — kept as its own code even where it files on the same statutory return as sales tax, so the return can be populated line by line.</w:t>
      </w:r>
    </w:p>
    <w:p>
      <w:pPr>
        <w:pStyle w:val="ListParagraph"/>
        <w:numPr>
          <w:ilvl w:val="0"/>
          <w:numId w:val="2"/>
        </w:numPr>
        <w:spacing w:after="100"/>
      </w:pPr>
      <w:r>
        <w:t xml:space="preserve">Withholding tax is two-sided (§8): on sales, the amount the customer withholds is a debit to Withholding Tax Receivable (an advance-tax asset the seller later offsets against its own income tax); on purchases, the amount withheld from the supplier is a credit to Withholding Tax Payable until deposited with the authority. It is never an expense in either direction.</w:t>
      </w:r>
    </w:p>
    <w:p>
      <w:pPr>
        <w:pStyle w:val="ListParagraph"/>
        <w:numPr>
          <w:ilvl w:val="0"/>
          <w:numId w:val="2"/>
        </w:numPr>
        <w:spacing w:after="100"/>
      </w:pPr>
      <w:r>
        <w:t xml:space="preserve">Sales tax mirrors too: output tax on a sales invoice credits Sales tax payable; input tax on a purchase invoice debits Input sales tax receivable (recoverable against output tax).</w:t>
      </w:r>
    </w:p>
    <w:p>
      <w:pPr>
        <w:pStyle w:val="Heading2"/>
        <w:spacing w:after="140" w:before="240"/>
      </w:pPr>
      <w:r>
        <w:rPr>
          <w:b/>
          <w:bCs/>
          <w:color w:val="3D4E66"/>
          <w:sz w:val="24"/>
          <w:szCs w:val="24"/>
        </w:rPr>
        <w:t xml:space="preserve">12.1 Example A — sales invoice, fully Combined, further and withholding applied</w:t>
      </w:r>
    </w:p>
    <w:p>
      <w:pPr>
        <w:spacing w:after="160" w:before="0"/>
      </w:pPr>
      <w:r>
        <w:t xml:space="preserve">Unregistered customer, so Apply further tax = On (3%); Apply withholding tax = On (3%). Subtotal 55,000.00 · Discount 18% = 9,900.00 · Charges: Freight 20,000.00 (billed, ST base On), Loading 2,000.00 (billed, ST base Off), Unloading 1,000.00 (expense only) · Sales-tax base = 45,100.00 + 20,000.00 = 65,100.00 · Sales tax 18% = 11,718.00 · Further tax 3% on the same base = 1,953.00 · W/H tax 3% (every charge’s W/H switch is Off, so on 45,100.00) = 1,353.00 · Net payable = 65,100.00 + 2,000.00 + 11,718.00 + 1,953.00 − 1,353.00 = 79,418.00.</w:t>
      </w:r>
    </w:p>
    <w:tbl>
      <w:tblPr>
        <w:tblW w:type="dxa" w:w="10080"/>
        <w:tblBorders>
          <w:top w:val="single" w:color="C8CDD4" w:sz="4"/>
          <w:left w:val="single" w:color="C8CDD4" w:sz="4"/>
          <w:bottom w:val="single" w:color="C8CDD4" w:sz="4"/>
          <w:right w:val="single" w:color="C8CDD4" w:sz="4"/>
          <w:insideH w:val="single" w:color="C8CDD4" w:sz="4"/>
          <w:insideV w:val="single" w:color="C8CDD4" w:sz="4"/>
        </w:tblBorders>
      </w:tblPr>
      <w:tblGrid>
        <w:gridCol w:w="5480"/>
        <w:gridCol w:w="2300"/>
        <w:gridCol w:w="2300"/>
      </w:tblGrid>
      <w:tr>
        <w:trPr>
          <w:tblHeader/>
        </w:trPr>
        <w:tc>
          <w:tcPr>
            <w:tcW w:type="dxa" w:w="5480"/>
            <w:shd w:fill="3D4E66" w:val="clear"/>
            <w:tcMar>
              <w:top w:type="dxa" w:w="60"/>
              <w:left w:type="dxa" w:w="100"/>
              <w:bottom w:type="dxa" w:w="60"/>
              <w:right w:type="dxa" w:w="100"/>
            </w:tcMar>
          </w:tcPr>
          <w:p>
            <w:pPr>
              <w:spacing w:after="0"/>
              <w:jc w:val="left"/>
            </w:pPr>
            <w:r>
              <w:rPr>
                <w:b/>
                <w:bCs/>
                <w:color w:val="FFFFFF"/>
                <w:sz w:val="20"/>
                <w:szCs w:val="20"/>
              </w:rPr>
              <w:t xml:space="preserve">GL account</w:t>
            </w:r>
          </w:p>
        </w:tc>
        <w:tc>
          <w:tcPr>
            <w:tcW w:type="dxa" w:w="2300"/>
            <w:shd w:fill="3D4E66" w:val="clear"/>
            <w:tcMar>
              <w:top w:type="dxa" w:w="60"/>
              <w:left w:type="dxa" w:w="100"/>
              <w:bottom w:type="dxa" w:w="60"/>
              <w:right w:type="dxa" w:w="100"/>
            </w:tcMar>
          </w:tcPr>
          <w:p>
            <w:pPr>
              <w:spacing w:after="0"/>
              <w:jc w:val="right"/>
            </w:pPr>
            <w:r>
              <w:rPr>
                <w:b/>
                <w:bCs/>
                <w:color w:val="FFFFFF"/>
                <w:sz w:val="20"/>
                <w:szCs w:val="20"/>
              </w:rPr>
              <w:t xml:space="preserve">Debit</w:t>
            </w:r>
          </w:p>
        </w:tc>
        <w:tc>
          <w:tcPr>
            <w:tcW w:type="dxa" w:w="2300"/>
            <w:shd w:fill="3D4E66" w:val="clear"/>
            <w:tcMar>
              <w:top w:type="dxa" w:w="60"/>
              <w:left w:type="dxa" w:w="100"/>
              <w:bottom w:type="dxa" w:w="60"/>
              <w:right w:type="dxa" w:w="100"/>
            </w:tcMar>
          </w:tcPr>
          <w:p>
            <w:pPr>
              <w:spacing w:after="0"/>
              <w:jc w:val="right"/>
            </w:pPr>
            <w:r>
              <w:rPr>
                <w:b/>
                <w:bCs/>
                <w:color w:val="FFFFFF"/>
                <w:sz w:val="20"/>
                <w:szCs w:val="20"/>
              </w:rPr>
              <w:t xml:space="preserve">Credit</w:t>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Accounts receivable</w:t>
            </w:r>
          </w:p>
        </w:tc>
        <w:tc>
          <w:tcPr>
            <w:tcW w:type="dxa" w:w="2300"/>
            <w:tcMar>
              <w:top w:type="dxa" w:w="60"/>
              <w:left w:type="dxa" w:w="100"/>
              <w:bottom w:type="dxa" w:w="60"/>
              <w:right w:type="dxa" w:w="100"/>
            </w:tcMar>
          </w:tcPr>
          <w:p>
            <w:pPr>
              <w:spacing w:after="0"/>
              <w:jc w:val="right"/>
            </w:pPr>
            <w:r>
              <w:rPr>
                <w:b w:val="false"/>
                <w:bCs w:val="false"/>
                <w:sz w:val="20"/>
                <w:szCs w:val="20"/>
              </w:rPr>
              <w:t xml:space="preserve">79,418.00</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Withholding tax receivable</w:t>
            </w:r>
          </w:p>
        </w:tc>
        <w:tc>
          <w:tcPr>
            <w:tcW w:type="dxa" w:w="2300"/>
            <w:tcMar>
              <w:top w:type="dxa" w:w="60"/>
              <w:left w:type="dxa" w:w="100"/>
              <w:bottom w:type="dxa" w:w="60"/>
              <w:right w:type="dxa" w:w="100"/>
            </w:tcMar>
          </w:tcPr>
          <w:p>
            <w:pPr>
              <w:spacing w:after="0"/>
              <w:jc w:val="right"/>
            </w:pPr>
            <w:r>
              <w:rPr>
                <w:b w:val="false"/>
                <w:bCs w:val="false"/>
                <w:sz w:val="20"/>
                <w:szCs w:val="20"/>
              </w:rPr>
              <w:t xml:space="preserve">1,353.00</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Sales discount / allowances</w:t>
            </w:r>
          </w:p>
        </w:tc>
        <w:tc>
          <w:tcPr>
            <w:tcW w:type="dxa" w:w="2300"/>
            <w:tcMar>
              <w:top w:type="dxa" w:w="60"/>
              <w:left w:type="dxa" w:w="100"/>
              <w:bottom w:type="dxa" w:w="60"/>
              <w:right w:type="dxa" w:w="100"/>
            </w:tcMar>
          </w:tcPr>
          <w:p>
            <w:pPr>
              <w:spacing w:after="0"/>
              <w:jc w:val="right"/>
            </w:pPr>
            <w:r>
              <w:rPr>
                <w:b w:val="false"/>
                <w:bCs w:val="false"/>
                <w:sz w:val="20"/>
                <w:szCs w:val="20"/>
              </w:rPr>
              <w:t xml:space="preserve">9,900.00</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Unloading charges (expense)</w:t>
            </w:r>
          </w:p>
        </w:tc>
        <w:tc>
          <w:tcPr>
            <w:tcW w:type="dxa" w:w="2300"/>
            <w:tcMar>
              <w:top w:type="dxa" w:w="60"/>
              <w:left w:type="dxa" w:w="100"/>
              <w:bottom w:type="dxa" w:w="60"/>
              <w:right w:type="dxa" w:w="100"/>
            </w:tcMar>
          </w:tcPr>
          <w:p>
            <w:pPr>
              <w:spacing w:after="0"/>
              <w:jc w:val="right"/>
            </w:pPr>
            <w:r>
              <w:rPr>
                <w:b w:val="false"/>
                <w:bCs w:val="false"/>
                <w:sz w:val="20"/>
                <w:szCs w:val="20"/>
              </w:rPr>
              <w:t xml:space="preserve">1,000.00</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Sales revenue</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c>
          <w:tcPr>
            <w:tcW w:type="dxa" w:w="2300"/>
            <w:tcMar>
              <w:top w:type="dxa" w:w="60"/>
              <w:left w:type="dxa" w:w="100"/>
              <w:bottom w:type="dxa" w:w="60"/>
              <w:right w:type="dxa" w:w="100"/>
            </w:tcMar>
          </w:tcPr>
          <w:p>
            <w:pPr>
              <w:spacing w:after="0"/>
              <w:jc w:val="right"/>
            </w:pPr>
            <w:r>
              <w:rPr>
                <w:b w:val="false"/>
                <w:bCs w:val="false"/>
                <w:sz w:val="20"/>
                <w:szCs w:val="20"/>
              </w:rPr>
              <w:t xml:space="preserve">55,000.00</w:t>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Freight recovered</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c>
          <w:tcPr>
            <w:tcW w:type="dxa" w:w="2300"/>
            <w:tcMar>
              <w:top w:type="dxa" w:w="60"/>
              <w:left w:type="dxa" w:w="100"/>
              <w:bottom w:type="dxa" w:w="60"/>
              <w:right w:type="dxa" w:w="100"/>
            </w:tcMar>
          </w:tcPr>
          <w:p>
            <w:pPr>
              <w:spacing w:after="0"/>
              <w:jc w:val="right"/>
            </w:pPr>
            <w:r>
              <w:rPr>
                <w:b w:val="false"/>
                <w:bCs w:val="false"/>
                <w:sz w:val="20"/>
                <w:szCs w:val="20"/>
              </w:rPr>
              <w:t xml:space="preserve">20,000.00</w:t>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Loading charges recovered</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c>
          <w:tcPr>
            <w:tcW w:type="dxa" w:w="2300"/>
            <w:tcMar>
              <w:top w:type="dxa" w:w="60"/>
              <w:left w:type="dxa" w:w="100"/>
              <w:bottom w:type="dxa" w:w="60"/>
              <w:right w:type="dxa" w:w="100"/>
            </w:tcMar>
          </w:tcPr>
          <w:p>
            <w:pPr>
              <w:spacing w:after="0"/>
              <w:jc w:val="right"/>
            </w:pPr>
            <w:r>
              <w:rPr>
                <w:b w:val="false"/>
                <w:bCs w:val="false"/>
                <w:sz w:val="20"/>
                <w:szCs w:val="20"/>
              </w:rPr>
              <w:t xml:space="preserve">2,000.00</w:t>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Sales tax payable</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c>
          <w:tcPr>
            <w:tcW w:type="dxa" w:w="2300"/>
            <w:tcMar>
              <w:top w:type="dxa" w:w="60"/>
              <w:left w:type="dxa" w:w="100"/>
              <w:bottom w:type="dxa" w:w="60"/>
              <w:right w:type="dxa" w:w="100"/>
            </w:tcMar>
          </w:tcPr>
          <w:p>
            <w:pPr>
              <w:spacing w:after="0"/>
              <w:jc w:val="right"/>
            </w:pPr>
            <w:r>
              <w:rPr>
                <w:b w:val="false"/>
                <w:bCs w:val="false"/>
                <w:sz w:val="20"/>
                <w:szCs w:val="20"/>
              </w:rPr>
              <w:t xml:space="preserve">11,718.00</w:t>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Further tax payable</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c>
          <w:tcPr>
            <w:tcW w:type="dxa" w:w="2300"/>
            <w:tcMar>
              <w:top w:type="dxa" w:w="60"/>
              <w:left w:type="dxa" w:w="100"/>
              <w:bottom w:type="dxa" w:w="60"/>
              <w:right w:type="dxa" w:w="100"/>
            </w:tcMar>
          </w:tcPr>
          <w:p>
            <w:pPr>
              <w:spacing w:after="0"/>
              <w:jc w:val="right"/>
            </w:pPr>
            <w:r>
              <w:rPr>
                <w:b w:val="false"/>
                <w:bCs w:val="false"/>
                <w:sz w:val="20"/>
                <w:szCs w:val="20"/>
              </w:rPr>
              <w:t xml:space="preserve">1,953.00</w:t>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Charges payable — unloading</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c>
          <w:tcPr>
            <w:tcW w:type="dxa" w:w="2300"/>
            <w:tcMar>
              <w:top w:type="dxa" w:w="60"/>
              <w:left w:type="dxa" w:w="100"/>
              <w:bottom w:type="dxa" w:w="60"/>
              <w:right w:type="dxa" w:w="100"/>
            </w:tcMar>
          </w:tcPr>
          <w:p>
            <w:pPr>
              <w:spacing w:after="0"/>
              <w:jc w:val="right"/>
            </w:pPr>
            <w:r>
              <w:rPr>
                <w:b w:val="false"/>
                <w:bCs w:val="false"/>
                <w:sz w:val="20"/>
                <w:szCs w:val="20"/>
              </w:rPr>
              <w:t xml:space="preserve">1,000.00</w:t>
            </w:r>
          </w:p>
        </w:tc>
      </w:tr>
    </w:tbl>
    <w:p>
      <w:pPr>
        <w:spacing w:after="160" w:before="160"/>
      </w:pPr>
      <w:r>
        <w:rPr>
          <w:i/>
          <w:iCs/>
        </w:rPr>
        <w:t xml:space="preserve">Totals: debits 91,671.00 = credits 91,671.00. One line per account — this is the entire posting regardless of how many products were on the invoice. Further tax rides the sales-tax base exactly; Loading is billed but outside that base, so it reaches AR without touching either tax; Unloading never reaches AR at all.</w:t>
      </w:r>
    </w:p>
    <w:p>
      <w:pPr>
        <w:pStyle w:val="Heading2"/>
        <w:spacing w:after="140" w:before="240"/>
      </w:pPr>
      <w:r>
        <w:rPr>
          <w:b/>
          <w:bCs/>
          <w:color w:val="3D4E66"/>
          <w:sz w:val="24"/>
          <w:szCs w:val="24"/>
        </w:rPr>
        <w:t xml:space="preserve">12.2 Example B — the Section 10 sales invoice, two revenue categories</w:t>
      </w:r>
    </w:p>
    <w:p>
      <w:pPr>
        <w:spacing w:after="160" w:before="0"/>
      </w:pPr>
      <w:r>
        <w:t xml:space="preserve">Line A posts to Hardware Sales, line B to Fittings Sales; tax splits by rate code; Freight and Labour are billed into the ST base; Unloading is expense-only; Apply further and Apply withholding are both Off.</w:t>
      </w:r>
    </w:p>
    <w:tbl>
      <w:tblPr>
        <w:tblW w:type="dxa" w:w="10080"/>
        <w:tblBorders>
          <w:top w:val="single" w:color="C8CDD4" w:sz="4"/>
          <w:left w:val="single" w:color="C8CDD4" w:sz="4"/>
          <w:bottom w:val="single" w:color="C8CDD4" w:sz="4"/>
          <w:right w:val="single" w:color="C8CDD4" w:sz="4"/>
          <w:insideH w:val="single" w:color="C8CDD4" w:sz="4"/>
          <w:insideV w:val="single" w:color="C8CDD4" w:sz="4"/>
        </w:tblBorders>
      </w:tblPr>
      <w:tblGrid>
        <w:gridCol w:w="5480"/>
        <w:gridCol w:w="2300"/>
        <w:gridCol w:w="2300"/>
      </w:tblGrid>
      <w:tr>
        <w:trPr>
          <w:tblHeader/>
        </w:trPr>
        <w:tc>
          <w:tcPr>
            <w:tcW w:type="dxa" w:w="5480"/>
            <w:shd w:fill="3D4E66" w:val="clear"/>
            <w:tcMar>
              <w:top w:type="dxa" w:w="60"/>
              <w:left w:type="dxa" w:w="100"/>
              <w:bottom w:type="dxa" w:w="60"/>
              <w:right w:type="dxa" w:w="100"/>
            </w:tcMar>
          </w:tcPr>
          <w:p>
            <w:pPr>
              <w:spacing w:after="0"/>
              <w:jc w:val="left"/>
            </w:pPr>
            <w:r>
              <w:rPr>
                <w:b/>
                <w:bCs/>
                <w:color w:val="FFFFFF"/>
                <w:sz w:val="20"/>
                <w:szCs w:val="20"/>
              </w:rPr>
              <w:t xml:space="preserve">GL account</w:t>
            </w:r>
          </w:p>
        </w:tc>
        <w:tc>
          <w:tcPr>
            <w:tcW w:type="dxa" w:w="2300"/>
            <w:shd w:fill="3D4E66" w:val="clear"/>
            <w:tcMar>
              <w:top w:type="dxa" w:w="60"/>
              <w:left w:type="dxa" w:w="100"/>
              <w:bottom w:type="dxa" w:w="60"/>
              <w:right w:type="dxa" w:w="100"/>
            </w:tcMar>
          </w:tcPr>
          <w:p>
            <w:pPr>
              <w:spacing w:after="0"/>
              <w:jc w:val="right"/>
            </w:pPr>
            <w:r>
              <w:rPr>
                <w:b/>
                <w:bCs/>
                <w:color w:val="FFFFFF"/>
                <w:sz w:val="20"/>
                <w:szCs w:val="20"/>
              </w:rPr>
              <w:t xml:space="preserve">Debit</w:t>
            </w:r>
          </w:p>
        </w:tc>
        <w:tc>
          <w:tcPr>
            <w:tcW w:type="dxa" w:w="2300"/>
            <w:shd w:fill="3D4E66" w:val="clear"/>
            <w:tcMar>
              <w:top w:type="dxa" w:w="60"/>
              <w:left w:type="dxa" w:w="100"/>
              <w:bottom w:type="dxa" w:w="60"/>
              <w:right w:type="dxa" w:w="100"/>
            </w:tcMar>
          </w:tcPr>
          <w:p>
            <w:pPr>
              <w:spacing w:after="0"/>
              <w:jc w:val="right"/>
            </w:pPr>
            <w:r>
              <w:rPr>
                <w:b/>
                <w:bCs/>
                <w:color w:val="FFFFFF"/>
                <w:sz w:val="20"/>
                <w:szCs w:val="20"/>
              </w:rPr>
              <w:t xml:space="preserve">Credit</w:t>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Accounts receivable</w:t>
            </w:r>
          </w:p>
        </w:tc>
        <w:tc>
          <w:tcPr>
            <w:tcW w:type="dxa" w:w="2300"/>
            <w:tcMar>
              <w:top w:type="dxa" w:w="60"/>
              <w:left w:type="dxa" w:w="100"/>
              <w:bottom w:type="dxa" w:w="60"/>
              <w:right w:type="dxa" w:w="100"/>
            </w:tcMar>
          </w:tcPr>
          <w:p>
            <w:pPr>
              <w:spacing w:after="0"/>
              <w:jc w:val="right"/>
            </w:pPr>
            <w:r>
              <w:rPr>
                <w:b w:val="false"/>
                <w:bCs w:val="false"/>
                <w:sz w:val="20"/>
                <w:szCs w:val="20"/>
              </w:rPr>
              <w:t xml:space="preserve">5,646.32</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Sales discount / allowances</w:t>
            </w:r>
          </w:p>
        </w:tc>
        <w:tc>
          <w:tcPr>
            <w:tcW w:type="dxa" w:w="2300"/>
            <w:tcMar>
              <w:top w:type="dxa" w:w="60"/>
              <w:left w:type="dxa" w:w="100"/>
              <w:bottom w:type="dxa" w:w="60"/>
              <w:right w:type="dxa" w:w="100"/>
            </w:tcMar>
          </w:tcPr>
          <w:p>
            <w:pPr>
              <w:spacing w:after="0"/>
              <w:jc w:val="right"/>
            </w:pPr>
            <w:r>
              <w:rPr>
                <w:b w:val="false"/>
                <w:bCs w:val="false"/>
                <w:sz w:val="20"/>
                <w:szCs w:val="20"/>
              </w:rPr>
              <w:t xml:space="preserve">350.00</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Unloading charges (expense)</w:t>
            </w:r>
          </w:p>
        </w:tc>
        <w:tc>
          <w:tcPr>
            <w:tcW w:type="dxa" w:w="2300"/>
            <w:tcMar>
              <w:top w:type="dxa" w:w="60"/>
              <w:left w:type="dxa" w:w="100"/>
              <w:bottom w:type="dxa" w:w="60"/>
              <w:right w:type="dxa" w:w="100"/>
            </w:tcMar>
          </w:tcPr>
          <w:p>
            <w:pPr>
              <w:spacing w:after="0"/>
              <w:jc w:val="right"/>
            </w:pPr>
            <w:r>
              <w:rPr>
                <w:b w:val="false"/>
                <w:bCs w:val="false"/>
                <w:sz w:val="20"/>
                <w:szCs w:val="20"/>
              </w:rPr>
              <w:t xml:space="preserve">40.00</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Hardware sales revenue</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c>
          <w:tcPr>
            <w:tcW w:type="dxa" w:w="2300"/>
            <w:tcMar>
              <w:top w:type="dxa" w:w="60"/>
              <w:left w:type="dxa" w:w="100"/>
              <w:bottom w:type="dxa" w:w="60"/>
              <w:right w:type="dxa" w:w="100"/>
            </w:tcMar>
          </w:tcPr>
          <w:p>
            <w:pPr>
              <w:spacing w:after="0"/>
              <w:jc w:val="right"/>
            </w:pPr>
            <w:r>
              <w:rPr>
                <w:b w:val="false"/>
                <w:bCs w:val="false"/>
                <w:sz w:val="20"/>
                <w:szCs w:val="20"/>
              </w:rPr>
              <w:t xml:space="preserve">2,000.00</w:t>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Fittings sales revenue</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c>
          <w:tcPr>
            <w:tcW w:type="dxa" w:w="2300"/>
            <w:tcMar>
              <w:top w:type="dxa" w:w="60"/>
              <w:left w:type="dxa" w:w="100"/>
              <w:bottom w:type="dxa" w:w="60"/>
              <w:right w:type="dxa" w:w="100"/>
            </w:tcMar>
          </w:tcPr>
          <w:p>
            <w:pPr>
              <w:spacing w:after="0"/>
              <w:jc w:val="right"/>
            </w:pPr>
            <w:r>
              <w:rPr>
                <w:b w:val="false"/>
                <w:bCs w:val="false"/>
                <w:sz w:val="20"/>
                <w:szCs w:val="20"/>
              </w:rPr>
              <w:t xml:space="preserve">3,000.00</w:t>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Freight recovered</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c>
          <w:tcPr>
            <w:tcW w:type="dxa" w:w="2300"/>
            <w:tcMar>
              <w:top w:type="dxa" w:w="60"/>
              <w:left w:type="dxa" w:w="100"/>
              <w:bottom w:type="dxa" w:w="60"/>
              <w:right w:type="dxa" w:w="100"/>
            </w:tcMar>
          </w:tcPr>
          <w:p>
            <w:pPr>
              <w:spacing w:after="0"/>
              <w:jc w:val="right"/>
            </w:pPr>
            <w:r>
              <w:rPr>
                <w:b w:val="false"/>
                <w:bCs w:val="false"/>
                <w:sz w:val="20"/>
                <w:szCs w:val="20"/>
              </w:rPr>
              <w:t xml:space="preserve">100.00</w:t>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Labour charges recovered</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c>
          <w:tcPr>
            <w:tcW w:type="dxa" w:w="2300"/>
            <w:tcMar>
              <w:top w:type="dxa" w:w="60"/>
              <w:left w:type="dxa" w:w="100"/>
              <w:bottom w:type="dxa" w:w="60"/>
              <w:right w:type="dxa" w:w="100"/>
            </w:tcMar>
          </w:tcPr>
          <w:p>
            <w:pPr>
              <w:spacing w:after="0"/>
              <w:jc w:val="right"/>
            </w:pPr>
            <w:r>
              <w:rPr>
                <w:b w:val="false"/>
                <w:bCs w:val="false"/>
                <w:sz w:val="20"/>
                <w:szCs w:val="20"/>
              </w:rPr>
              <w:t xml:space="preserve">60.00</w:t>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Sales tax payable — 18% code</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c>
          <w:tcPr>
            <w:tcW w:type="dxa" w:w="2300"/>
            <w:tcMar>
              <w:top w:type="dxa" w:w="60"/>
              <w:left w:type="dxa" w:w="100"/>
              <w:bottom w:type="dxa" w:w="60"/>
              <w:right w:type="dxa" w:w="100"/>
            </w:tcMar>
          </w:tcPr>
          <w:p>
            <w:pPr>
              <w:spacing w:after="0"/>
              <w:jc w:val="right"/>
            </w:pPr>
            <w:r>
              <w:rPr>
                <w:b w:val="false"/>
                <w:bCs w:val="false"/>
                <w:sz w:val="20"/>
                <w:szCs w:val="20"/>
              </w:rPr>
              <w:t xml:space="preserve">335.15</w:t>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Sales tax payable — 17% code</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c>
          <w:tcPr>
            <w:tcW w:type="dxa" w:w="2300"/>
            <w:tcMar>
              <w:top w:type="dxa" w:w="60"/>
              <w:left w:type="dxa" w:w="100"/>
              <w:bottom w:type="dxa" w:w="60"/>
              <w:right w:type="dxa" w:w="100"/>
            </w:tcMar>
          </w:tcPr>
          <w:p>
            <w:pPr>
              <w:spacing w:after="0"/>
              <w:jc w:val="right"/>
            </w:pPr>
            <w:r>
              <w:rPr>
                <w:b w:val="false"/>
                <w:bCs w:val="false"/>
                <w:sz w:val="20"/>
                <w:szCs w:val="20"/>
              </w:rPr>
              <w:t xml:space="preserve">501.17</w:t>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Charges payable — unloading</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c>
          <w:tcPr>
            <w:tcW w:type="dxa" w:w="2300"/>
            <w:tcMar>
              <w:top w:type="dxa" w:w="60"/>
              <w:left w:type="dxa" w:w="100"/>
              <w:bottom w:type="dxa" w:w="60"/>
              <w:right w:type="dxa" w:w="100"/>
            </w:tcMar>
          </w:tcPr>
          <w:p>
            <w:pPr>
              <w:spacing w:after="0"/>
              <w:jc w:val="right"/>
            </w:pPr>
            <w:r>
              <w:rPr>
                <w:b w:val="false"/>
                <w:bCs w:val="false"/>
                <w:sz w:val="20"/>
                <w:szCs w:val="20"/>
              </w:rPr>
              <w:t xml:space="preserve">40.00</w:t>
            </w:r>
          </w:p>
        </w:tc>
      </w:tr>
    </w:tbl>
    <w:p>
      <w:pPr>
        <w:spacing w:after="160" w:before="160"/>
      </w:pPr>
      <w:r>
        <w:rPr>
          <w:i/>
          <w:iCs/>
        </w:rPr>
        <w:t xml:space="preserve">Totals: debits 6,036.32 = credits 6,036.32. Per line mode changes which sub-accounts receive the revenue and tax — it does not change the accounting model itself. Had Freight instead been set to Absorb into item values, the line Amounts would have become 2,040.00 and 3,060.00 (100.00 spread 40 / 60 by line value), the Freight recovered line would vanish, and gross revenue would carry the 100.00 — with the totals-panel memo row as the only remaining trace.</w:t>
      </w:r>
    </w:p>
    <w:p>
      <w:pPr>
        <w:pStyle w:val="Heading2"/>
        <w:spacing w:after="140" w:before="240"/>
      </w:pPr>
      <w:r>
        <w:rPr>
          <w:b/>
          <w:bCs/>
          <w:color w:val="3D4E66"/>
          <w:sz w:val="24"/>
          <w:szCs w:val="24"/>
        </w:rPr>
        <w:t xml:space="preserve">12.3 Example C — purchase invoice from a PO, withholding on the supplier</w:t>
      </w:r>
    </w:p>
    <w:p>
      <w:pPr>
        <w:spacing w:after="160" w:before="0"/>
      </w:pPr>
      <w:r>
        <w:t xml:space="preserve">A purchase invoice loaded from a purchase order (§4): goods 50,000.00, supplier’s freight 1,000.00 set to Absorb into item values — literal carriage inward, so inventory cost is 51,000.00 and the ST base is the same 51,000.00. Input sales tax 18% = 9,180.00; invoice gross 60,180.00. Apply withholding tax = On at 4% of the taxable value = 2,040.00, withheld from the supplier; further tax does not apply to purchases (§8).</w:t>
      </w:r>
    </w:p>
    <w:tbl>
      <w:tblPr>
        <w:tblW w:type="dxa" w:w="10080"/>
        <w:tblBorders>
          <w:top w:val="single" w:color="C8CDD4" w:sz="4"/>
          <w:left w:val="single" w:color="C8CDD4" w:sz="4"/>
          <w:bottom w:val="single" w:color="C8CDD4" w:sz="4"/>
          <w:right w:val="single" w:color="C8CDD4" w:sz="4"/>
          <w:insideH w:val="single" w:color="C8CDD4" w:sz="4"/>
          <w:insideV w:val="single" w:color="C8CDD4" w:sz="4"/>
        </w:tblBorders>
      </w:tblPr>
      <w:tblGrid>
        <w:gridCol w:w="5480"/>
        <w:gridCol w:w="2300"/>
        <w:gridCol w:w="2300"/>
      </w:tblGrid>
      <w:tr>
        <w:trPr>
          <w:tblHeader/>
        </w:trPr>
        <w:tc>
          <w:tcPr>
            <w:tcW w:type="dxa" w:w="5480"/>
            <w:shd w:fill="3D4E66" w:val="clear"/>
            <w:tcMar>
              <w:top w:type="dxa" w:w="60"/>
              <w:left w:type="dxa" w:w="100"/>
              <w:bottom w:type="dxa" w:w="60"/>
              <w:right w:type="dxa" w:w="100"/>
            </w:tcMar>
          </w:tcPr>
          <w:p>
            <w:pPr>
              <w:spacing w:after="0"/>
              <w:jc w:val="left"/>
            </w:pPr>
            <w:r>
              <w:rPr>
                <w:b/>
                <w:bCs/>
                <w:color w:val="FFFFFF"/>
                <w:sz w:val="20"/>
                <w:szCs w:val="20"/>
              </w:rPr>
              <w:t xml:space="preserve">GL account</w:t>
            </w:r>
          </w:p>
        </w:tc>
        <w:tc>
          <w:tcPr>
            <w:tcW w:type="dxa" w:w="2300"/>
            <w:shd w:fill="3D4E66" w:val="clear"/>
            <w:tcMar>
              <w:top w:type="dxa" w:w="60"/>
              <w:left w:type="dxa" w:w="100"/>
              <w:bottom w:type="dxa" w:w="60"/>
              <w:right w:type="dxa" w:w="100"/>
            </w:tcMar>
          </w:tcPr>
          <w:p>
            <w:pPr>
              <w:spacing w:after="0"/>
              <w:jc w:val="right"/>
            </w:pPr>
            <w:r>
              <w:rPr>
                <w:b/>
                <w:bCs/>
                <w:color w:val="FFFFFF"/>
                <w:sz w:val="20"/>
                <w:szCs w:val="20"/>
              </w:rPr>
              <w:t xml:space="preserve">Debit</w:t>
            </w:r>
          </w:p>
        </w:tc>
        <w:tc>
          <w:tcPr>
            <w:tcW w:type="dxa" w:w="2300"/>
            <w:shd w:fill="3D4E66" w:val="clear"/>
            <w:tcMar>
              <w:top w:type="dxa" w:w="60"/>
              <w:left w:type="dxa" w:w="100"/>
              <w:bottom w:type="dxa" w:w="60"/>
              <w:right w:type="dxa" w:w="100"/>
            </w:tcMar>
          </w:tcPr>
          <w:p>
            <w:pPr>
              <w:spacing w:after="0"/>
              <w:jc w:val="right"/>
            </w:pPr>
            <w:r>
              <w:rPr>
                <w:b/>
                <w:bCs/>
                <w:color w:val="FFFFFF"/>
                <w:sz w:val="20"/>
                <w:szCs w:val="20"/>
              </w:rPr>
              <w:t xml:space="preserve">Credit</w:t>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Inventory (goods incl. absorbed freight)</w:t>
            </w:r>
          </w:p>
        </w:tc>
        <w:tc>
          <w:tcPr>
            <w:tcW w:type="dxa" w:w="2300"/>
            <w:tcMar>
              <w:top w:type="dxa" w:w="60"/>
              <w:left w:type="dxa" w:w="100"/>
              <w:bottom w:type="dxa" w:w="60"/>
              <w:right w:type="dxa" w:w="100"/>
            </w:tcMar>
          </w:tcPr>
          <w:p>
            <w:pPr>
              <w:spacing w:after="0"/>
              <w:jc w:val="right"/>
            </w:pPr>
            <w:r>
              <w:rPr>
                <w:b w:val="false"/>
                <w:bCs w:val="false"/>
                <w:sz w:val="20"/>
                <w:szCs w:val="20"/>
              </w:rPr>
              <w:t xml:space="preserve">51,000.00</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Input sales tax receivable</w:t>
            </w:r>
          </w:p>
        </w:tc>
        <w:tc>
          <w:tcPr>
            <w:tcW w:type="dxa" w:w="2300"/>
            <w:tcMar>
              <w:top w:type="dxa" w:w="60"/>
              <w:left w:type="dxa" w:w="100"/>
              <w:bottom w:type="dxa" w:w="60"/>
              <w:right w:type="dxa" w:w="100"/>
            </w:tcMar>
          </w:tcPr>
          <w:p>
            <w:pPr>
              <w:spacing w:after="0"/>
              <w:jc w:val="right"/>
            </w:pPr>
            <w:r>
              <w:rPr>
                <w:b w:val="false"/>
                <w:bCs w:val="false"/>
                <w:sz w:val="20"/>
                <w:szCs w:val="20"/>
              </w:rPr>
              <w:t xml:space="preserve">9,180.00</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Accounts payable — supplier (net)</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c>
          <w:tcPr>
            <w:tcW w:type="dxa" w:w="2300"/>
            <w:tcMar>
              <w:top w:type="dxa" w:w="60"/>
              <w:left w:type="dxa" w:w="100"/>
              <w:bottom w:type="dxa" w:w="60"/>
              <w:right w:type="dxa" w:w="100"/>
            </w:tcMar>
          </w:tcPr>
          <w:p>
            <w:pPr>
              <w:spacing w:after="0"/>
              <w:jc w:val="right"/>
            </w:pPr>
            <w:r>
              <w:rPr>
                <w:b w:val="false"/>
                <w:bCs w:val="false"/>
                <w:sz w:val="20"/>
                <w:szCs w:val="20"/>
              </w:rPr>
              <w:t xml:space="preserve">58,140.00</w:t>
            </w:r>
          </w:p>
        </w:tc>
      </w:tr>
      <w:tr>
        <w:tc>
          <w:tcPr>
            <w:tcW w:type="dxa" w:w="5480"/>
            <w:tcMar>
              <w:top w:type="dxa" w:w="60"/>
              <w:left w:type="dxa" w:w="100"/>
              <w:bottom w:type="dxa" w:w="60"/>
              <w:right w:type="dxa" w:w="100"/>
            </w:tcMar>
          </w:tcPr>
          <w:p>
            <w:pPr>
              <w:spacing w:after="0"/>
              <w:jc w:val="left"/>
            </w:pPr>
            <w:r>
              <w:rPr>
                <w:b w:val="false"/>
                <w:bCs w:val="false"/>
                <w:sz w:val="20"/>
                <w:szCs w:val="20"/>
              </w:rPr>
              <w:t xml:space="preserve">Withholding tax payable</w:t>
            </w:r>
          </w:p>
        </w:tc>
        <w:tc>
          <w:tcPr>
            <w:tcW w:type="dxa" w:w="2300"/>
            <w:tcMar>
              <w:top w:type="dxa" w:w="60"/>
              <w:left w:type="dxa" w:w="100"/>
              <w:bottom w:type="dxa" w:w="60"/>
              <w:right w:type="dxa" w:w="100"/>
            </w:tcMar>
          </w:tcPr>
          <w:p>
            <w:pPr>
              <w:spacing w:after="0"/>
              <w:jc w:val="right"/>
            </w:pPr>
            <w:r>
              <w:rPr>
                <w:b w:val="false"/>
                <w:bCs w:val="false"/>
                <w:sz w:val="20"/>
                <w:szCs w:val="20"/>
              </w:rPr>
              <w:t xml:space="preserve"/>
            </w:r>
          </w:p>
        </w:tc>
        <w:tc>
          <w:tcPr>
            <w:tcW w:type="dxa" w:w="2300"/>
            <w:tcMar>
              <w:top w:type="dxa" w:w="60"/>
              <w:left w:type="dxa" w:w="100"/>
              <w:bottom w:type="dxa" w:w="60"/>
              <w:right w:type="dxa" w:w="100"/>
            </w:tcMar>
          </w:tcPr>
          <w:p>
            <w:pPr>
              <w:spacing w:after="0"/>
              <w:jc w:val="right"/>
            </w:pPr>
            <w:r>
              <w:rPr>
                <w:b w:val="false"/>
                <w:bCs w:val="false"/>
                <w:sz w:val="20"/>
                <w:szCs w:val="20"/>
              </w:rPr>
              <w:t xml:space="preserve">2,040.00</w:t>
            </w:r>
          </w:p>
        </w:tc>
      </w:tr>
    </w:tbl>
    <w:p>
      <w:pPr>
        <w:spacing w:after="160" w:before="160"/>
      </w:pPr>
      <w:r>
        <w:rPr>
          <w:i/>
          <w:iCs/>
        </w:rPr>
        <w:t xml:space="preserve">Totals: debits 60,180.00 = credits 60,180.00. The mirror of §12.1 is exact: input tax is a receivable where output tax was a payable, and withholding flips from an asset (customer withheld from us) to a liability (we withhold from the supplier, then deposit it). The supplier is paid 58,140.00; the 2,040.00 goes to the tax authority against the supplier’s income tax.</w:t>
      </w:r>
    </w:p>
    <w:p>
      <w:pPr>
        <w:pStyle w:val="Heading1"/>
        <w:spacing w:after="160" w:before="320"/>
      </w:pPr>
      <w:r>
        <w:rPr>
          <w:b/>
          <w:bCs/>
          <w:color w:val="1F2A3C"/>
          <w:sz w:val="28"/>
          <w:szCs w:val="28"/>
        </w:rPr>
        <w:t xml:space="preserve">13. Design checklist</w:t>
      </w:r>
    </w:p>
    <w:p>
      <w:pPr>
        <w:pStyle w:val="ListParagraph"/>
        <w:numPr>
          <w:ilvl w:val="0"/>
          <w:numId w:val="2"/>
        </w:numPr>
        <w:spacing w:after="100"/>
      </w:pPr>
      <w:r>
        <w:t xml:space="preserve">Header/partner/transport fields are entered once and never repeat per line; the same block serves sales and purchase documents with roles mirrored (§2.4).</w:t>
      </w:r>
    </w:p>
    <w:p>
      <w:pPr>
        <w:pStyle w:val="ListParagraph"/>
        <w:numPr>
          <w:ilvl w:val="0"/>
          <w:numId w:val="2"/>
        </w:numPr>
        <w:spacing w:after="100"/>
      </w:pPr>
      <w:r>
        <w:t xml:space="preserve">Invoice creation always offers two sources — load from open orders (multi-select, per-line partial quantities capped at the uninvoiced or received balance) or start blank; loading copies lines, prices, discounts, charges and tax settings, prorating order-level pools to the loaded share.</w:t>
      </w:r>
    </w:p>
    <w:p>
      <w:pPr>
        <w:pStyle w:val="ListParagraph"/>
        <w:numPr>
          <w:ilvl w:val="0"/>
          <w:numId w:val="2"/>
        </w:numPr>
        <w:spacing w:after="100"/>
      </w:pPr>
      <w:r>
        <w:t xml:space="preserve">Order-sourced invoices carry the Order ref column and write back invoiced quantities and status (Open → Partially → Fully invoiced); deleting or crediting restores balances; blank invoices carry no link and no column.</w:t>
      </w:r>
    </w:p>
    <w:p>
      <w:pPr>
        <w:pStyle w:val="ListParagraph"/>
        <w:numPr>
          <w:ilvl w:val="0"/>
          <w:numId w:val="2"/>
        </w:numPr>
        <w:spacing w:after="100"/>
      </w:pPr>
      <w:r>
        <w:t xml:space="preserve">Discount and Tax each get an independent Combined / Per line toggle; Additional charges get a scope per charge — never gate one section on another.</w:t>
      </w:r>
    </w:p>
    <w:p>
      <w:pPr>
        <w:pStyle w:val="ListParagraph"/>
        <w:numPr>
          <w:ilvl w:val="0"/>
          <w:numId w:val="2"/>
        </w:numPr>
        <w:spacing w:after="100"/>
      </w:pPr>
      <w:r>
        <w:t xml:space="preserve">Grid columns appear only for the sections actually in Per line / Per item mode — no dead, always-zero columns; the Add. charges column is the per-line sum of all per-item charges, with a breakdown popover to reconcile it.</w:t>
      </w:r>
    </w:p>
    <w:p>
      <w:pPr>
        <w:pStyle w:val="ListParagraph"/>
        <w:numPr>
          <w:ilvl w:val="0"/>
          <w:numId w:val="2"/>
        </w:numPr>
        <w:spacing w:after="100"/>
      </w:pPr>
      <w:r>
        <w:t xml:space="preserve">Every additional charge is picked from a chart-of-accounts ledger and carries its own scope, distribution, treatment (bill / absorb / expense-only) and tax-base switches; on purchases, absorb = carriage inward into item cost.</w:t>
      </w:r>
    </w:p>
    <w:p>
      <w:pPr>
        <w:pStyle w:val="ListParagraph"/>
        <w:numPr>
          <w:ilvl w:val="0"/>
          <w:numId w:val="2"/>
        </w:numPr>
        <w:spacing w:after="100"/>
      </w:pPr>
      <w:r>
        <w:t xml:space="preserve">Every charge — billed, absorbed or expense-only — is itemised in the totals panel directly below the Sales tax line.</w:t>
      </w:r>
    </w:p>
    <w:p>
      <w:pPr>
        <w:pStyle w:val="ListParagraph"/>
        <w:numPr>
          <w:ilvl w:val="0"/>
          <w:numId w:val="2"/>
        </w:numPr>
        <w:spacing w:after="100"/>
      </w:pPr>
      <w:r>
        <w:t xml:space="preserve">Apply further tax and Apply withholding tax are per-document switches: further tax is always computed on the sales-tax base (no base switches of its own) and exists on sales only; withholding books as a receivable on sales and a payable on purchases, never as an expense.</w:t>
      </w:r>
    </w:p>
    <w:p>
      <w:pPr>
        <w:pStyle w:val="ListParagraph"/>
        <w:numPr>
          <w:ilvl w:val="0"/>
          <w:numId w:val="2"/>
        </w:numPr>
        <w:spacing w:after="100"/>
      </w:pPr>
      <w:r>
        <w:t xml:space="preserve">All configuration lives in the right-hand Additional Settings slide-over: four accordion sections, exactly one open at a time, collapsed headers showing live value summaries.</w:t>
      </w:r>
    </w:p>
    <w:p>
      <w:pPr>
        <w:pStyle w:val="ListParagraph"/>
        <w:numPr>
          <w:ilvl w:val="0"/>
          <w:numId w:val="2"/>
        </w:numPr>
        <w:spacing w:after="100"/>
      </w:pPr>
      <w:r>
        <w:t xml:space="preserve">Switching a section from Per line/Manual back to Combined seeds the combined field from the rollup total, never resets it to zero; manual values are retained until save.</w:t>
      </w:r>
    </w:p>
    <w:p>
      <w:pPr>
        <w:pStyle w:val="ListParagraph"/>
        <w:numPr>
          <w:ilvl w:val="0"/>
          <w:numId w:val="2"/>
        </w:numPr>
        <w:spacing w:after="100"/>
      </w:pPr>
      <w:r>
        <w:t xml:space="preserve">Administrator Invoice Settings hold per-ledger charge defaults, tax application defaults and rates, over-invoicing tolerance, and field visibility; documents inherit them and may override per document.</w:t>
      </w:r>
    </w:p>
    <w:p>
      <w:pPr>
        <w:pStyle w:val="ListParagraph"/>
        <w:numPr>
          <w:ilvl w:val="0"/>
          <w:numId w:val="2"/>
        </w:numPr>
        <w:spacing w:after="100"/>
      </w:pPr>
      <w:r>
        <w:t xml:space="preserve">Recalculate the full chain — subtotal → discount → charge splits → tax bases → taxes → net payable — on every edit, and force rounding residuals onto the last line so the printed document always foots correctly.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abdeabf65e35d7f2215daef5e2fb27b6668b7ce.png"/><Relationship Id="rId8" Type="http://schemas.openxmlformats.org/officeDocument/2006/relationships/image" Target="media/74833fe1350c5f4913c69c9869d4cb117b061a46.png"/><Relationship Id="rId9" Type="http://schemas.openxmlformats.org/officeDocument/2006/relationships/image" Target="media/d87a8b817841194c8fa6ffe7a13dca7089c5cf74.png"/><Relationship Id="rId10" Type="http://schemas.openxmlformats.org/officeDocument/2006/relationships/image" Target="media/755e9a51a9c1416f0d5716c0d45d13e56707724c.png"/><Relationship Id="rId11" Type="http://schemas.openxmlformats.org/officeDocument/2006/relationships/image" Target="media/571a3da4c0fdddfd84690fca1ad82e70d43d61f3.png"/><Relationship Id="rId12" Type="http://schemas.openxmlformats.org/officeDocument/2006/relationships/image" Target="media/22a824ca2275509968e36d99fb5abafa5ad3b182.png"/><Relationship Id="rId13" Type="http://schemas.openxmlformats.org/officeDocument/2006/relationships/image" Target="media/d44174aaba63776af25203e59ed95ae0fac8cf1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2026-07-24T10:52:38.306Z</dcterms:created>
  <dcterms:modified xsi:type="dcterms:W3CDTF">2026-07-24T10:52:38.309Z</dcterms:modified>
</cp:coreProperties>
</file>

<file path=docProps/custom.xml><?xml version="1.0" encoding="utf-8"?>
<Properties xmlns="http://schemas.openxmlformats.org/officeDocument/2006/custom-properties" xmlns:vt="http://schemas.openxmlformats.org/officeDocument/2006/docPropsVTypes"/>
</file>