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Standard Operating Procedure – Accounts Payable Processing</w:t>
      </w:r>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t>Document Title</w:t>
            </w:r>
          </w:p>
        </w:tc>
        <w:tc>
          <w:tcPr>
            <w:tcW w:type="dxa" w:w="4320"/>
          </w:tcPr>
          <w:p>
            <w:r>
              <w:t>Accounts Payable Processing SOP</w:t>
            </w:r>
          </w:p>
        </w:tc>
      </w:tr>
      <w:tr>
        <w:tc>
          <w:tcPr>
            <w:tcW w:type="dxa" w:w="4320"/>
          </w:tcPr>
          <w:p>
            <w:r>
              <w:t>Document Number</w:t>
            </w:r>
          </w:p>
        </w:tc>
        <w:tc>
          <w:tcPr>
            <w:tcW w:type="dxa" w:w="4320"/>
          </w:tcPr>
          <w:p>
            <w:r>
              <w:t>AP-SOP-001</w:t>
            </w:r>
          </w:p>
        </w:tc>
      </w:tr>
      <w:tr>
        <w:tc>
          <w:tcPr>
            <w:tcW w:type="dxa" w:w="4320"/>
          </w:tcPr>
          <w:p>
            <w:r>
              <w:t>Version</w:t>
            </w:r>
          </w:p>
        </w:tc>
        <w:tc>
          <w:tcPr>
            <w:tcW w:type="dxa" w:w="4320"/>
          </w:tcPr>
          <w:p>
            <w:r>
              <w:t>2.1</w:t>
            </w:r>
          </w:p>
        </w:tc>
      </w:tr>
      <w:tr>
        <w:tc>
          <w:tcPr>
            <w:tcW w:type="dxa" w:w="4320"/>
          </w:tcPr>
          <w:p>
            <w:r>
              <w:t>Effective Date</w:t>
            </w:r>
          </w:p>
        </w:tc>
        <w:tc>
          <w:tcPr>
            <w:tcW w:type="dxa" w:w="4320"/>
          </w:tcPr>
          <w:p>
            <w:r>
              <w:t>January 1, 2025</w:t>
            </w:r>
          </w:p>
        </w:tc>
      </w:tr>
      <w:tr>
        <w:tc>
          <w:tcPr>
            <w:tcW w:type="dxa" w:w="4320"/>
          </w:tcPr>
          <w:p>
            <w:r>
              <w:t>Document Owner</w:t>
            </w:r>
          </w:p>
        </w:tc>
        <w:tc>
          <w:tcPr>
            <w:tcW w:type="dxa" w:w="4320"/>
          </w:tcPr>
          <w:p>
            <w:r>
              <w:t>VP of Finance</w:t>
            </w:r>
          </w:p>
        </w:tc>
      </w:tr>
    </w:tbl>
    <w:p/>
    <w:p>
      <w:pPr>
        <w:pStyle w:val="Heading1"/>
      </w:pPr>
      <w:r>
        <w:t>Purpose</w:t>
      </w:r>
    </w:p>
    <w:p>
      <w:r>
        <w:t>This document defines the standard operating procedure for processing vendor invoices within the Accounts Payable department at Datawebify Corp. The objective is to ensure timely, accurate, and fully auditable payment of all legitimate vendor claims while maintaining compliance with internal financial controls and external regulatory requirements. This SOP eliminates manual errors, reduces processing time, and creates a transparent audit trail for every invoice from receipt through payment.</w:t>
      </w:r>
    </w:p>
    <w:p>
      <w:pPr>
        <w:pStyle w:val="Heading1"/>
      </w:pPr>
      <w:r>
        <w:t>Scope</w:t>
      </w:r>
    </w:p>
    <w:p>
      <w:r>
        <w:t>This procedure applies to all Accounts Payable staff, finance managers, procurement officers, and department heads who are responsible for approving expenditures above $500. It covers the full invoice lifecycle: receipt of invoices via email or portal upload, automated data extraction, three-way matching against purchase orders and goods receipt notes, exception handling and escalation, approval routing based on amount thresholds, ERP synchronization, and scheduled payment disbursement. This procedure does not apply to payroll processing, employee expense reimbursements, or inter-company transactions, which are governed by separate SOPs.</w:t>
      </w:r>
    </w:p>
    <w:p>
      <w:pPr>
        <w:pStyle w:val="Heading1"/>
      </w:pPr>
      <w:r>
        <w:t>Definitions</w:t>
      </w:r>
    </w:p>
    <w:p>
      <w:pPr/>
      <w:r>
        <w:rPr>
          <w:b/>
        </w:rPr>
        <w:t xml:space="preserve">Invoice: </w:t>
      </w:r>
      <w:r>
        <w:t>A commercial document issued by a vendor requesting payment for goods or services delivered, including line-item detail, quantities, unit prices, and total amount due.</w:t>
      </w:r>
    </w:p>
    <w:p>
      <w:pPr/>
      <w:r>
        <w:rPr>
          <w:b/>
        </w:rPr>
        <w:t xml:space="preserve">Purchase Order (PO): </w:t>
      </w:r>
      <w:r>
        <w:t>An authorized document issued by the procurement department committing the company to purchase specified goods or services at agreed terms from a vendor.</w:t>
      </w:r>
    </w:p>
    <w:p>
      <w:pPr/>
      <w:r>
        <w:rPr>
          <w:b/>
        </w:rPr>
        <w:t xml:space="preserve">Goods Receipt Note (GRN): </w:t>
      </w:r>
      <w:r>
        <w:t>An internal document confirming that ordered goods or services have been physically received and accepted by the relevant department.</w:t>
      </w:r>
    </w:p>
    <w:p>
      <w:pPr/>
      <w:r>
        <w:rPr>
          <w:b/>
        </w:rPr>
        <w:t xml:space="preserve">Three-Way Match: </w:t>
      </w:r>
      <w:r>
        <w:t>The reconciliation process that compares the vendor invoice, the purchase order, and the goods receipt note to verify alignment before authorizing payment.</w:t>
      </w:r>
    </w:p>
    <w:p>
      <w:pPr/>
      <w:r>
        <w:rPr>
          <w:b/>
        </w:rPr>
        <w:t xml:space="preserve">GL Account: </w:t>
      </w:r>
      <w:r>
        <w:t>General Ledger account code used to categorize and record financial transactions in the company ERP system.</w:t>
      </w:r>
    </w:p>
    <w:p>
      <w:pPr/>
      <w:r>
        <w:rPr>
          <w:b/>
        </w:rPr>
        <w:t xml:space="preserve">Exception: </w:t>
      </w:r>
      <w:r>
        <w:t>Any invoice that fails validation due to mismatched amounts, missing PO references, duplicate submission, or data extraction errors.</w:t>
      </w:r>
    </w:p>
    <w:p>
      <w:pPr/>
      <w:r>
        <w:rPr>
          <w:b/>
        </w:rPr>
        <w:t xml:space="preserve">ERP Sync: </w:t>
      </w:r>
      <w:r>
        <w:t>The automated transfer of validated and approved invoice data into the company Enterprise Resource Planning system for financial reporting and payment processing.</w:t>
      </w:r>
    </w:p>
    <w:p>
      <w:pPr>
        <w:pStyle w:val="Heading1"/>
      </w:pPr>
      <w:r>
        <w:t>Responsibilities</w:t>
      </w:r>
    </w:p>
    <w:p>
      <w:pPr/>
      <w:r>
        <w:rPr>
          <w:b/>
        </w:rPr>
        <w:t xml:space="preserve">AP Clerk: </w:t>
      </w:r>
      <w:r>
        <w:t>Receives and logs all incoming invoices. Uploads documents to the AP portal. Reviews automated extraction output for obvious errors. Escalates exceptions to the AP Supervisor.</w:t>
      </w:r>
    </w:p>
    <w:p>
      <w:pPr/>
      <w:r>
        <w:rPr>
          <w:b/>
        </w:rPr>
        <w:t xml:space="preserve">AP Supervisor: </w:t>
      </w:r>
      <w:r>
        <w:t>Reviews flagged exceptions and partial matches. Approves invoices between $500 and $4,999. Coordinates with procurement for PO discrepancies.</w:t>
      </w:r>
    </w:p>
    <w:p>
      <w:pPr/>
      <w:r>
        <w:rPr>
          <w:b/>
        </w:rPr>
        <w:t xml:space="preserve">Finance Manager: </w:t>
      </w:r>
      <w:r>
        <w:t>Reviews and approves invoices between $5,000 and $49,999. Monitors three-way match exception rates. Submits weekly AP status reports to the VP of Finance.</w:t>
      </w:r>
    </w:p>
    <w:p>
      <w:pPr/>
      <w:r>
        <w:rPr>
          <w:b/>
        </w:rPr>
        <w:t xml:space="preserve">VP of Finance: </w:t>
      </w:r>
      <w:r>
        <w:t>Final approval authority for invoices exceeding $50,000 or flagged as high-risk. Responsible for policy updates and audit readiness.</w:t>
      </w:r>
    </w:p>
    <w:p>
      <w:pPr/>
      <w:r>
        <w:rPr>
          <w:b/>
        </w:rPr>
        <w:t xml:space="preserve">Procurement Officer: </w:t>
      </w:r>
      <w:r>
        <w:t>Maintains the purchase order master register. Resolves vendor disputes related to PO terms and pricing discrepancies.</w:t>
      </w:r>
    </w:p>
    <w:p>
      <w:pPr/>
      <w:r>
        <w:rPr>
          <w:b/>
        </w:rPr>
        <w:t xml:space="preserve">IT / System Administrator: </w:t>
      </w:r>
      <w:r>
        <w:t>Maintains the AP automation system, API integrations, and ERP sync pipelines. Responds to system outages within four business hours.</w:t>
      </w:r>
    </w:p>
    <w:p>
      <w:pPr>
        <w:pStyle w:val="Heading1"/>
      </w:pPr>
      <w:r>
        <w:t>Procedure</w:t>
      </w:r>
    </w:p>
    <w:p>
      <w:pPr>
        <w:pStyle w:val="Heading2"/>
      </w:pPr>
      <w:r>
        <w:t>Step 1 – Invoice Receipt</w:t>
      </w:r>
    </w:p>
    <w:p>
      <w:r>
        <w:t>All vendor invoices must be submitted to the designated AP inbox (ap@datawebify.com) or uploaded directly through the AP portal at ap.datawebify.com. Paper invoices received by mail must be scanned and uploaded within one business day of receipt. Invoices submitted via any other channel will not be processed until formally re-submitted through an approved channel.</w:t>
      </w:r>
    </w:p>
    <w:p>
      <w:pPr>
        <w:pStyle w:val="Heading2"/>
      </w:pPr>
      <w:r>
        <w:t>Step 2 – Automated Data Extraction</w:t>
      </w:r>
    </w:p>
    <w:p>
      <w:r>
        <w:t>Upon receipt, the AP automation system extracts key fields: vendor name, vendor ID, invoice number, invoice date, due date, currency, line items with quantities and unit prices, subtotal, tax, and total amount due. Extraction is performed using a GPT-4o vision model trained on invoice layouts. The system assigns a confidence score to each extracted field. Fields with confidence below 85% are flagged for manual verification by the AP Clerk before proceeding.</w:t>
      </w:r>
    </w:p>
    <w:p>
      <w:pPr>
        <w:pStyle w:val="Heading2"/>
      </w:pPr>
      <w:r>
        <w:t>Step 3 – Three-Way Match</w:t>
      </w:r>
    </w:p>
    <w:p>
      <w:r>
        <w:t>The system automatically matches the extracted invoice data against the corresponding purchase order and goods receipt note retrieved from the ERP. A match is considered successful when: the vendor ID matches the PO vendor, the invoice total is within 2% of the PO total, and all line items appear on the GRN. Invoices that pass three-way match proceed automatically to approval routing. Invoices that fail are routed to the exception queue with a mismatch reason code.</w:t>
      </w:r>
    </w:p>
    <w:p>
      <w:pPr>
        <w:pStyle w:val="Heading2"/>
      </w:pPr>
      <w:r>
        <w:t>Step 4 – Exception Handling</w:t>
      </w:r>
    </w:p>
    <w:p>
      <w:r>
        <w:t>Exceptions are reviewed by the AP Supervisor within one business day. Common exception types include: PO not found, quantity mismatch, price variance exceeding tolerance, duplicate invoice detected, and vendor not in master register. The supervisor either resolves the exception with supporting documentation or rejects the invoice and notifies the vendor with a reason code within two business days.</w:t>
      </w:r>
    </w:p>
    <w:p>
      <w:pPr>
        <w:pStyle w:val="Heading2"/>
      </w:pPr>
      <w:r>
        <w:t>Step 5 – Approval Routing</w:t>
      </w:r>
    </w:p>
    <w:p>
      <w:r>
        <w:t>Validated invoices are routed to the appropriate approver based on amount thresholds defined in the Responsibilities section. Approvers receive an email notification with a one-click approval link. Invoices not actioned within three business days are automatically escalated to the next approval level. All approval decisions are logged with a timestamp and approver ID in the audit trail.</w:t>
      </w:r>
    </w:p>
    <w:p>
      <w:pPr>
        <w:pStyle w:val="Heading2"/>
      </w:pPr>
      <w:r>
        <w:t>Step 6 – ERP Synchronization</w:t>
      </w:r>
    </w:p>
    <w:p>
      <w:r>
        <w:t>Approved invoices are automatically synced to the ERP system within 15 minutes of final approval. The sync includes all validated invoice fields, the assigned GL account code, cost center, and payment terms. Sync failures trigger an automatic retry up to three times before alerting the IT administrator.</w:t>
      </w:r>
    </w:p>
    <w:p>
      <w:pPr>
        <w:pStyle w:val="Heading2"/>
      </w:pPr>
      <w:r>
        <w:t>Step 7 – Payment Scheduling</w:t>
      </w:r>
    </w:p>
    <w:p>
      <w:r>
        <w:t>The payment scheduler retrieves all ERP-synced invoices daily at 6:00 AM UTC and schedules payments according to vendor payment terms (Net 30, Net 60, or early payment discount terms). Payment batches are reviewed by the Finance Manager before release. Emergency payments outside the standard schedule require written approval from the VP of Finance.</w:t>
      </w:r>
    </w:p>
    <w:p>
      <w:pPr>
        <w:pStyle w:val="Heading1"/>
      </w:pPr>
      <w:r>
        <w:t>Records</w:t>
      </w:r>
    </w:p>
    <w:p>
      <w:r>
        <w:t>All processed invoices, extraction outputs, three-way match results, exception logs, approval records, ERP sync confirmations, and payment schedules must be retained for a minimum of seven years in compliance with financial regulatory requirements. Records are stored in the Supabase document repository with automated daily backups. Access to financial records is restricted to authorized AP staff, Finance team members, and external auditors under a signed NDA. Physical documents must be stored in a locked filing cabinet and destroyed via certified shredding after the retention period expires.</w:t>
      </w:r>
    </w:p>
    <w:p>
      <w:pPr>
        <w:pStyle w:val="Heading1"/>
      </w:pPr>
      <w:r>
        <w:t>References</w:t>
      </w:r>
    </w:p>
    <w:p>
      <w:pPr/>
      <w:r>
        <w:t>• Company Financial Policy v3.2 – Internal Controls and Expenditure Authorization</w:t>
      </w:r>
    </w:p>
    <w:p>
      <w:pPr/>
      <w:r>
        <w:t>• Vendor Master Data Management Guide v1.4</w:t>
      </w:r>
    </w:p>
    <w:p>
      <w:pPr/>
      <w:r>
        <w:t>• AP Automation System User Manual v2.0 – Datawebify</w:t>
      </w:r>
    </w:p>
    <w:p>
      <w:pPr/>
      <w:r>
        <w:t>• ERP Integration Technical Specification v1.1</w:t>
      </w:r>
    </w:p>
    <w:p>
      <w:pPr/>
      <w:r>
        <w:t>• IFRS 9 – Financial Instruments (applicable to payment terms recognition)</w:t>
      </w:r>
    </w:p>
    <w:p>
      <w:pPr/>
      <w:r>
        <w:t>• Sarbanes-Oxley Act Section 404 – Internal Controls over Financial Reporting</w:t>
      </w:r>
    </w:p>
    <w:p>
      <w:pPr/>
      <w:r>
        <w:t>• ISO 27001 – Information Security Management (data handling requirements)</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Description of Change</w:t>
            </w:r>
          </w:p>
        </w:tc>
      </w:tr>
      <w:tr>
        <w:tc>
          <w:tcPr>
            <w:tcW w:type="dxa" w:w="2160"/>
          </w:tcPr>
          <w:p>
            <w:r>
              <w:t>1.0</w:t>
            </w:r>
          </w:p>
        </w:tc>
        <w:tc>
          <w:tcPr>
            <w:tcW w:type="dxa" w:w="2160"/>
          </w:tcPr>
          <w:p>
            <w:r>
              <w:t>January 2024</w:t>
            </w:r>
          </w:p>
        </w:tc>
        <w:tc>
          <w:tcPr>
            <w:tcW w:type="dxa" w:w="2160"/>
          </w:tcPr>
          <w:p>
            <w:r>
              <w:t>M. Umair</w:t>
            </w:r>
          </w:p>
        </w:tc>
        <w:tc>
          <w:tcPr>
            <w:tcW w:type="dxa" w:w="2160"/>
          </w:tcPr>
          <w:p>
            <w:r>
              <w:t>Initial release of AP SOP</w:t>
            </w:r>
          </w:p>
        </w:tc>
      </w:tr>
      <w:tr>
        <w:tc>
          <w:tcPr>
            <w:tcW w:type="dxa" w:w="2160"/>
          </w:tcPr>
          <w:p>
            <w:r>
              <w:t>1.1</w:t>
            </w:r>
          </w:p>
        </w:tc>
        <w:tc>
          <w:tcPr>
            <w:tcW w:type="dxa" w:w="2160"/>
          </w:tcPr>
          <w:p>
            <w:r>
              <w:t>March 2024</w:t>
            </w:r>
          </w:p>
        </w:tc>
        <w:tc>
          <w:tcPr>
            <w:tcW w:type="dxa" w:w="2160"/>
          </w:tcPr>
          <w:p>
            <w:r>
              <w:t>M. Umair</w:t>
            </w:r>
          </w:p>
        </w:tc>
        <w:tc>
          <w:tcPr>
            <w:tcW w:type="dxa" w:w="2160"/>
          </w:tcPr>
          <w:p>
            <w:r>
              <w:t>Added three-way match requirement and exception codes</w:t>
            </w:r>
          </w:p>
        </w:tc>
      </w:tr>
      <w:tr>
        <w:tc>
          <w:tcPr>
            <w:tcW w:type="dxa" w:w="2160"/>
          </w:tcPr>
          <w:p>
            <w:r>
              <w:t>1.2</w:t>
            </w:r>
          </w:p>
        </w:tc>
        <w:tc>
          <w:tcPr>
            <w:tcW w:type="dxa" w:w="2160"/>
          </w:tcPr>
          <w:p>
            <w:r>
              <w:t>June 2024</w:t>
            </w:r>
          </w:p>
        </w:tc>
        <w:tc>
          <w:tcPr>
            <w:tcW w:type="dxa" w:w="2160"/>
          </w:tcPr>
          <w:p>
            <w:r>
              <w:t>Finance Team</w:t>
            </w:r>
          </w:p>
        </w:tc>
        <w:tc>
          <w:tcPr>
            <w:tcW w:type="dxa" w:w="2160"/>
          </w:tcPr>
          <w:p>
            <w:r>
              <w:t>Updated approval thresholds to reflect org restructure</w:t>
            </w:r>
          </w:p>
        </w:tc>
      </w:tr>
      <w:tr>
        <w:tc>
          <w:tcPr>
            <w:tcW w:type="dxa" w:w="2160"/>
          </w:tcPr>
          <w:p>
            <w:r>
              <w:t>2.0</w:t>
            </w:r>
          </w:p>
        </w:tc>
        <w:tc>
          <w:tcPr>
            <w:tcW w:type="dxa" w:w="2160"/>
          </w:tcPr>
          <w:p>
            <w:r>
              <w:t>October 2024</w:t>
            </w:r>
          </w:p>
        </w:tc>
        <w:tc>
          <w:tcPr>
            <w:tcW w:type="dxa" w:w="2160"/>
          </w:tcPr>
          <w:p>
            <w:r>
              <w:t>M. Umair</w:t>
            </w:r>
          </w:p>
        </w:tc>
        <w:tc>
          <w:tcPr>
            <w:tcW w:type="dxa" w:w="2160"/>
          </w:tcPr>
          <w:p>
            <w:r>
              <w:t>Full rewrite to incorporate AP automation system integration</w:t>
            </w:r>
          </w:p>
        </w:tc>
      </w:tr>
      <w:tr>
        <w:tc>
          <w:tcPr>
            <w:tcW w:type="dxa" w:w="2160"/>
          </w:tcPr>
          <w:p>
            <w:r>
              <w:t>2.1</w:t>
            </w:r>
          </w:p>
        </w:tc>
        <w:tc>
          <w:tcPr>
            <w:tcW w:type="dxa" w:w="2160"/>
          </w:tcPr>
          <w:p>
            <w:r>
              <w:t>January 2025</w:t>
            </w:r>
          </w:p>
        </w:tc>
        <w:tc>
          <w:tcPr>
            <w:tcW w:type="dxa" w:w="2160"/>
          </w:tcPr>
          <w:p>
            <w:r>
              <w:t>VP Finance</w:t>
            </w:r>
          </w:p>
        </w:tc>
        <w:tc>
          <w:tcPr>
            <w:tcW w:type="dxa" w:w="2160"/>
          </w:tcPr>
          <w:p>
            <w:r>
              <w:t>Added ERP sync SLA and payment scheduling section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