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Standard Operating Procedure – Accounts Payable Processing</w:t>
      </w:r>
    </w:p>
    <w:p>
      <w:pPr>
        <w:pStyle w:val="Heading1"/>
      </w:pPr>
      <w:r>
        <w:rPr>
          <w:rFonts w:ascii="Calibri" w:hAnsi="Calibri"/>
          <w:b/>
          <w:color w:val="2E74B5"/>
          <w:sz w:val="28"/>
        </w:rPr>
        <w:t>Document Control</w:t>
      </w:r>
    </w:p>
    <w:p>
      <w:pPr/>
      <w:r>
        <w:rPr>
          <w:i/>
          <w:color w:val="999999"/>
        </w:rPr>
        <w:t>[Document Control — not present in source document]</w:t>
      </w:r>
    </w:p>
    <w:p>
      <w:pPr>
        <w:pStyle w:val="Heading1"/>
      </w:pPr>
      <w:r>
        <w:rPr>
          <w:rFonts w:ascii="Calibri" w:hAnsi="Calibri"/>
          <w:b/>
          <w:color w:val="2E74B5"/>
          <w:sz w:val="28"/>
        </w:rPr>
        <w:t>Purpose</w:t>
      </w:r>
    </w:p>
    <w:p>
      <w:pPr/>
      <w:r>
        <w:t>This document defines the standard operating procedure for processing vendor invoices within the Accounts Payable department. The objective is to ensure timely, accurate, and auditable payment of all legitimate vendor claims.</w:t>
      </w:r>
    </w:p>
    <w:p>
      <w:pPr>
        <w:pStyle w:val="Heading1"/>
      </w:pPr>
      <w:r>
        <w:rPr>
          <w:rFonts w:ascii="Calibri" w:hAnsi="Calibri"/>
          <w:b/>
          <w:color w:val="2E74B5"/>
          <w:sz w:val="28"/>
        </w:rPr>
        <w:t>Scope</w:t>
      </w:r>
    </w:p>
    <w:p>
      <w:pPr/>
      <w:r>
        <w:t>This procedure applies to all AP staff, finance managers, and department heads responsible for approving expenditures above $500. It covers invoice receipt, three-way matching, exception handling, and payment processing.</w:t>
      </w:r>
    </w:p>
    <w:p>
      <w:pPr>
        <w:pStyle w:val="Heading1"/>
      </w:pPr>
      <w:r>
        <w:rPr>
          <w:rFonts w:ascii="Calibri" w:hAnsi="Calibri"/>
          <w:b/>
          <w:color w:val="2E74B5"/>
          <w:sz w:val="28"/>
        </w:rPr>
        <w:t>Definitions</w:t>
      </w:r>
    </w:p>
    <w:p>
      <w:pPr/>
      <w:r>
        <w:rPr>
          <w:i/>
          <w:color w:val="999999"/>
        </w:rPr>
        <w:t>[Definitions — not present in source document]</w:t>
      </w:r>
    </w:p>
    <w:p>
      <w:pPr>
        <w:pStyle w:val="Heading1"/>
      </w:pPr>
      <w:r>
        <w:rPr>
          <w:rFonts w:ascii="Calibri" w:hAnsi="Calibri"/>
          <w:b/>
          <w:color w:val="2E74B5"/>
          <w:sz w:val="28"/>
        </w:rPr>
        <w:t>Responsibilities</w:t>
      </w:r>
    </w:p>
    <w:p>
      <w:pPr/>
      <w:r>
        <w:rPr>
          <w:i/>
          <w:color w:val="999999"/>
        </w:rPr>
        <w:t>[Responsibilities — not present in source document]</w:t>
      </w:r>
    </w:p>
    <w:p>
      <w:pPr>
        <w:pStyle w:val="Heading1"/>
      </w:pPr>
      <w:r>
        <w:rPr>
          <w:rFonts w:ascii="Calibri" w:hAnsi="Calibri"/>
          <w:b/>
          <w:color w:val="2E74B5"/>
          <w:sz w:val="28"/>
        </w:rPr>
        <w:t>Procedure</w:t>
      </w:r>
    </w:p>
    <w:p>
      <w:pPr/>
      <w:r>
        <w:rPr>
          <w:i/>
          <w:color w:val="999999"/>
        </w:rPr>
        <w:t>[Procedure — not present in source document]</w:t>
      </w:r>
    </w:p>
    <w:p>
      <w:pPr>
        <w:pStyle w:val="Heading1"/>
      </w:pPr>
      <w:r>
        <w:rPr>
          <w:rFonts w:ascii="Calibri" w:hAnsi="Calibri"/>
          <w:b/>
          <w:color w:val="2E74B5"/>
          <w:sz w:val="28"/>
        </w:rPr>
        <w:t>Records</w:t>
      </w:r>
    </w:p>
    <w:p>
      <w:pPr/>
      <w:r>
        <w:rPr>
          <w:i/>
          <w:color w:val="999999"/>
        </w:rPr>
        <w:t>[Records — not present in source document]</w:t>
      </w:r>
    </w:p>
    <w:p>
      <w:pPr>
        <w:pStyle w:val="Heading1"/>
      </w:pPr>
      <w:r>
        <w:rPr>
          <w:rFonts w:ascii="Calibri" w:hAnsi="Calibri"/>
          <w:b/>
          <w:color w:val="2E74B5"/>
          <w:sz w:val="28"/>
        </w:rPr>
        <w:t>References</w:t>
      </w:r>
    </w:p>
    <w:p>
      <w:pPr/>
      <w:r>
        <w:rPr>
          <w:i/>
          <w:color w:val="999999"/>
        </w:rPr>
        <w:t>[References — not present in source document]</w:t>
      </w:r>
    </w:p>
    <w:p>
      <w:pPr>
        <w:pStyle w:val="Heading1"/>
      </w:pPr>
      <w:r>
        <w:rPr>
          <w:rFonts w:ascii="Calibri" w:hAnsi="Calibri"/>
          <w:b/>
          <w:color w:val="2E74B5"/>
          <w:sz w:val="28"/>
        </w:rPr>
        <w:t>Revision History</w:t>
      </w:r>
    </w:p>
    <w:p>
      <w:pPr/>
      <w:r>
        <w:rPr>
          <w:i/>
          <w:color w:val="999999"/>
        </w:rPr>
        <w:t>[Revision History — not present in source document]</w:t>
      </w:r>
    </w:p>
    <w:p/>
    <w:p>
      <w:pPr>
        <w:jc w:val="center"/>
      </w:pPr>
      <w:r>
        <w:rPr>
          <w:i/>
          <w:color w:val="999999"/>
          <w:sz w:val="18"/>
        </w:rPr>
        <w:t>Standardized by AP Automation Agent | Confidence: 50% | Review required: Yes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PAGE </w:instrText>
      <w:fldChar w:fldCharType="end"/>
    </w:r>
    <w:r>
      <w:t xml:space="preserve"> of </w:t>
    </w:r>
    <w: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