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5F6D84C6" w:rsidR="004C0287" w:rsidRPr="00045C9A" w:rsidRDefault="0001647F" w:rsidP="00C06CB7">
            <w:proofErr w:type="spellStart"/>
            <w:r>
              <w:t>TechVantage</w:t>
            </w:r>
            <w:proofErr w:type="spellEnd"/>
            <w:r>
              <w:t xml:space="preserve"> Solutions</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2D49FFAB" w:rsidR="004C0287" w:rsidRPr="00045C9A" w:rsidRDefault="0001647F" w:rsidP="00C06CB7">
            <w:r>
              <w:t xml:space="preserve">Sweden </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0676D24E" w:rsidR="004C0287" w:rsidRPr="00045C9A" w:rsidRDefault="0001647F" w:rsidP="00C06CB7">
            <w:r w:rsidRPr="0001647F">
              <w:t>12-07-2024</w:t>
            </w:r>
          </w:p>
        </w:tc>
      </w:tr>
      <w:tr w:rsidR="004C0287" w:rsidRPr="004C0287"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6B317292" w:rsidR="004C0287" w:rsidRPr="0001647F" w:rsidRDefault="0001647F" w:rsidP="00C06CB7">
            <w:r w:rsidRPr="0001647F">
              <w:t>Dr. Erik Lindström, Dr. Lars Holm</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0F80A728" w:rsidR="00781323" w:rsidRPr="009C70AF" w:rsidRDefault="0001647F" w:rsidP="00C06CB7">
            <w:r w:rsidRPr="0001647F">
              <w:t>Regular</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3B5FDFA4" w:rsidR="00002B2F" w:rsidRDefault="0001647F" w:rsidP="008013EA">
            <w:proofErr w:type="spellStart"/>
            <w:r w:rsidRPr="0001647F">
              <w:t>TechVantage</w:t>
            </w:r>
            <w:proofErr w:type="spellEnd"/>
            <w:r w:rsidRPr="0001647F">
              <w:t xml:space="preserve"> Solutions, a Sweden-based company, specializes in developing advanced software solutions for the automotive industry. Despite their expertise in software engineering and data analytics, their AI capabilities are still in the early stages, and their current AI maturity is rated as moderate.</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59BFD6BB" w:rsidR="009B38B9" w:rsidRDefault="0001647F" w:rsidP="001A0075">
            <w:r w:rsidRPr="0001647F">
              <w:t>The company has a well-defined objective focused on enhancing the efficiency of predictive maintenance systems for electric vehicles (EVs) by integrating AI technologies.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5895BAB0" w:rsidR="0036353E" w:rsidRPr="0036353E" w:rsidRDefault="0001647F" w:rsidP="001A0075">
            <w:pPr>
              <w:rPr>
                <w:lang w:val="en-GB"/>
              </w:rPr>
            </w:pPr>
            <w:r w:rsidRPr="0001647F">
              <w:rPr>
                <w:lang w:val="en-GB"/>
              </w:rPr>
              <w:t xml:space="preserve">Currently, </w:t>
            </w:r>
            <w:proofErr w:type="spellStart"/>
            <w:r w:rsidRPr="0001647F">
              <w:rPr>
                <w:lang w:val="en-GB"/>
              </w:rPr>
              <w:t>TechVantage</w:t>
            </w:r>
            <w:proofErr w:type="spellEnd"/>
            <w:r w:rsidRPr="0001647F">
              <w:rPr>
                <w:lang w:val="en-GB"/>
              </w:rPr>
              <w:t xml:space="preserve"> Solutions utilizes a traditional rule-based system for predictive maintenance. This system relies heavily on pre-set thresholds and historical data analysis, which requires frequent manual updates and adjustments. The company is exploring the use of AI to automate the identification of potential failures in EV batteries and drivetrains by </w:t>
            </w:r>
            <w:proofErr w:type="spellStart"/>
            <w:r w:rsidRPr="0001647F">
              <w:rPr>
                <w:lang w:val="en-GB"/>
              </w:rPr>
              <w:t>analyzing</w:t>
            </w:r>
            <w:proofErr w:type="spellEnd"/>
            <w:r w:rsidRPr="0001647F">
              <w:rPr>
                <w:lang w:val="en-GB"/>
              </w:rPr>
              <w:t xml:space="preserve"> real-time sensor data. Initial experiments with simpler machine learning models, such as decision trees and random forests, have shown some promise, but the company is yet to implement more advanced AI solutions.</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3689300C" w:rsidR="00026A9E" w:rsidRDefault="0001647F" w:rsidP="001A0075">
            <w:r w:rsidRPr="0001647F">
              <w:t>The concept of leveraging AI for predictive maintenance in electric vehicles is both valid and highly relevant to the current market. The integration of AI will not only enhance the efficiency of maintenance processes but also reduce operational costs and downtime, providing significant value to their clients.</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37032FFD" w:rsidR="00E8027F" w:rsidRDefault="0001647F" w:rsidP="001A0075">
            <w:r w:rsidRPr="0001647F">
              <w:t xml:space="preserve">AI is central to </w:t>
            </w:r>
            <w:proofErr w:type="spellStart"/>
            <w:r w:rsidRPr="0001647F">
              <w:t>TechVantage’s</w:t>
            </w:r>
            <w:proofErr w:type="spellEnd"/>
            <w:r w:rsidRPr="0001647F">
              <w:t xml:space="preserve"> vision of automating predictive maintenance. By deploying machine learning models capable of analyzing vast amounts of sensor data in real-time, the company aims to shift from a reactive to a proactive maintenance strategy.</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4F5E49BC" w:rsidR="009B38B9" w:rsidRDefault="0001647F" w:rsidP="001A0075">
            <w:proofErr w:type="spellStart"/>
            <w:r w:rsidRPr="0001647F">
              <w:t>TechVantage</w:t>
            </w:r>
            <w:proofErr w:type="spellEnd"/>
            <w:r w:rsidRPr="0001647F">
              <w:t xml:space="preserve"> Solutions has a clear long-term vision, aiming to become a leader in AI-driven automotive solutions. Their growth plan includes expanding their AI capabilities to cover other aspects of vehicle performance optimization, such as energy efficiency and autonomous driving systems.</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382CE2DE" w:rsidR="00E8027F" w:rsidRDefault="0001647F" w:rsidP="001A0075">
            <w:r w:rsidRPr="0001647F">
              <w:t>Their target market includes automotive manufacturers and fleet operators, particularly those focusing on electric vehicles.</w:t>
            </w:r>
          </w:p>
        </w:tc>
      </w:tr>
      <w:tr w:rsidR="00E8027F" w14:paraId="1BD3BC0F" w14:textId="77777777" w:rsidTr="0032548E">
        <w:tc>
          <w:tcPr>
            <w:tcW w:w="3707" w:type="dxa"/>
          </w:tcPr>
          <w:p w14:paraId="7791DEED" w14:textId="77777777" w:rsidR="00E8027F" w:rsidRDefault="00FA1723">
            <w:pPr>
              <w:rPr>
                <w:b/>
                <w:bCs/>
              </w:rPr>
            </w:pPr>
            <w:r w:rsidRPr="00FA1723">
              <w:rPr>
                <w:b/>
                <w:bCs/>
              </w:rPr>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4CF39741" w:rsidR="00896E56" w:rsidRDefault="0001647F" w:rsidP="001A0075">
            <w:r w:rsidRPr="0001647F">
              <w:t xml:space="preserve">The company requires extensive sensor data from EVs, including battery temperature, voltage, current, and drivetrain </w:t>
            </w:r>
            <w:r w:rsidRPr="0001647F">
              <w:lastRenderedPageBreak/>
              <w:t>performance metrics. Additionally, they need historical maintenance records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lastRenderedPageBreak/>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52C80640" w:rsidR="001A0075" w:rsidRPr="001A0075" w:rsidRDefault="0001647F" w:rsidP="001A0075">
            <w:pPr>
              <w:rPr>
                <w:lang w:val="en-GB"/>
              </w:rPr>
            </w:pPr>
            <w:proofErr w:type="spellStart"/>
            <w:r w:rsidRPr="0001647F">
              <w:rPr>
                <w:lang w:val="en-GB"/>
              </w:rPr>
              <w:t>TechVantage</w:t>
            </w:r>
            <w:proofErr w:type="spellEnd"/>
            <w:r w:rsidRPr="0001647F">
              <w:rPr>
                <w:lang w:val="en-GB"/>
              </w:rPr>
              <w:t xml:space="preserve"> Solutions has access to a growing dataset collected from their existing clients. This includes sensor data streamed in real-time from vehicles, as well as historical maintenance logs. The company plans to expand its data collection efforts by integrating with more vehicle models and manufacturers.</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398F8BFC" w:rsidR="007221F5" w:rsidRDefault="0001647F" w:rsidP="001A0075">
            <w:r w:rsidRPr="0001647F">
              <w:t xml:space="preserve">The team at </w:t>
            </w:r>
            <w:proofErr w:type="spellStart"/>
            <w:r w:rsidRPr="0001647F">
              <w:t>TechVantage</w:t>
            </w:r>
            <w:proofErr w:type="spellEnd"/>
            <w:r w:rsidRPr="0001647F">
              <w:t xml:space="preserve"> Solutions has strong technical expertise in software development and data analytics. However, their experience with implementing AI models in real-time systems is still developing, and they are seeking to build this capability with the help of external expertise.</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2EFDECE2" w:rsidR="00631FDD" w:rsidRDefault="0001647F" w:rsidP="00E05C22">
            <w:proofErr w:type="spellStart"/>
            <w:r w:rsidRPr="0001647F">
              <w:t>TechVantage</w:t>
            </w:r>
            <w:proofErr w:type="spellEnd"/>
            <w:r w:rsidRPr="0001647F">
              <w:t xml:space="preserve"> Solutions seeks technical advice from FAIR Services on selecting the most suitable AI models for real-time data analysis, as well as guidance on integrating these models into their existing systems.</w:t>
            </w:r>
          </w:p>
        </w:tc>
      </w:tr>
      <w:tr w:rsidR="00656D57" w14:paraId="26935CD6" w14:textId="77777777" w:rsidTr="0032548E">
        <w:tc>
          <w:tcPr>
            <w:tcW w:w="9562" w:type="dxa"/>
            <w:gridSpan w:val="2"/>
          </w:tcPr>
          <w:p w14:paraId="1AEF3440" w14:textId="77777777" w:rsidR="00656D57" w:rsidRDefault="00656D57" w:rsidP="001A0075">
            <w:pPr>
              <w:rPr>
                <w:b/>
                <w:bCs/>
              </w:rPr>
            </w:pPr>
            <w:r>
              <w:rPr>
                <w:b/>
                <w:bCs/>
              </w:rPr>
              <w:t>Recommendations:</w:t>
            </w:r>
          </w:p>
          <w:p w14:paraId="054E4400" w14:textId="489C84A0" w:rsidR="00656D57" w:rsidRDefault="00656D57" w:rsidP="001A0075">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5B51E808" w14:textId="77777777" w:rsidR="0001647F" w:rsidRPr="0001647F" w:rsidRDefault="0001647F" w:rsidP="0001647F">
            <w:pPr>
              <w:spacing w:before="100" w:beforeAutospacing="1" w:after="100" w:afterAutospacing="1"/>
              <w:rPr>
                <w:rFonts w:eastAsia="Times New Roman" w:cstheme="minorHAnsi"/>
                <w:kern w:val="0"/>
                <w14:ligatures w14:val="none"/>
              </w:rPr>
            </w:pPr>
            <w:r w:rsidRPr="0001647F">
              <w:rPr>
                <w:rFonts w:eastAsia="Times New Roman" w:cstheme="minorHAnsi"/>
                <w:kern w:val="0"/>
                <w14:ligatures w14:val="none"/>
              </w:rPr>
              <w:t>The initial experiments with basic machine learning models have provided a solid foundation, but more advanced AI techniques should be explored to achieve the desired predictive accuracy. Models such as LSTM (Long Short-Term Memory) networks and other time-series analysis methods are well-suited for processing the sequential data generated by EV sensors.</w:t>
            </w:r>
          </w:p>
          <w:p w14:paraId="703F52A5" w14:textId="77777777" w:rsidR="0001647F" w:rsidRPr="0001647F" w:rsidRDefault="0001647F" w:rsidP="0001647F">
            <w:pPr>
              <w:spacing w:before="100" w:beforeAutospacing="1" w:after="100" w:afterAutospacing="1"/>
              <w:rPr>
                <w:rFonts w:eastAsia="Times New Roman" w:cstheme="minorHAnsi"/>
                <w:kern w:val="0"/>
                <w14:ligatures w14:val="none"/>
              </w:rPr>
            </w:pPr>
            <w:r w:rsidRPr="0001647F">
              <w:rPr>
                <w:rFonts w:eastAsia="Times New Roman" w:cstheme="minorHAnsi"/>
                <w:kern w:val="0"/>
                <w14:ligatures w14:val="none"/>
              </w:rPr>
              <w:t>To improve the effectiveness of the predictive maintenance system, the following steps are recommended:</w:t>
            </w:r>
          </w:p>
          <w:p w14:paraId="485278AE"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Data Preprocessing:</w:t>
            </w:r>
            <w:r w:rsidRPr="0001647F">
              <w:rPr>
                <w:rFonts w:eastAsia="Times New Roman" w:cstheme="minorHAnsi"/>
                <w:kern w:val="0"/>
                <w14:ligatures w14:val="none"/>
              </w:rPr>
              <w:t xml:space="preserve"> Ensure that the sensor data is properly cleaned and preprocessed before feeding it into the AI models. This includes handling missing values, normalizing data, and ensuring consistency across different data sources.</w:t>
            </w:r>
          </w:p>
          <w:p w14:paraId="1EEC850D"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Model Selection:</w:t>
            </w:r>
            <w:r w:rsidRPr="0001647F">
              <w:rPr>
                <w:rFonts w:eastAsia="Times New Roman" w:cstheme="minorHAnsi"/>
                <w:kern w:val="0"/>
                <w14:ligatures w14:val="none"/>
              </w:rPr>
              <w:t xml:space="preserve"> Experiment with advanced models, including LSTM networks and convolutional neural networks (CNNs), to analyze time-series data. These models </w:t>
            </w:r>
            <w:proofErr w:type="gramStart"/>
            <w:r w:rsidRPr="0001647F">
              <w:rPr>
                <w:rFonts w:eastAsia="Times New Roman" w:cstheme="minorHAnsi"/>
                <w:kern w:val="0"/>
                <w14:ligatures w14:val="none"/>
              </w:rPr>
              <w:t>are capable of capturing</w:t>
            </w:r>
            <w:proofErr w:type="gramEnd"/>
            <w:r w:rsidRPr="0001647F">
              <w:rPr>
                <w:rFonts w:eastAsia="Times New Roman" w:cstheme="minorHAnsi"/>
                <w:kern w:val="0"/>
                <w14:ligatures w14:val="none"/>
              </w:rPr>
              <w:t xml:space="preserve"> complex patterns and can provide more accurate predictions of potential failures.</w:t>
            </w:r>
          </w:p>
          <w:p w14:paraId="72B91564"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Model Fine-Tuning:</w:t>
            </w:r>
            <w:r w:rsidRPr="0001647F">
              <w:rPr>
                <w:rFonts w:eastAsia="Times New Roman" w:cstheme="minorHAnsi"/>
                <w:kern w:val="0"/>
                <w14:ligatures w14:val="none"/>
              </w:rPr>
              <w:t xml:space="preserve"> Start with pre-trained models from well-established research, and fine-tune them using </w:t>
            </w:r>
            <w:proofErr w:type="spellStart"/>
            <w:r w:rsidRPr="0001647F">
              <w:rPr>
                <w:rFonts w:eastAsia="Times New Roman" w:cstheme="minorHAnsi"/>
                <w:kern w:val="0"/>
                <w14:ligatures w14:val="none"/>
              </w:rPr>
              <w:t>TechVantage’s</w:t>
            </w:r>
            <w:proofErr w:type="spellEnd"/>
            <w:r w:rsidRPr="0001647F">
              <w:rPr>
                <w:rFonts w:eastAsia="Times New Roman" w:cstheme="minorHAnsi"/>
                <w:kern w:val="0"/>
                <w14:ligatures w14:val="none"/>
              </w:rPr>
              <w:t xml:space="preserve"> proprietary dataset. This will help in achieving higher accuracy and better generalization to the specific conditions of EVs.</w:t>
            </w:r>
          </w:p>
          <w:p w14:paraId="41769D15" w14:textId="77777777" w:rsidR="0001647F" w:rsidRPr="0001647F" w:rsidRDefault="0001647F" w:rsidP="0001647F">
            <w:pPr>
              <w:numPr>
                <w:ilvl w:val="0"/>
                <w:numId w:val="12"/>
              </w:numPr>
              <w:spacing w:before="100" w:beforeAutospacing="1" w:after="100" w:afterAutospacing="1"/>
              <w:rPr>
                <w:rFonts w:eastAsia="Times New Roman" w:cstheme="minorHAnsi"/>
                <w:kern w:val="0"/>
                <w14:ligatures w14:val="none"/>
              </w:rPr>
            </w:pPr>
            <w:r w:rsidRPr="0001647F">
              <w:rPr>
                <w:rFonts w:eastAsia="Times New Roman" w:cstheme="minorHAnsi"/>
                <w:b/>
                <w:bCs/>
                <w:kern w:val="0"/>
                <w14:ligatures w14:val="none"/>
              </w:rPr>
              <w:t>System Integration:</w:t>
            </w:r>
            <w:r w:rsidRPr="0001647F">
              <w:rPr>
                <w:rFonts w:eastAsia="Times New Roman" w:cstheme="minorHAnsi"/>
                <w:kern w:val="0"/>
                <w14:ligatures w14:val="none"/>
              </w:rPr>
              <w:t xml:space="preserve"> Work on integrating the AI models with the existing maintenance system, ensuring that real-time data processing is </w:t>
            </w:r>
            <w:proofErr w:type="gramStart"/>
            <w:r w:rsidRPr="0001647F">
              <w:rPr>
                <w:rFonts w:eastAsia="Times New Roman" w:cstheme="minorHAnsi"/>
                <w:kern w:val="0"/>
                <w14:ligatures w14:val="none"/>
              </w:rPr>
              <w:t>seamless</w:t>
            </w:r>
            <w:proofErr w:type="gramEnd"/>
            <w:r w:rsidRPr="0001647F">
              <w:rPr>
                <w:rFonts w:eastAsia="Times New Roman" w:cstheme="minorHAnsi"/>
                <w:kern w:val="0"/>
                <w14:ligatures w14:val="none"/>
              </w:rPr>
              <w:t xml:space="preserve"> and that the system can handle large-scale data streams without latency.</w:t>
            </w:r>
          </w:p>
          <w:p w14:paraId="439CC4B4" w14:textId="1A09BD82" w:rsidR="00F11A20" w:rsidRPr="0001647F" w:rsidRDefault="0001647F" w:rsidP="0001647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1647F">
              <w:rPr>
                <w:rFonts w:eastAsia="Times New Roman" w:cstheme="minorHAnsi"/>
                <w:b/>
                <w:bCs/>
                <w:kern w:val="0"/>
                <w14:ligatures w14:val="none"/>
              </w:rPr>
              <w:t>Validation and Testing:</w:t>
            </w:r>
            <w:r w:rsidRPr="0001647F">
              <w:rPr>
                <w:rFonts w:eastAsia="Times New Roman" w:cstheme="minorHAnsi"/>
                <w:kern w:val="0"/>
                <w14:ligatures w14:val="none"/>
              </w:rPr>
              <w:t xml:space="preserve"> Conduct extensive validation and testing using historical maintenance data to ensure that the AI models are reliable and accurate. This will involve comparing the AI predictions with actual maintenance records to assess performance.</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2"/>
  </w:num>
  <w:num w:numId="4" w16cid:durableId="984898598">
    <w:abstractNumId w:val="10"/>
  </w:num>
  <w:num w:numId="5" w16cid:durableId="940838774">
    <w:abstractNumId w:val="9"/>
  </w:num>
  <w:num w:numId="6" w16cid:durableId="671641491">
    <w:abstractNumId w:val="6"/>
  </w:num>
  <w:num w:numId="7" w16cid:durableId="155532092">
    <w:abstractNumId w:val="4"/>
  </w:num>
  <w:num w:numId="8" w16cid:durableId="1326280430">
    <w:abstractNumId w:val="5"/>
  </w:num>
  <w:num w:numId="9" w16cid:durableId="1987053679">
    <w:abstractNumId w:val="11"/>
  </w:num>
  <w:num w:numId="10" w16cid:durableId="1656447210">
    <w:abstractNumId w:val="3"/>
  </w:num>
  <w:num w:numId="11" w16cid:durableId="2001149370">
    <w:abstractNumId w:val="7"/>
  </w:num>
  <w:num w:numId="12" w16cid:durableId="1026828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4FAFQWEaA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22644-1D17-4766-936E-10FD7DFB69C6}">
  <ds:schemaRefs>
    <ds:schemaRef ds:uri="http://schemas.microsoft.com/sharepoint/v3/contenttype/form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874</Words>
  <Characters>5394</Characters>
  <Application>Microsoft Office Word</Application>
  <DocSecurity>0</DocSecurity>
  <Lines>128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89</cp:revision>
  <dcterms:created xsi:type="dcterms:W3CDTF">2023-12-21T21:41:00Z</dcterms:created>
  <dcterms:modified xsi:type="dcterms:W3CDTF">2024-08-12T12:01:00Z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