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E5C57" w:sz="18" w:space="1"/>
        </w:pBdr>
        <w:spacing w:after="0" w:before="0"/>
      </w:pPr>
      <w:r>
        <w:rPr>
          <w:sz w:val="2"/>
          <w:szCs w:val="2"/>
        </w:rPr>
        <w:t xml:space="preserve"/>
      </w:r>
    </w:p>
    <w:p>
      <w:pPr>
        <w:spacing w:before="500"/>
      </w:pPr>
    </w:p>
    <w:p>
      <w:pPr>
        <w:spacing w:after="380"/>
        <w:jc w:val="center"/>
      </w:pPr>
      <w:r>
        <w:drawing>
          <wp:inline distT="0" distB="0" distL="0" distR="0">
            <wp:extent cx="28575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2000250"/>
                    </a:xfrm>
                    <a:prstGeom prst="rect">
                      <a:avLst/>
                    </a:prstGeom>
                  </pic:spPr>
                </pic:pic>
              </a:graphicData>
            </a:graphic>
          </wp:inline>
        </w:drawing>
      </w:r>
    </w:p>
    <w:p>
      <w:pPr>
        <w:spacing w:after="100"/>
        <w:jc w:val="center"/>
      </w:pPr>
      <w:r>
        <w:rPr>
          <w:rFonts w:ascii="Calibri" w:cs="Calibri" w:eastAsia="Calibri" w:hAnsi="Calibri"/>
          <w:b/>
          <w:bCs/>
          <w:color w:val="0E5C57"/>
          <w:sz w:val="42"/>
          <w:szCs w:val="42"/>
        </w:rPr>
        <w:t xml:space="preserve">ROOFTOP RAINWATER HARVESTING SYSTEM</w:t>
      </w:r>
    </w:p>
    <w:p>
      <w:pPr>
        <w:spacing w:after="60"/>
        <w:jc w:val="center"/>
      </w:pPr>
      <w:r>
        <w:rPr>
          <w:rFonts w:ascii="Calibri" w:cs="Calibri" w:eastAsia="Calibri" w:hAnsi="Calibri"/>
          <w:color w:val="3C4F5C"/>
          <w:sz w:val="26"/>
          <w:szCs w:val="26"/>
        </w:rPr>
        <w:t xml:space="preserve">Design Basis, Simulation, and Performance Evaluation</w:t>
      </w:r>
    </w:p>
    <w:p>
      <w:pPr>
        <w:pBdr>
          <w:bottom w:val="single" w:color="C9D6D4" w:sz="4" w:space="8"/>
        </w:pBdr>
        <w:spacing w:after="260" w:before="260"/>
        <w:ind w:left="2600" w:right="2600"/>
        <w:jc w:val="center"/>
      </w:pPr>
      <w:r>
        <w:rPr>
          <w:sz w:val="2"/>
          <w:szCs w:val="2"/>
        </w:rPr>
        <w:t xml:space="preserve"> </w:t>
      </w:r>
    </w:p>
    <w:p>
      <w:pPr>
        <w:spacing w:after="700"/>
        <w:jc w:val="center"/>
      </w:pPr>
      <w:r>
        <w:rPr>
          <w:rFonts w:ascii="Calibri" w:cs="Calibri" w:eastAsia="Calibri" w:hAnsi="Calibri"/>
          <w:i/>
          <w:iCs/>
          <w:color w:val="1B7A72"/>
          <w:sz w:val="22"/>
          <w:szCs w:val="22"/>
        </w:rPr>
        <w:t xml:space="preserve">A Preliminary Engineering Design Report</w:t>
      </w:r>
    </w:p>
    <w:tbl>
      <w:tblPr>
        <w:tblW w:type="dxa" w:w="7900"/>
        <w:jc w:val="center"/>
        <w:tblBorders>
          <w:top w:val="single" w:color="auto" w:sz="4"/>
          <w:left w:val="single" w:color="auto" w:sz="4"/>
          <w:bottom w:val="single" w:color="auto" w:sz="4"/>
          <w:right w:val="single" w:color="auto" w:sz="4"/>
          <w:insideH w:val="single" w:color="auto" w:sz="4"/>
          <w:insideV w:val="single" w:color="auto" w:sz="4"/>
        </w:tblBorders>
      </w:tblPr>
      <w:tblGrid>
        <w:gridCol w:w="3200"/>
        <w:gridCol w:w="4700"/>
      </w:tblGrid>
      <w:tr>
        <w:tc>
          <w:tcPr>
            <w:tcW w:type="dxa" w:w="3200"/>
            <w:tcBorders>
              <w:top w:val="none" w:color="FFFFFF" w:sz="0"/>
              <w:left w:val="none" w:color="FFFFFF" w:sz="0"/>
              <w:bottom w:val="none" w:color="FFFFFF" w:sz="0"/>
              <w:right w:val="none" w:color="FFFFFF" w:sz="0"/>
            </w:tcBorders>
            <w:tcMar>
              <w:top w:type="dxa" w:w="60"/>
              <w:bottom w:type="dxa" w:w="60"/>
            </w:tcMar>
          </w:tcPr>
          <w:p>
            <w:pPr>
              <w:jc w:val="right"/>
            </w:pPr>
            <w:r>
              <w:rPr>
                <w:rFonts w:ascii="Calibri" w:cs="Calibri" w:eastAsia="Calibri" w:hAnsi="Calibri"/>
                <w:b/>
                <w:bCs/>
                <w:color w:val="3C4F5C"/>
                <w:sz w:val="17"/>
                <w:szCs w:val="17"/>
              </w:rPr>
              <w:t xml:space="preserve">LOCATION</w:t>
            </w:r>
          </w:p>
        </w:tc>
        <w:tc>
          <w:tcPr>
            <w:tcW w:type="dxa" w:w="4700"/>
            <w:tcBorders>
              <w:top w:val="none" w:color="FFFFFF" w:sz="0"/>
              <w:left w:val="none" w:color="FFFFFF" w:sz="0"/>
              <w:bottom w:val="none" w:color="FFFFFF" w:sz="0"/>
              <w:right w:val="none" w:color="FFFFFF" w:sz="0"/>
            </w:tcBorders>
            <w:tcMar>
              <w:top w:type="dxa" w:w="60"/>
              <w:left w:type="dxa" w:w="260"/>
              <w:bottom w:type="dxa" w:w="60"/>
            </w:tcMar>
          </w:tcPr>
          <w:p>
            <w:r>
              <w:rPr>
                <w:rFonts w:ascii="Calibri" w:cs="Calibri" w:eastAsia="Calibri" w:hAnsi="Calibri"/>
                <w:color w:val="1B2A33"/>
                <w:sz w:val="19"/>
                <w:szCs w:val="19"/>
              </w:rPr>
              <w:t xml:space="preserve">Karachi, Pakistan (multi-station model, adaptable to Lahore, Islamabad, Peshawar, Quetta)</w:t>
            </w:r>
          </w:p>
        </w:tc>
      </w:tr>
      <w:tr>
        <w:tc>
          <w:tcPr>
            <w:tcW w:type="dxa" w:w="3200"/>
            <w:tcBorders>
              <w:top w:val="none" w:color="FFFFFF" w:sz="0"/>
              <w:left w:val="none" w:color="FFFFFF" w:sz="0"/>
              <w:bottom w:val="none" w:color="FFFFFF" w:sz="0"/>
              <w:right w:val="none" w:color="FFFFFF" w:sz="0"/>
            </w:tcBorders>
            <w:tcMar>
              <w:top w:type="dxa" w:w="60"/>
              <w:bottom w:type="dxa" w:w="60"/>
            </w:tcMar>
          </w:tcPr>
          <w:p>
            <w:pPr>
              <w:jc w:val="right"/>
            </w:pPr>
            <w:r>
              <w:rPr>
                <w:rFonts w:ascii="Calibri" w:cs="Calibri" w:eastAsia="Calibri" w:hAnsi="Calibri"/>
                <w:b/>
                <w:bCs/>
                <w:color w:val="3C4F5C"/>
                <w:sz w:val="17"/>
                <w:szCs w:val="17"/>
              </w:rPr>
              <w:t xml:space="preserve">PROJECT TYPE</w:t>
            </w:r>
          </w:p>
        </w:tc>
        <w:tc>
          <w:tcPr>
            <w:tcW w:type="dxa" w:w="4700"/>
            <w:tcBorders>
              <w:top w:val="none" w:color="FFFFFF" w:sz="0"/>
              <w:left w:val="none" w:color="FFFFFF" w:sz="0"/>
              <w:bottom w:val="none" w:color="FFFFFF" w:sz="0"/>
              <w:right w:val="none" w:color="FFFFFF" w:sz="0"/>
            </w:tcBorders>
            <w:tcMar>
              <w:top w:type="dxa" w:w="60"/>
              <w:left w:type="dxa" w:w="260"/>
              <w:bottom w:type="dxa" w:w="60"/>
            </w:tcMar>
          </w:tcPr>
          <w:p>
            <w:r>
              <w:rPr>
                <w:rFonts w:ascii="Calibri" w:cs="Calibri" w:eastAsia="Calibri" w:hAnsi="Calibri"/>
                <w:color w:val="1B2A33"/>
                <w:sz w:val="19"/>
                <w:szCs w:val="19"/>
              </w:rPr>
              <w:t xml:space="preserve">Mechanical Engineering portfolio project</w:t>
            </w:r>
          </w:p>
        </w:tc>
      </w:tr>
      <w:tr>
        <w:tc>
          <w:tcPr>
            <w:tcW w:type="dxa" w:w="3200"/>
            <w:tcBorders>
              <w:top w:val="none" w:color="FFFFFF" w:sz="0"/>
              <w:left w:val="none" w:color="FFFFFF" w:sz="0"/>
              <w:bottom w:val="none" w:color="FFFFFF" w:sz="0"/>
              <w:right w:val="none" w:color="FFFFFF" w:sz="0"/>
            </w:tcBorders>
            <w:tcMar>
              <w:top w:type="dxa" w:w="60"/>
              <w:bottom w:type="dxa" w:w="60"/>
            </w:tcMar>
          </w:tcPr>
          <w:p>
            <w:pPr>
              <w:jc w:val="right"/>
            </w:pPr>
            <w:r>
              <w:rPr>
                <w:rFonts w:ascii="Calibri" w:cs="Calibri" w:eastAsia="Calibri" w:hAnsi="Calibri"/>
                <w:b/>
                <w:bCs/>
                <w:color w:val="3C4F5C"/>
                <w:sz w:val="17"/>
                <w:szCs w:val="17"/>
              </w:rPr>
              <w:t xml:space="preserve">DELIVERABLES</w:t>
            </w:r>
          </w:p>
        </w:tc>
        <w:tc>
          <w:tcPr>
            <w:tcW w:type="dxa" w:w="4700"/>
            <w:tcBorders>
              <w:top w:val="none" w:color="FFFFFF" w:sz="0"/>
              <w:left w:val="none" w:color="FFFFFF" w:sz="0"/>
              <w:bottom w:val="none" w:color="FFFFFF" w:sz="0"/>
              <w:right w:val="none" w:color="FFFFFF" w:sz="0"/>
            </w:tcBorders>
            <w:tcMar>
              <w:top w:type="dxa" w:w="60"/>
              <w:left w:type="dxa" w:w="260"/>
              <w:bottom w:type="dxa" w:w="60"/>
            </w:tcMar>
          </w:tcPr>
          <w:p>
            <w:r>
              <w:rPr>
                <w:rFonts w:ascii="Calibri" w:cs="Calibri" w:eastAsia="Calibri" w:hAnsi="Calibri"/>
                <w:color w:val="1B2A33"/>
                <w:sz w:val="19"/>
                <w:szCs w:val="19"/>
              </w:rPr>
              <w:t xml:space="preserve">Excel simulation workbook and this design report</w:t>
            </w:r>
          </w:p>
        </w:tc>
      </w:tr>
      <w:tr>
        <w:tc>
          <w:tcPr>
            <w:tcW w:type="dxa" w:w="3200"/>
            <w:tcBorders>
              <w:top w:val="none" w:color="FFFFFF" w:sz="0"/>
              <w:left w:val="none" w:color="FFFFFF" w:sz="0"/>
              <w:bottom w:val="none" w:color="FFFFFF" w:sz="0"/>
              <w:right w:val="none" w:color="FFFFFF" w:sz="0"/>
            </w:tcBorders>
            <w:tcMar>
              <w:top w:type="dxa" w:w="60"/>
              <w:bottom w:type="dxa" w:w="60"/>
            </w:tcMar>
          </w:tcPr>
          <w:p>
            <w:pPr>
              <w:jc w:val="right"/>
            </w:pPr>
            <w:r>
              <w:rPr>
                <w:rFonts w:ascii="Calibri" w:cs="Calibri" w:eastAsia="Calibri" w:hAnsi="Calibri"/>
                <w:b/>
                <w:bCs/>
                <w:color w:val="3C4F5C"/>
                <w:sz w:val="17"/>
                <w:szCs w:val="17"/>
              </w:rPr>
              <w:t xml:space="preserve">DATE</w:t>
            </w:r>
          </w:p>
        </w:tc>
        <w:tc>
          <w:tcPr>
            <w:tcW w:type="dxa" w:w="4700"/>
            <w:tcBorders>
              <w:top w:val="none" w:color="FFFFFF" w:sz="0"/>
              <w:left w:val="none" w:color="FFFFFF" w:sz="0"/>
              <w:bottom w:val="none" w:color="FFFFFF" w:sz="0"/>
              <w:right w:val="none" w:color="FFFFFF" w:sz="0"/>
            </w:tcBorders>
            <w:tcMar>
              <w:top w:type="dxa" w:w="60"/>
              <w:left w:type="dxa" w:w="260"/>
              <w:bottom w:type="dxa" w:w="60"/>
            </w:tcMar>
          </w:tcPr>
          <w:p>
            <w:r>
              <w:rPr>
                <w:rFonts w:ascii="Calibri" w:cs="Calibri" w:eastAsia="Calibri" w:hAnsi="Calibri"/>
                <w:color w:val="1B2A33"/>
                <w:sz w:val="19"/>
                <w:szCs w:val="19"/>
              </w:rPr>
              <w:t xml:space="preserve">July 2026</w:t>
            </w:r>
          </w:p>
        </w:tc>
      </w:tr>
    </w:tbl>
    <w:p>
      <w:pPr>
        <w:spacing w:before="900"/>
      </w:pPr>
    </w:p>
    <w:p>
      <w:pPr>
        <w:pBdr>
          <w:top w:val="single" w:color="0E5C57" w:sz="18" w:space="1"/>
        </w:pBdr>
        <w:spacing w:after="0" w:before="0"/>
      </w:pPr>
      <w:r>
        <w:rPr>
          <w:sz w:val="2"/>
          <w:szCs w:val="2"/>
        </w:rPr>
        <w:t xml:space="preserve"/>
      </w:r>
    </w:p>
    <w:p>
      <w:r>
        <w:br w:type="page"/>
      </w:r>
    </w:p>
    <w:p>
      <w:pPr>
        <w:pStyle w:val="Heading1"/>
        <w:keepNext/>
        <w:keepLines/>
        <w:pBdr>
          <w:bottom w:val="single" w:color="0E5C57" w:sz="6" w:space="6"/>
        </w:pBdr>
        <w:spacing w:after="180" w:before="420"/>
      </w:pPr>
      <w:r>
        <w:rPr>
          <w:rFonts w:ascii="Calibri" w:cs="Calibri" w:eastAsia="Calibri" w:hAnsi="Calibri"/>
          <w:b/>
          <w:bCs/>
          <w:color w:val="1B7A72"/>
          <w:sz w:val="30"/>
          <w:szCs w:val="30"/>
        </w:rPr>
        <w:t xml:space="preserve"/>
      </w:r>
      <w:r>
        <w:rPr>
          <w:rFonts w:ascii="Calibri" w:cs="Calibri" w:eastAsia="Calibri" w:hAnsi="Calibri"/>
          <w:b/>
          <w:bCs/>
          <w:color w:val="0E5C57"/>
          <w:sz w:val="30"/>
          <w:szCs w:val="30"/>
        </w:rPr>
        <w:t xml:space="preserve">Executive Summary</w:t>
      </w:r>
    </w:p>
    <w:p>
      <w:pPr>
        <w:spacing w:after="160" w:line="268"/>
        <w:jc w:val="left"/>
      </w:pPr>
      <w:r>
        <w:rPr>
          <w:rFonts w:ascii="Calibri" w:cs="Calibri" w:eastAsia="Calibri" w:hAnsi="Calibri"/>
          <w:color w:val="1B2A33"/>
          <w:sz w:val="21"/>
          <w:szCs w:val="21"/>
        </w:rPr>
        <w:t xml:space="preserve">This report covers the design and simulation of a rooftop rainwater harvesting system for a residential property in Karachi, built around a 365-day water balance model in Excel. The approach is straightforward: track rainfall, tank storage, supply, and shortage day by day for a full year, then use that simulation to answer the two questions every rainwater harvesting design comes down to. How big should the tank be, and is it actually worth building?</w:t>
      </w:r>
    </w:p>
    <w:p>
      <w:pPr>
        <w:spacing w:after="160" w:line="268"/>
        <w:jc w:val="left"/>
      </w:pPr>
      <w:r>
        <w:rPr>
          <w:rFonts w:ascii="Calibri" w:cs="Calibri" w:eastAsia="Calibri" w:hAnsi="Calibri"/>
          <w:color w:val="1B2A33"/>
          <w:sz w:val="21"/>
          <w:szCs w:val="21"/>
        </w:rPr>
        <w:t xml:space="preserve">For the base case, a 220 m2 metal roof feeding a 5,000 L tank, the system meets about 24% of a six-person household's annual demand and never once overflows. That second part is the interesting bit. It means the tank isn't what's holding the system back, the rainfall is. Karachi only gets around 167 mm of rain a year on average, and most of it lands in a six-week window across July and August. There simply isn't enough water arriving to justify a much larger tank, and the optimization work in Section 5 and the sensitivity analysis in Section 6 both arrive at that same conclusion independently.</w:t>
      </w:r>
    </w:p>
    <w:p>
      <w:pPr>
        <w:spacing w:after="160" w:line="268"/>
        <w:jc w:val="left"/>
      </w:pPr>
      <w:r>
        <w:rPr>
          <w:rFonts w:ascii="Calibri" w:cs="Calibri" w:eastAsia="Calibri" w:hAnsi="Calibri"/>
          <w:color w:val="1B2A33"/>
          <w:sz w:val="21"/>
          <w:szCs w:val="21"/>
        </w:rPr>
        <w:t xml:space="preserve">Financially, the system pays for itself in roughly seven years and shows a small positive Net Present Value at a 12% discount rate over a 20-year horizon. It's not a spectacular investment, but it's a legitimate one, and the numbers make clear that the same design in a wetter city, Lahore or Islamabad for instance, would perform noticeably better.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E5C57" w:sz="26"/>
              <w:bottom w:val="none" w:color="FFFFFF" w:sz="0"/>
              <w:right w:val="none" w:color="FFFFFF" w:sz="0"/>
            </w:tcBorders>
            <w:shd w:fill="EAF3F2" w:val="clear"/>
            <w:tcMar>
              <w:top w:type="dxa" w:w="160"/>
              <w:left w:type="dxa" w:w="220"/>
              <w:bottom w:type="dxa" w:w="160"/>
              <w:right w:type="dxa" w:w="220"/>
            </w:tcMar>
          </w:tcPr>
          <w:p>
            <w:pPr>
              <w:spacing w:after="90"/>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 cy="323850"/>
                          </a:xfrm>
                          <a:prstGeom prst="rect">
                            <a:avLst/>
                          </a:prstGeom>
                        </pic:spPr>
                      </pic:pic>
                    </a:graphicData>
                  </a:graphic>
                </wp:inline>
              </w:drawing>
            </w:r>
            <w:r>
              <w:rPr>
                <w:rFonts w:ascii="Calibri" w:cs="Calibri" w:eastAsia="Calibri" w:hAnsi="Calibri"/>
                <w:b/>
                <w:bCs/>
                <w:color w:val="0E5C57"/>
                <w:sz w:val="20"/>
                <w:szCs w:val="20"/>
              </w:rPr>
              <w:t xml:space="preserve">  KEY FINDINGS</w:t>
            </w:r>
          </w:p>
          <w:p>
            <w:pPr>
              <w:spacing w:after="80"/>
            </w:pPr>
            <w:r>
              <w:rPr>
                <w:rFonts w:ascii="Calibri" w:cs="Calibri" w:eastAsia="Calibri" w:hAnsi="Calibri"/>
                <w:color w:val="1B2A33"/>
                <w:sz w:val="20"/>
                <w:szCs w:val="20"/>
              </w:rPr>
              <w:t xml:space="preserve">Annual reliability of 23.9% at the base tank size, climbing above 90% in July and August and dropping close to zero for most of the rest of the year.</w:t>
            </w:r>
          </w:p>
          <w:p>
            <w:pPr>
              <w:spacing w:after="80"/>
            </w:pPr>
            <w:r>
              <w:rPr>
                <w:rFonts w:ascii="Calibri" w:cs="Calibri" w:eastAsia="Calibri" w:hAnsi="Calibri"/>
                <w:color w:val="1B2A33"/>
                <w:sz w:val="20"/>
                <w:szCs w:val="20"/>
              </w:rPr>
              <w:t xml:space="preserve">A 3,000 L tank captures 98% of the water the system can ever realistically supply. The base-case 5,000 L tank is oversized.</w:t>
            </w:r>
          </w:p>
          <w:p>
            <w:pPr>
              <w:spacing w:after="80"/>
            </w:pPr>
            <w:r>
              <w:rPr>
                <w:rFonts w:ascii="Calibri" w:cs="Calibri" w:eastAsia="Calibri" w:hAnsi="Calibri"/>
                <w:color w:val="1B2A33"/>
                <w:sz w:val="20"/>
                <w:szCs w:val="20"/>
              </w:rPr>
              <w:t xml:space="preserve">Roof area, rainfall, and collection efficiency each swing reliability by about 9.5 points under a 25% change. Tank capacity moves it by only 0.5 points over the same range.</w:t>
            </w:r>
          </w:p>
          <w:p>
            <w:pPr>
              <w:spacing w:after="0"/>
            </w:pPr>
            <w:r>
              <w:rPr>
                <w:rFonts w:ascii="Calibri" w:cs="Calibri" w:eastAsia="Calibri" w:hAnsi="Calibri"/>
                <w:color w:val="1B2A33"/>
                <w:sz w:val="20"/>
                <w:szCs w:val="20"/>
              </w:rPr>
              <w:t xml:space="preserve">Simple payback of 7.0 years, IRR of about 13%, and a positive NPV at a 12% discount rate over 20 years.</w:t>
            </w:r>
          </w:p>
        </w:tc>
      </w:tr>
    </w:tbl>
    <w:p>
      <w:pPr>
        <w:pStyle w:val="Heading1"/>
        <w:keepNext/>
        <w:keepLines/>
        <w:pBdr>
          <w:bottom w:val="single" w:color="0E5C57" w:sz="6" w:space="6"/>
        </w:pBdr>
        <w:spacing w:after="180" w:before="420"/>
      </w:pPr>
      <w:r>
        <w:rPr>
          <w:rFonts w:ascii="Calibri" w:cs="Calibri" w:eastAsia="Calibri" w:hAnsi="Calibri"/>
          <w:b/>
          <w:bCs/>
          <w:color w:val="1B7A72"/>
          <w:sz w:val="30"/>
          <w:szCs w:val="30"/>
        </w:rPr>
        <w:t xml:space="preserve"/>
      </w:r>
      <w:r>
        <w:rPr>
          <w:rFonts w:ascii="Calibri" w:cs="Calibri" w:eastAsia="Calibri" w:hAnsi="Calibri"/>
          <w:b/>
          <w:bCs/>
          <w:color w:val="0E5C57"/>
          <w:sz w:val="30"/>
          <w:szCs w:val="30"/>
        </w:rPr>
        <w:t xml:space="preserve">1. Introduction</w:t>
      </w:r>
    </w:p>
    <w:p>
      <w:pPr>
        <w:spacing w:after="160" w:line="268"/>
        <w:jc w:val="left"/>
      </w:pPr>
      <w:r>
        <w:rPr>
          <w:rFonts w:ascii="Calibri" w:cs="Calibri" w:eastAsia="Calibri" w:hAnsi="Calibri"/>
          <w:color w:val="1B2A33"/>
          <w:sz w:val="21"/>
          <w:szCs w:val="21"/>
        </w:rPr>
        <w:t xml:space="preserve">Karachi doesn't get much rain, and what little falls arrives squeezed into a short window each year. That's the starting problem behind this project: is a rooftop rainwater harvesting system actually worth building in a city like this, and if so, what size tank makes sense?</w:t>
      </w:r>
    </w:p>
    <w:p>
      <w:pPr>
        <w:spacing w:after="160" w:line="268"/>
        <w:jc w:val="left"/>
      </w:pPr>
      <w:r>
        <w:rPr>
          <w:rFonts w:ascii="Calibri" w:cs="Calibri" w:eastAsia="Calibri" w:hAnsi="Calibri"/>
          <w:color w:val="1B2A33"/>
          <w:sz w:val="21"/>
          <w:szCs w:val="21"/>
        </w:rPr>
        <w:t xml:space="preserve">Groundwater across much of Karachi runs saline, and municipal supply is unreliable enough that many households already depend on tanker deliveries for part of the year. Rainwater harvesting won't replace that supply outright, but it can take a real bite out of non-potable demand: flushing, laundry, cleaning, irrigation. The appeal is that it's low-tech and mostly passive once it's installed. The hard part is that rainfall doesn't arrive on a schedule. It shows up in short, unpredictable bursts, which means sizing the tank properly calls for a full year-long simulation rather than a rough rule of thumb.</w:t>
      </w:r>
    </w:p>
    <w:p>
      <w:pPr>
        <w:spacing w:after="160" w:line="268"/>
        <w:jc w:val="left"/>
      </w:pPr>
      <w:r>
        <w:rPr>
          <w:rFonts w:ascii="Calibri" w:cs="Calibri" w:eastAsia="Calibri" w:hAnsi="Calibri"/>
          <w:color w:val="1B2A33"/>
          <w:sz w:val="21"/>
          <w:szCs w:val="21"/>
        </w:rPr>
        <w:t xml:space="preserve">It's worth putting Karachi's climate in context. Lahore, Islamabad, and Peshawar all sit on the edge of the South Asian monsoon belt and see several times Karachi's annual rainfall, while Quetta follows a completely different pattern driven by winter storms from the west. That spread is exactly why the accompanying workbook lets the rainfall station be swapped out with a dropdown. Change the station and the reliability, tank sizing, and economics all update immediately, so the same tool works whether the design is for Karachi or Islamabad.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1B7A72" w:sz="26"/>
              <w:bottom w:val="none" w:color="FFFFFF" w:sz="0"/>
              <w:right w:val="none" w:color="FFFFFF" w:sz="0"/>
            </w:tcBorders>
            <w:shd w:fill="DCEBEA" w:val="clear"/>
            <w:tcMar>
              <w:top w:type="dxa" w:w="160"/>
              <w:left w:type="dxa" w:w="220"/>
              <w:bottom w:type="dxa" w:w="160"/>
              <w:right w:type="dxa" w:w="220"/>
            </w:tcMar>
          </w:tcPr>
          <w:p>
            <w:pPr>
              <w:spacing w:after="90"/>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 cy="323850"/>
                          </a:xfrm>
                          <a:prstGeom prst="rect">
                            <a:avLst/>
                          </a:prstGeom>
                        </pic:spPr>
                      </pic:pic>
                    </a:graphicData>
                  </a:graphic>
                </wp:inline>
              </w:drawing>
            </w:r>
            <w:r>
              <w:rPr>
                <w:rFonts w:ascii="Calibri" w:cs="Calibri" w:eastAsia="Calibri" w:hAnsi="Calibri"/>
                <w:b/>
                <w:bCs/>
                <w:color w:val="1B7A72"/>
                <w:sz w:val="20"/>
                <w:szCs w:val="20"/>
              </w:rPr>
              <w:t xml:space="preserve">  PROJECT OBJECTIVES</w:t>
            </w:r>
          </w:p>
          <w:p>
            <w:pPr>
              <w:spacing w:after="80"/>
            </w:pPr>
            <w:r>
              <w:rPr>
                <w:rFonts w:ascii="Calibri" w:cs="Calibri" w:eastAsia="Calibri" w:hAnsi="Calibri"/>
                <w:color w:val="1B2A33"/>
                <w:sz w:val="20"/>
                <w:szCs w:val="20"/>
              </w:rPr>
              <w:t xml:space="preserve">Build a daily water balance model that properly conserves mass across the full year, no shortcuts.</w:t>
            </w:r>
          </w:p>
          <w:p>
            <w:pPr>
              <w:spacing w:after="80"/>
            </w:pPr>
            <w:r>
              <w:rPr>
                <w:rFonts w:ascii="Calibri" w:cs="Calibri" w:eastAsia="Calibri" w:hAnsi="Calibri"/>
                <w:color w:val="1B2A33"/>
                <w:sz w:val="20"/>
                <w:szCs w:val="20"/>
              </w:rPr>
              <w:t xml:space="preserve">Identify the tank size that delivers strong reliability without paying for capacity that never gets used.</w:t>
            </w:r>
          </w:p>
          <w:p>
            <w:pPr>
              <w:spacing w:after="80"/>
            </w:pPr>
            <w:r>
              <w:rPr>
                <w:rFonts w:ascii="Calibri" w:cs="Calibri" w:eastAsia="Calibri" w:hAnsi="Calibri"/>
                <w:color w:val="1B2A33"/>
                <w:sz w:val="20"/>
                <w:szCs w:val="20"/>
              </w:rPr>
              <w:t xml:space="preserve">Work out which design variables actually move the needle on performance, and which ones barely matter.</w:t>
            </w:r>
          </w:p>
          <w:p>
            <w:pPr>
              <w:spacing w:after="80"/>
            </w:pPr>
            <w:r>
              <w:rPr>
                <w:rFonts w:ascii="Calibri" w:cs="Calibri" w:eastAsia="Calibri" w:hAnsi="Calibri"/>
                <w:color w:val="1B2A33"/>
                <w:sz w:val="20"/>
                <w:szCs w:val="20"/>
              </w:rPr>
              <w:t xml:space="preserve">Check whether the system pays for itself, using payback period, NPV, and IRR.</w:t>
            </w:r>
          </w:p>
          <w:p>
            <w:pPr>
              <w:spacing w:after="0"/>
            </w:pPr>
            <w:r>
              <w:rPr>
                <w:rFonts w:ascii="Calibri" w:cs="Calibri" w:eastAsia="Calibri" w:hAnsi="Calibri"/>
                <w:color w:val="1B2A33"/>
                <w:sz w:val="20"/>
                <w:szCs w:val="20"/>
              </w:rPr>
              <w:t xml:space="preserve">Package the whole analysis into a workbook and report that another engineer could pick up and verify.</w:t>
            </w:r>
          </w:p>
        </w:tc>
      </w:tr>
    </w:tbl>
    <w:p>
      <w:pPr>
        <w:pStyle w:val="Heading1"/>
        <w:keepNext/>
        <w:keepLines/>
        <w:pBdr>
          <w:bottom w:val="single" w:color="0E5C57" w:sz="6" w:space="6"/>
        </w:pBdr>
        <w:spacing w:after="180" w:before="420"/>
      </w:pPr>
      <w:r>
        <w:rPr>
          <w:rFonts w:ascii="Calibri" w:cs="Calibri" w:eastAsia="Calibri" w:hAnsi="Calibri"/>
          <w:b/>
          <w:bCs/>
          <w:color w:val="1B7A72"/>
          <w:sz w:val="30"/>
          <w:szCs w:val="30"/>
        </w:rPr>
        <w:t xml:space="preserve"/>
      </w:r>
      <w:r>
        <w:rPr>
          <w:rFonts w:ascii="Calibri" w:cs="Calibri" w:eastAsia="Calibri" w:hAnsi="Calibri"/>
          <w:b/>
          <w:bCs/>
          <w:color w:val="0E5C57"/>
          <w:sz w:val="30"/>
          <w:szCs w:val="30"/>
        </w:rPr>
        <w:t xml:space="preserve">2. System Overview and Methodology</w:t>
      </w:r>
    </w:p>
    <w:p>
      <w:pPr>
        <w:spacing w:after="160" w:line="268"/>
        <w:jc w:val="left"/>
      </w:pPr>
      <w:r>
        <w:rPr>
          <w:rFonts w:ascii="Calibri" w:cs="Calibri" w:eastAsia="Calibri" w:hAnsi="Calibri"/>
          <w:color w:val="1B2A33"/>
          <w:sz w:val="21"/>
          <w:szCs w:val="21"/>
        </w:rPr>
        <w:t xml:space="preserve">The model works through five linked stages, shown in Figure 1, each living on its own worksheet in the accompanying workbook. Input parameters and the chosen rainfall station feed a 365-day daily simulation, which rolls up into monthly summaries. Those summaries in turn drive a faster, monthly-resolution version of the same balance used for the tank-size sweep and sensitivity tests, and the analysis closes with a 20-year economic evaluation.</w:t>
      </w:r>
    </w:p>
    <w:p>
      <w:pPr>
        <w:keepNext/>
        <w:keepLines/>
        <w:spacing w:after="80" w:before="160"/>
        <w:jc w:val="center"/>
      </w:pPr>
      <w:r>
        <w:drawing>
          <wp:inline distT="0" distB="0" distL="0" distR="0">
            <wp:extent cx="5334000" cy="1152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1152525"/>
                    </a:xfrm>
                    <a:prstGeom prst="rect">
                      <a:avLst/>
                    </a:prstGeom>
                  </pic:spPr>
                </pic:pic>
              </a:graphicData>
            </a:graphic>
          </wp:inline>
        </w:drawing>
      </w:r>
    </w:p>
    <w:p>
      <w:pPr>
        <w:keepLines/>
        <w:spacing w:after="220"/>
        <w:jc w:val="center"/>
      </w:pPr>
      <w:r>
        <w:rPr>
          <w:rFonts w:ascii="Calibri" w:cs="Calibri" w:eastAsia="Calibri" w:hAnsi="Calibri"/>
          <w:i/>
          <w:iCs/>
          <w:color w:val="3C4F5C"/>
          <w:sz w:val="18"/>
          <w:szCs w:val="18"/>
        </w:rPr>
        <w:t xml:space="preserve">Figure 1: Five-stage analysis workflow, input through economic evaluation.</w:t>
      </w:r>
    </w:p>
    <w:p>
      <w:pPr>
        <w:pStyle w:val="Heading2"/>
        <w:keepNext/>
        <w:keepLines/>
        <w:spacing w:after="120" w:before="260"/>
      </w:pPr>
      <w:r>
        <w:rPr>
          <w:rFonts w:ascii="Calibri" w:cs="Calibri" w:eastAsia="Calibri" w:hAnsi="Calibri"/>
          <w:b/>
          <w:bCs/>
          <w:color w:val="3D7EA6"/>
          <w:sz w:val="24"/>
          <w:szCs w:val="24"/>
        </w:rPr>
        <w:t xml:space="preserve">Two Resolutions of the Same Balance</w:t>
      </w:r>
    </w:p>
    <w:p>
      <w:pPr>
        <w:spacing w:after="160" w:line="268"/>
        <w:jc w:val="left"/>
      </w:pPr>
      <w:r>
        <w:rPr>
          <w:rFonts w:ascii="Calibri" w:cs="Calibri" w:eastAsia="Calibri" w:hAnsi="Calibri"/>
          <w:color w:val="1B2A33"/>
          <w:sz w:val="21"/>
          <w:szCs w:val="21"/>
        </w:rPr>
        <w:t xml:space="preserve">There are actually two versions of the water balance in this workbook, and it's worth explaining why. The Daily Simulation sheet is the authoritative one. It steps through all 365 days individually and is what every dashboard figure, chart, and monthly total is built from. The Tank Optimization and Sensitivity sheets instead run a lighter monthly version, twelve steps instead of 365, so a full parameter sweep recalculates instantly rather than requiring Solver to churn through 365 rows for every scenario tested. Section 5 checks the monthly approximation against the daily model's annual totals, and the two track closely, which makes sense given that the monthly rainfall figures are themselves just the daily series summed up.</w:t>
      </w:r>
    </w:p>
    <w:p>
      <w:pPr>
        <w:pStyle w:val="Heading2"/>
        <w:keepNext/>
        <w:keepLines/>
        <w:spacing w:after="120" w:before="260"/>
      </w:pPr>
      <w:r>
        <w:rPr>
          <w:rFonts w:ascii="Calibri" w:cs="Calibri" w:eastAsia="Calibri" w:hAnsi="Calibri"/>
          <w:b/>
          <w:bCs/>
          <w:color w:val="3D7EA6"/>
          <w:sz w:val="24"/>
          <w:szCs w:val="24"/>
        </w:rPr>
        <w:t xml:space="preserve">Rainfall Input</w:t>
      </w:r>
    </w:p>
    <w:p>
      <w:pPr>
        <w:spacing w:after="160" w:line="268"/>
        <w:jc w:val="left"/>
      </w:pPr>
      <w:r>
        <w:rPr>
          <w:rFonts w:ascii="Calibri" w:cs="Calibri" w:eastAsia="Calibri" w:hAnsi="Calibri"/>
          <w:color w:val="1B2A33"/>
          <w:sz w:val="21"/>
          <w:szCs w:val="21"/>
        </w:rPr>
        <w:t xml:space="preserve">Monthly rainfall normals for five Pakistani stations sit in a lookup table, and whichever station is active gets its monthly total spread across a fixed number of rain-days, evenly spaced through the month, each day taking an equal share. Real storms don't behave that evenly (Karachi's monsoon typically shows up as a handful of intense days rather than a steady drizzle), but this keeps the monthly and annual totals accurate while giving a defensible day-to-day shape for a preliminary design. Anyone with an actual daily rainfall record for their station can drop it straight into the Daily Simulation sheet in place of this approximation.</w:t>
      </w:r>
    </w:p>
    <w:p>
      <w:pPr>
        <w:keepNext/>
        <w:keepLines/>
        <w:spacing w:after="80" w:before="160"/>
        <w:jc w:val="center"/>
      </w:pPr>
      <w:r>
        <w:drawing>
          <wp:inline distT="0" distB="0" distL="0" distR="0">
            <wp:extent cx="590550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2305050"/>
                    </a:xfrm>
                    <a:prstGeom prst="rect">
                      <a:avLst/>
                    </a:prstGeom>
                  </pic:spPr>
                </pic:pic>
              </a:graphicData>
            </a:graphic>
          </wp:inline>
        </w:drawing>
      </w:r>
    </w:p>
    <w:p>
      <w:pPr>
        <w:keepLines/>
        <w:spacing w:after="220"/>
        <w:jc w:val="center"/>
      </w:pPr>
      <w:r>
        <w:rPr>
          <w:rFonts w:ascii="Calibri" w:cs="Calibri" w:eastAsia="Calibri" w:hAnsi="Calibri"/>
          <w:i/>
          <w:iCs/>
          <w:color w:val="3C4F5C"/>
          <w:sz w:val="18"/>
          <w:szCs w:val="18"/>
        </w:rPr>
        <w:t xml:space="preserve">Figure 2: System layout, from roof catchment through to demand.</w:t>
      </w:r>
    </w:p>
    <w:p>
      <w:pPr>
        <w:pStyle w:val="Heading2"/>
        <w:keepNext/>
        <w:keepLines/>
        <w:spacing w:after="120" w:before="260"/>
      </w:pPr>
      <w:r>
        <w:rPr>
          <w:rFonts w:ascii="Calibri" w:cs="Calibri" w:eastAsia="Calibri" w:hAnsi="Calibri"/>
          <w:b/>
          <w:bCs/>
          <w:color w:val="3D7EA6"/>
          <w:sz w:val="24"/>
          <w:szCs w:val="24"/>
        </w:rPr>
        <w:t xml:space="preserve">Workbook Structure</w:t>
      </w:r>
    </w:p>
    <w:p>
      <w:pPr>
        <w:spacing w:after="160" w:line="268"/>
        <w:jc w:val="left"/>
      </w:pPr>
      <w:r>
        <w:rPr>
          <w:rFonts w:ascii="Calibri" w:cs="Calibri" w:eastAsia="Calibri" w:hAnsi="Calibri"/>
          <w:color w:val="1B2A33"/>
          <w:sz w:val="21"/>
          <w:szCs w:val="21"/>
        </w:rPr>
        <w:t xml:space="preserve">The ten worksheets behind this report are summarized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C9D6D4" w:sz="4"/>
              <w:left w:val="single" w:color="C9D6D4" w:sz="4"/>
              <w:bottom w:val="single" w:color="C9D6D4" w:sz="4"/>
              <w:right w:val="single" w:color="C9D6D4" w:sz="4"/>
            </w:tcBorders>
            <w:shd w:fill="0E5C57" w:val="clear"/>
            <w:tcMar>
              <w:top w:type="dxa" w:w="90"/>
              <w:left w:type="dxa" w:w="130"/>
              <w:bottom w:type="dxa" w:w="90"/>
              <w:right w:type="dxa" w:w="130"/>
            </w:tcMar>
            <w:vAlign w:val="center"/>
          </w:tcPr>
          <w:p>
            <w:pPr>
              <w:jc w:val="left"/>
            </w:pPr>
            <w:r>
              <w:rPr>
                <w:rFonts w:ascii="Calibri" w:cs="Calibri" w:eastAsia="Calibri" w:hAnsi="Calibri"/>
                <w:b/>
                <w:bCs/>
                <w:color w:val="FFFFFF"/>
                <w:sz w:val="19"/>
                <w:szCs w:val="19"/>
              </w:rPr>
              <w:t xml:space="preserve">Sheet</w:t>
            </w:r>
          </w:p>
        </w:tc>
        <w:tc>
          <w:tcPr>
            <w:tcW w:type="dxa" w:w="6760"/>
            <w:tcBorders>
              <w:top w:val="single" w:color="C9D6D4" w:sz="4"/>
              <w:left w:val="single" w:color="C9D6D4" w:sz="4"/>
              <w:bottom w:val="single" w:color="C9D6D4" w:sz="4"/>
              <w:right w:val="single" w:color="C9D6D4" w:sz="4"/>
            </w:tcBorders>
            <w:shd w:fill="0E5C57" w:val="clear"/>
            <w:tcMar>
              <w:top w:type="dxa" w:w="90"/>
              <w:left w:type="dxa" w:w="130"/>
              <w:bottom w:type="dxa" w:w="90"/>
              <w:right w:type="dxa" w:w="130"/>
            </w:tcMar>
            <w:vAlign w:val="center"/>
          </w:tcPr>
          <w:p>
            <w:pPr>
              <w:jc w:val="left"/>
            </w:pPr>
            <w:r>
              <w:rPr>
                <w:rFonts w:ascii="Calibri" w:cs="Calibri" w:eastAsia="Calibri" w:hAnsi="Calibri"/>
                <w:b/>
                <w:bCs/>
                <w:color w:val="FFFFFF"/>
                <w:sz w:val="19"/>
                <w:szCs w:val="19"/>
              </w:rPr>
              <w:t xml:space="preserve">What's on it</w:t>
            </w:r>
          </w:p>
        </w:tc>
      </w:tr>
      <w:tr>
        <w:trPr>
          <w:cantSplit/>
        </w:trPr>
        <w:tc>
          <w:tcPr>
            <w:tcW w:type="dxa" w:w="2600"/>
            <w:tcBorders>
              <w:top w:val="single" w:color="C9D6D4" w:sz="4"/>
              <w:left w:val="single" w:color="C9D6D4" w:sz="4"/>
              <w:bottom w:val="single" w:color="C9D6D4" w:sz="4"/>
              <w:right w:val="single" w:color="C9D6D4" w:sz="4"/>
            </w:tcBorders>
            <w:tcMar>
              <w:top w:type="dxa" w:w="90"/>
              <w:left w:type="dxa" w:w="130"/>
              <w:bottom w:type="dxa" w:w="90"/>
              <w:right w:type="dxa" w:w="130"/>
            </w:tcMar>
            <w:vAlign w:val="center"/>
          </w:tcPr>
          <w:p>
            <w:pPr>
              <w:jc w:val="left"/>
            </w:pPr>
            <w:r>
              <w:rPr>
                <w:rFonts w:ascii="Calibri" w:cs="Calibri" w:eastAsia="Calibri" w:hAnsi="Calibri"/>
                <w:b w:val="false"/>
                <w:bCs w:val="false"/>
                <w:color w:val="1B2A33"/>
                <w:sz w:val="19"/>
                <w:szCs w:val="19"/>
              </w:rPr>
              <w:t xml:space="preserve">Dashboard</w:t>
            </w:r>
          </w:p>
        </w:tc>
        <w:tc>
          <w:tcPr>
            <w:tcW w:type="dxa" w:w="6760"/>
            <w:tcBorders>
              <w:top w:val="single" w:color="C9D6D4" w:sz="4"/>
              <w:left w:val="single" w:color="C9D6D4" w:sz="4"/>
              <w:bottom w:val="single" w:color="C9D6D4" w:sz="4"/>
              <w:right w:val="single" w:color="C9D6D4" w:sz="4"/>
            </w:tcBorders>
            <w:tcMar>
              <w:top w:type="dxa" w:w="90"/>
              <w:left w:type="dxa" w:w="130"/>
              <w:bottom w:type="dxa" w:w="90"/>
              <w:right w:type="dxa" w:w="130"/>
            </w:tcMar>
            <w:vAlign w:val="center"/>
          </w:tcPr>
          <w:p>
            <w:pPr>
              <w:jc w:val="left"/>
            </w:pPr>
            <w:r>
              <w:rPr>
                <w:rFonts w:ascii="Calibri" w:cs="Calibri" w:eastAsia="Calibri" w:hAnsi="Calibri"/>
                <w:b w:val="false"/>
                <w:bCs w:val="false"/>
                <w:color w:val="1B2A33"/>
                <w:sz w:val="19"/>
                <w:szCs w:val="19"/>
              </w:rPr>
              <w:t xml:space="preserve">KPI cards and monthly charts, the one-page view for a reviewer.</w:t>
            </w:r>
          </w:p>
        </w:tc>
      </w:tr>
      <w:tr>
        <w:trPr>
          <w:cantSplit/>
        </w:trPr>
        <w:tc>
          <w:tcPr>
            <w:tcW w:type="dxa" w:w="2600"/>
            <w:tcBorders>
              <w:top w:val="single" w:color="C9D6D4" w:sz="4"/>
              <w:left w:val="single" w:color="C9D6D4" w:sz="4"/>
              <w:bottom w:val="single" w:color="C9D6D4" w:sz="4"/>
              <w:right w:val="single" w:color="C9D6D4" w:sz="4"/>
            </w:tcBorders>
            <w:tcMar>
              <w:top w:type="dxa" w:w="90"/>
              <w:left w:type="dxa" w:w="130"/>
              <w:bottom w:type="dxa" w:w="90"/>
              <w:right w:type="dxa" w:w="130"/>
            </w:tcMar>
            <w:vAlign w:val="center"/>
          </w:tcPr>
          <w:p>
            <w:pPr>
              <w:jc w:val="left"/>
            </w:pPr>
            <w:r>
              <w:rPr>
                <w:rFonts w:ascii="Calibri" w:cs="Calibri" w:eastAsia="Calibri" w:hAnsi="Calibri"/>
                <w:b w:val="false"/>
                <w:bCs w:val="false"/>
                <w:color w:val="1B2A33"/>
                <w:sz w:val="19"/>
                <w:szCs w:val="19"/>
              </w:rPr>
              <w:t xml:space="preserve">Inputs</w:t>
            </w:r>
          </w:p>
        </w:tc>
        <w:tc>
          <w:tcPr>
            <w:tcW w:type="dxa" w:w="6760"/>
            <w:tcBorders>
              <w:top w:val="single" w:color="C9D6D4" w:sz="4"/>
              <w:left w:val="single" w:color="C9D6D4" w:sz="4"/>
              <w:bottom w:val="single" w:color="C9D6D4" w:sz="4"/>
              <w:right w:val="single" w:color="C9D6D4" w:sz="4"/>
            </w:tcBorders>
            <w:tcMar>
              <w:top w:type="dxa" w:w="90"/>
              <w:left w:type="dxa" w:w="130"/>
              <w:bottom w:type="dxa" w:w="90"/>
              <w:right w:type="dxa" w:w="130"/>
            </w:tcMar>
            <w:vAlign w:val="center"/>
          </w:tcPr>
          <w:p>
            <w:pPr>
              <w:jc w:val="left"/>
            </w:pPr>
            <w:r>
              <w:rPr>
                <w:rFonts w:ascii="Calibri" w:cs="Calibri" w:eastAsia="Calibri" w:hAnsi="Calibri"/>
                <w:b w:val="false"/>
                <w:bCs w:val="false"/>
                <w:color w:val="1B2A33"/>
                <w:sz w:val="19"/>
                <w:szCs w:val="19"/>
              </w:rPr>
              <w:t xml:space="preserve">Every editable parameter, roof, tank, demand, location, cost, bound to named ranges.</w:t>
            </w:r>
          </w:p>
        </w:tc>
      </w:tr>
      <w:tr>
        <w:trPr>
          <w:cantSplit/>
        </w:trPr>
        <w:tc>
          <w:tcPr>
            <w:tcW w:type="dxa" w:w="2600"/>
            <w:tcBorders>
              <w:top w:val="single" w:color="C9D6D4" w:sz="4"/>
              <w:left w:val="single" w:color="C9D6D4" w:sz="4"/>
              <w:bottom w:val="single" w:color="C9D6D4" w:sz="4"/>
              <w:right w:val="single" w:color="C9D6D4" w:sz="4"/>
            </w:tcBorders>
            <w:tcMar>
              <w:top w:type="dxa" w:w="90"/>
              <w:left w:type="dxa" w:w="130"/>
              <w:bottom w:type="dxa" w:w="90"/>
              <w:right w:type="dxa" w:w="130"/>
            </w:tcMar>
            <w:vAlign w:val="center"/>
          </w:tcPr>
          <w:p>
            <w:pPr>
              <w:jc w:val="left"/>
            </w:pPr>
            <w:r>
              <w:rPr>
                <w:rFonts w:ascii="Calibri" w:cs="Calibri" w:eastAsia="Calibri" w:hAnsi="Calibri"/>
                <w:b w:val="false"/>
                <w:bCs w:val="false"/>
                <w:color w:val="1B2A33"/>
                <w:sz w:val="19"/>
                <w:szCs w:val="19"/>
              </w:rPr>
              <w:t xml:space="preserve">Rainfall Data</w:t>
            </w:r>
          </w:p>
        </w:tc>
        <w:tc>
          <w:tcPr>
            <w:tcW w:type="dxa" w:w="6760"/>
            <w:tcBorders>
              <w:top w:val="single" w:color="C9D6D4" w:sz="4"/>
              <w:left w:val="single" w:color="C9D6D4" w:sz="4"/>
              <w:bottom w:val="single" w:color="C9D6D4" w:sz="4"/>
              <w:right w:val="single" w:color="C9D6D4" w:sz="4"/>
            </w:tcBorders>
            <w:tcMar>
              <w:top w:type="dxa" w:w="90"/>
              <w:left w:type="dxa" w:w="130"/>
              <w:bottom w:type="dxa" w:w="90"/>
              <w:right w:type="dxa" w:w="130"/>
            </w:tcMar>
            <w:vAlign w:val="center"/>
          </w:tcPr>
          <w:p>
            <w:pPr>
              <w:jc w:val="left"/>
            </w:pPr>
            <w:r>
              <w:rPr>
                <w:rFonts w:ascii="Calibri" w:cs="Calibri" w:eastAsia="Calibri" w:hAnsi="Calibri"/>
                <w:b w:val="false"/>
                <w:bCs w:val="false"/>
                <w:color w:val="1B2A33"/>
                <w:sz w:val="19"/>
                <w:szCs w:val="19"/>
              </w:rPr>
              <w:t xml:space="preserve">Monthly normals for five stations plus the derived 365-day daily series.</w:t>
            </w:r>
          </w:p>
        </w:tc>
      </w:tr>
      <w:tr>
        <w:trPr>
          <w:cantSplit/>
        </w:trPr>
        <w:tc>
          <w:tcPr>
            <w:tcW w:type="dxa" w:w="2600"/>
            <w:tcBorders>
              <w:top w:val="single" w:color="C9D6D4" w:sz="4"/>
              <w:left w:val="single" w:color="C9D6D4" w:sz="4"/>
              <w:bottom w:val="single" w:color="C9D6D4" w:sz="4"/>
              <w:right w:val="single" w:color="C9D6D4" w:sz="4"/>
            </w:tcBorders>
            <w:tcMar>
              <w:top w:type="dxa" w:w="90"/>
              <w:left w:type="dxa" w:w="130"/>
              <w:bottom w:type="dxa" w:w="90"/>
              <w:right w:type="dxa" w:w="130"/>
            </w:tcMar>
            <w:vAlign w:val="center"/>
          </w:tcPr>
          <w:p>
            <w:pPr>
              <w:jc w:val="left"/>
            </w:pPr>
            <w:r>
              <w:rPr>
                <w:rFonts w:ascii="Calibri" w:cs="Calibri" w:eastAsia="Calibri" w:hAnsi="Calibri"/>
                <w:b w:val="false"/>
                <w:bCs w:val="false"/>
                <w:color w:val="1B2A33"/>
                <w:sz w:val="19"/>
                <w:szCs w:val="19"/>
              </w:rPr>
              <w:t xml:space="preserve">Daily Simulation</w:t>
            </w:r>
          </w:p>
        </w:tc>
        <w:tc>
          <w:tcPr>
            <w:tcW w:type="dxa" w:w="6760"/>
            <w:tcBorders>
              <w:top w:val="single" w:color="C9D6D4" w:sz="4"/>
              <w:left w:val="single" w:color="C9D6D4" w:sz="4"/>
              <w:bottom w:val="single" w:color="C9D6D4" w:sz="4"/>
              <w:right w:val="single" w:color="C9D6D4" w:sz="4"/>
            </w:tcBorders>
            <w:tcMar>
              <w:top w:type="dxa" w:w="90"/>
              <w:left w:type="dxa" w:w="130"/>
              <w:bottom w:type="dxa" w:w="90"/>
              <w:right w:type="dxa" w:w="130"/>
            </w:tcMar>
            <w:vAlign w:val="center"/>
          </w:tcPr>
          <w:p>
            <w:pPr>
              <w:jc w:val="left"/>
            </w:pPr>
            <w:r>
              <w:rPr>
                <w:rFonts w:ascii="Calibri" w:cs="Calibri" w:eastAsia="Calibri" w:hAnsi="Calibri"/>
                <w:b w:val="false"/>
                <w:bCs w:val="false"/>
                <w:color w:val="1B2A33"/>
                <w:sz w:val="19"/>
                <w:szCs w:val="19"/>
              </w:rPr>
              <w:t xml:space="preserve">The authoritative day-by-day mass balance across the full year.</w:t>
            </w:r>
          </w:p>
        </w:tc>
      </w:tr>
      <w:tr>
        <w:trPr>
          <w:cantSplit/>
        </w:trPr>
        <w:tc>
          <w:tcPr>
            <w:tcW w:type="dxa" w:w="2600"/>
            <w:tcBorders>
              <w:top w:val="single" w:color="C9D6D4" w:sz="4"/>
              <w:left w:val="single" w:color="C9D6D4" w:sz="4"/>
              <w:bottom w:val="single" w:color="C9D6D4" w:sz="4"/>
              <w:right w:val="single" w:color="C9D6D4" w:sz="4"/>
            </w:tcBorders>
            <w:tcMar>
              <w:top w:type="dxa" w:w="90"/>
              <w:left w:type="dxa" w:w="130"/>
              <w:bottom w:type="dxa" w:w="90"/>
              <w:right w:type="dxa" w:w="130"/>
            </w:tcMar>
            <w:vAlign w:val="center"/>
          </w:tcPr>
          <w:p>
            <w:pPr>
              <w:jc w:val="left"/>
            </w:pPr>
            <w:r>
              <w:rPr>
                <w:rFonts w:ascii="Calibri" w:cs="Calibri" w:eastAsia="Calibri" w:hAnsi="Calibri"/>
                <w:b w:val="false"/>
                <w:bCs w:val="false"/>
                <w:color w:val="1B2A33"/>
                <w:sz w:val="19"/>
                <w:szCs w:val="19"/>
              </w:rPr>
              <w:t xml:space="preserve">Monthly Summary</w:t>
            </w:r>
          </w:p>
        </w:tc>
        <w:tc>
          <w:tcPr>
            <w:tcW w:type="dxa" w:w="6760"/>
            <w:tcBorders>
              <w:top w:val="single" w:color="C9D6D4" w:sz="4"/>
              <w:left w:val="single" w:color="C9D6D4" w:sz="4"/>
              <w:bottom w:val="single" w:color="C9D6D4" w:sz="4"/>
              <w:right w:val="single" w:color="C9D6D4" w:sz="4"/>
            </w:tcBorders>
            <w:tcMar>
              <w:top w:type="dxa" w:w="90"/>
              <w:left w:type="dxa" w:w="130"/>
              <w:bottom w:type="dxa" w:w="90"/>
              <w:right w:type="dxa" w:w="130"/>
            </w:tcMar>
            <w:vAlign w:val="center"/>
          </w:tcPr>
          <w:p>
            <w:pPr>
              <w:jc w:val="left"/>
            </w:pPr>
            <w:r>
              <w:rPr>
                <w:rFonts w:ascii="Calibri" w:cs="Calibri" w:eastAsia="Calibri" w:hAnsi="Calibri"/>
                <w:b w:val="false"/>
                <w:bCs w:val="false"/>
                <w:color w:val="1B2A33"/>
                <w:sz w:val="19"/>
                <w:szCs w:val="19"/>
              </w:rPr>
              <w:t xml:space="preserve">Daily results rolled up by calendar month, including reliability.</w:t>
            </w:r>
          </w:p>
        </w:tc>
      </w:tr>
      <w:tr>
        <w:trPr>
          <w:cantSplit/>
        </w:trPr>
        <w:tc>
          <w:tcPr>
            <w:tcW w:type="dxa" w:w="2600"/>
            <w:tcBorders>
              <w:top w:val="single" w:color="C9D6D4" w:sz="4"/>
              <w:left w:val="single" w:color="C9D6D4" w:sz="4"/>
              <w:bottom w:val="single" w:color="C9D6D4" w:sz="4"/>
              <w:right w:val="single" w:color="C9D6D4" w:sz="4"/>
            </w:tcBorders>
            <w:tcMar>
              <w:top w:type="dxa" w:w="90"/>
              <w:left w:type="dxa" w:w="130"/>
              <w:bottom w:type="dxa" w:w="90"/>
              <w:right w:type="dxa" w:w="130"/>
            </w:tcMar>
            <w:vAlign w:val="center"/>
          </w:tcPr>
          <w:p>
            <w:pPr>
              <w:jc w:val="left"/>
            </w:pPr>
            <w:r>
              <w:rPr>
                <w:rFonts w:ascii="Calibri" w:cs="Calibri" w:eastAsia="Calibri" w:hAnsi="Calibri"/>
                <w:b w:val="false"/>
                <w:bCs w:val="false"/>
                <w:color w:val="1B2A33"/>
                <w:sz w:val="19"/>
                <w:szCs w:val="19"/>
              </w:rPr>
              <w:t xml:space="preserve">Engineering Calcs</w:t>
            </w:r>
          </w:p>
        </w:tc>
        <w:tc>
          <w:tcPr>
            <w:tcW w:type="dxa" w:w="6760"/>
            <w:tcBorders>
              <w:top w:val="single" w:color="C9D6D4" w:sz="4"/>
              <w:left w:val="single" w:color="C9D6D4" w:sz="4"/>
              <w:bottom w:val="single" w:color="C9D6D4" w:sz="4"/>
              <w:right w:val="single" w:color="C9D6D4" w:sz="4"/>
            </w:tcBorders>
            <w:tcMar>
              <w:top w:type="dxa" w:w="90"/>
              <w:left w:type="dxa" w:w="130"/>
              <w:bottom w:type="dxa" w:w="90"/>
              <w:right w:type="dxa" w:w="130"/>
            </w:tcMar>
            <w:vAlign w:val="center"/>
          </w:tcPr>
          <w:p>
            <w:pPr>
              <w:jc w:val="left"/>
            </w:pPr>
            <w:r>
              <w:rPr>
                <w:rFonts w:ascii="Calibri" w:cs="Calibri" w:eastAsia="Calibri" w:hAnsi="Calibri"/>
                <w:b w:val="false"/>
                <w:bCs w:val="false"/>
                <w:color w:val="1B2A33"/>
                <w:sz w:val="19"/>
                <w:szCs w:val="19"/>
              </w:rPr>
              <w:t xml:space="preserve">Every governing equation and stated assumption, in one place.</w:t>
            </w:r>
          </w:p>
        </w:tc>
      </w:tr>
      <w:tr>
        <w:trPr>
          <w:cantSplit/>
        </w:trPr>
        <w:tc>
          <w:tcPr>
            <w:tcW w:type="dxa" w:w="2600"/>
            <w:tcBorders>
              <w:top w:val="single" w:color="C9D6D4" w:sz="4"/>
              <w:left w:val="single" w:color="C9D6D4" w:sz="4"/>
              <w:bottom w:val="single" w:color="C9D6D4" w:sz="4"/>
              <w:right w:val="single" w:color="C9D6D4" w:sz="4"/>
            </w:tcBorders>
            <w:tcMar>
              <w:top w:type="dxa" w:w="90"/>
              <w:left w:type="dxa" w:w="130"/>
              <w:bottom w:type="dxa" w:w="90"/>
              <w:right w:type="dxa" w:w="130"/>
            </w:tcMar>
            <w:vAlign w:val="center"/>
          </w:tcPr>
          <w:p>
            <w:pPr>
              <w:jc w:val="left"/>
            </w:pPr>
            <w:r>
              <w:rPr>
                <w:rFonts w:ascii="Calibri" w:cs="Calibri" w:eastAsia="Calibri" w:hAnsi="Calibri"/>
                <w:b w:val="false"/>
                <w:bCs w:val="false"/>
                <w:color w:val="1B2A33"/>
                <w:sz w:val="19"/>
                <w:szCs w:val="19"/>
              </w:rPr>
              <w:t xml:space="preserve">Tank Optimization</w:t>
            </w:r>
          </w:p>
        </w:tc>
        <w:tc>
          <w:tcPr>
            <w:tcW w:type="dxa" w:w="6760"/>
            <w:tcBorders>
              <w:top w:val="single" w:color="C9D6D4" w:sz="4"/>
              <w:left w:val="single" w:color="C9D6D4" w:sz="4"/>
              <w:bottom w:val="single" w:color="C9D6D4" w:sz="4"/>
              <w:right w:val="single" w:color="C9D6D4" w:sz="4"/>
            </w:tcBorders>
            <w:tcMar>
              <w:top w:type="dxa" w:w="90"/>
              <w:left w:type="dxa" w:w="130"/>
              <w:bottom w:type="dxa" w:w="90"/>
              <w:right w:type="dxa" w:w="130"/>
            </w:tcMar>
            <w:vAlign w:val="center"/>
          </w:tcPr>
          <w:p>
            <w:pPr>
              <w:jc w:val="left"/>
            </w:pPr>
            <w:r>
              <w:rPr>
                <w:rFonts w:ascii="Calibri" w:cs="Calibri" w:eastAsia="Calibri" w:hAnsi="Calibri"/>
                <w:b w:val="false"/>
                <w:bCs w:val="false"/>
                <w:color w:val="1B2A33"/>
                <w:sz w:val="19"/>
                <w:szCs w:val="19"/>
              </w:rPr>
              <w:t xml:space="preserve">Solver setup plus an independent capacity sweep and sizing recommendation.</w:t>
            </w:r>
          </w:p>
        </w:tc>
      </w:tr>
      <w:tr>
        <w:trPr>
          <w:cantSplit/>
        </w:trPr>
        <w:tc>
          <w:tcPr>
            <w:tcW w:type="dxa" w:w="2600"/>
            <w:tcBorders>
              <w:top w:val="single" w:color="C9D6D4" w:sz="4"/>
              <w:left w:val="single" w:color="C9D6D4" w:sz="4"/>
              <w:bottom w:val="single" w:color="C9D6D4" w:sz="4"/>
              <w:right w:val="single" w:color="C9D6D4" w:sz="4"/>
            </w:tcBorders>
            <w:tcMar>
              <w:top w:type="dxa" w:w="90"/>
              <w:left w:type="dxa" w:w="130"/>
              <w:bottom w:type="dxa" w:w="90"/>
              <w:right w:type="dxa" w:w="130"/>
            </w:tcMar>
            <w:vAlign w:val="center"/>
          </w:tcPr>
          <w:p>
            <w:pPr>
              <w:jc w:val="left"/>
            </w:pPr>
            <w:r>
              <w:rPr>
                <w:rFonts w:ascii="Calibri" w:cs="Calibri" w:eastAsia="Calibri" w:hAnsi="Calibri"/>
                <w:b w:val="false"/>
                <w:bCs w:val="false"/>
                <w:color w:val="1B2A33"/>
                <w:sz w:val="19"/>
                <w:szCs w:val="19"/>
              </w:rPr>
              <w:t xml:space="preserve">Sensitivity</w:t>
            </w:r>
          </w:p>
        </w:tc>
        <w:tc>
          <w:tcPr>
            <w:tcW w:type="dxa" w:w="6760"/>
            <w:tcBorders>
              <w:top w:val="single" w:color="C9D6D4" w:sz="4"/>
              <w:left w:val="single" w:color="C9D6D4" w:sz="4"/>
              <w:bottom w:val="single" w:color="C9D6D4" w:sz="4"/>
              <w:right w:val="single" w:color="C9D6D4" w:sz="4"/>
            </w:tcBorders>
            <w:tcMar>
              <w:top w:type="dxa" w:w="90"/>
              <w:left w:type="dxa" w:w="130"/>
              <w:bottom w:type="dxa" w:w="90"/>
              <w:right w:type="dxa" w:w="130"/>
            </w:tcMar>
            <w:vAlign w:val="center"/>
          </w:tcPr>
          <w:p>
            <w:pPr>
              <w:jc w:val="left"/>
            </w:pPr>
            <w:r>
              <w:rPr>
                <w:rFonts w:ascii="Calibri" w:cs="Calibri" w:eastAsia="Calibri" w:hAnsi="Calibri"/>
                <w:b w:val="false"/>
                <w:bCs w:val="false"/>
                <w:color w:val="1B2A33"/>
                <w:sz w:val="19"/>
                <w:szCs w:val="19"/>
              </w:rPr>
              <w:t xml:space="preserve">One-at-a-time parameter tests and the resulting tornado chart.</w:t>
            </w:r>
          </w:p>
        </w:tc>
      </w:tr>
      <w:tr>
        <w:trPr>
          <w:cantSplit/>
        </w:trPr>
        <w:tc>
          <w:tcPr>
            <w:tcW w:type="dxa" w:w="2600"/>
            <w:tcBorders>
              <w:top w:val="single" w:color="C9D6D4" w:sz="4"/>
              <w:left w:val="single" w:color="C9D6D4" w:sz="4"/>
              <w:bottom w:val="single" w:color="C9D6D4" w:sz="4"/>
              <w:right w:val="single" w:color="C9D6D4" w:sz="4"/>
            </w:tcBorders>
            <w:tcMar>
              <w:top w:type="dxa" w:w="90"/>
              <w:left w:type="dxa" w:w="130"/>
              <w:bottom w:type="dxa" w:w="90"/>
              <w:right w:type="dxa" w:w="130"/>
            </w:tcMar>
            <w:vAlign w:val="center"/>
          </w:tcPr>
          <w:p>
            <w:pPr>
              <w:jc w:val="left"/>
            </w:pPr>
            <w:r>
              <w:rPr>
                <w:rFonts w:ascii="Calibri" w:cs="Calibri" w:eastAsia="Calibri" w:hAnsi="Calibri"/>
                <w:b w:val="false"/>
                <w:bCs w:val="false"/>
                <w:color w:val="1B2A33"/>
                <w:sz w:val="19"/>
                <w:szCs w:val="19"/>
              </w:rPr>
              <w:t xml:space="preserve">Economics</w:t>
            </w:r>
          </w:p>
        </w:tc>
        <w:tc>
          <w:tcPr>
            <w:tcW w:type="dxa" w:w="6760"/>
            <w:tcBorders>
              <w:top w:val="single" w:color="C9D6D4" w:sz="4"/>
              <w:left w:val="single" w:color="C9D6D4" w:sz="4"/>
              <w:bottom w:val="single" w:color="C9D6D4" w:sz="4"/>
              <w:right w:val="single" w:color="C9D6D4" w:sz="4"/>
            </w:tcBorders>
            <w:tcMar>
              <w:top w:type="dxa" w:w="90"/>
              <w:left w:type="dxa" w:w="130"/>
              <w:bottom w:type="dxa" w:w="90"/>
              <w:right w:type="dxa" w:w="130"/>
            </w:tcMar>
            <w:vAlign w:val="center"/>
          </w:tcPr>
          <w:p>
            <w:pPr>
              <w:jc w:val="left"/>
            </w:pPr>
            <w:r>
              <w:rPr>
                <w:rFonts w:ascii="Calibri" w:cs="Calibri" w:eastAsia="Calibri" w:hAnsi="Calibri"/>
                <w:b w:val="false"/>
                <w:bCs w:val="false"/>
                <w:color w:val="1B2A33"/>
                <w:sz w:val="19"/>
                <w:szCs w:val="19"/>
              </w:rPr>
              <w:t xml:space="preserve">Capital cost, savings, payback, 20-year cash flow, NPV, and IRR.</w:t>
            </w:r>
          </w:p>
        </w:tc>
      </w:tr>
      <w:tr>
        <w:trPr>
          <w:cantSplit/>
        </w:trPr>
        <w:tc>
          <w:tcPr>
            <w:tcW w:type="dxa" w:w="2600"/>
            <w:tcBorders>
              <w:top w:val="single" w:color="C9D6D4" w:sz="4"/>
              <w:left w:val="single" w:color="C9D6D4" w:sz="4"/>
              <w:bottom w:val="single" w:color="C9D6D4" w:sz="4"/>
              <w:right w:val="single" w:color="C9D6D4" w:sz="4"/>
            </w:tcBorders>
            <w:tcMar>
              <w:top w:type="dxa" w:w="90"/>
              <w:left w:type="dxa" w:w="130"/>
              <w:bottom w:type="dxa" w:w="90"/>
              <w:right w:type="dxa" w:w="130"/>
            </w:tcMar>
            <w:vAlign w:val="center"/>
          </w:tcPr>
          <w:p>
            <w:pPr>
              <w:jc w:val="left"/>
            </w:pPr>
            <w:r>
              <w:rPr>
                <w:rFonts w:ascii="Calibri" w:cs="Calibri" w:eastAsia="Calibri" w:hAnsi="Calibri"/>
                <w:b w:val="false"/>
                <w:bCs w:val="false"/>
                <w:color w:val="1B2A33"/>
                <w:sz w:val="19"/>
                <w:szCs w:val="19"/>
              </w:rPr>
              <w:t xml:space="preserve">Charts</w:t>
            </w:r>
          </w:p>
        </w:tc>
        <w:tc>
          <w:tcPr>
            <w:tcW w:type="dxa" w:w="6760"/>
            <w:tcBorders>
              <w:top w:val="single" w:color="C9D6D4" w:sz="4"/>
              <w:left w:val="single" w:color="C9D6D4" w:sz="4"/>
              <w:bottom w:val="single" w:color="C9D6D4" w:sz="4"/>
              <w:right w:val="single" w:color="C9D6D4" w:sz="4"/>
            </w:tcBorders>
            <w:tcMar>
              <w:top w:type="dxa" w:w="90"/>
              <w:left w:type="dxa" w:w="130"/>
              <w:bottom w:type="dxa" w:w="90"/>
              <w:right w:type="dxa" w:w="130"/>
            </w:tcMar>
            <w:vAlign w:val="center"/>
          </w:tcPr>
          <w:p>
            <w:pPr>
              <w:jc w:val="left"/>
            </w:pPr>
            <w:r>
              <w:rPr>
                <w:rFonts w:ascii="Calibri" w:cs="Calibri" w:eastAsia="Calibri" w:hAnsi="Calibri"/>
                <w:b w:val="false"/>
                <w:bCs w:val="false"/>
                <w:color w:val="1B2A33"/>
                <w:sz w:val="19"/>
                <w:szCs w:val="19"/>
              </w:rPr>
              <w:t xml:space="preserve">The full chart set referenced throughout this report.</w:t>
            </w:r>
          </w:p>
        </w:tc>
      </w:tr>
    </w:tbl>
    <w:p>
      <w:pPr>
        <w:pStyle w:val="Heading1"/>
        <w:keepNext/>
        <w:keepLines/>
        <w:pBdr>
          <w:bottom w:val="single" w:color="0E5C57" w:sz="6" w:space="6"/>
        </w:pBdr>
        <w:spacing w:after="180" w:before="420"/>
      </w:pPr>
      <w:r>
        <w:rPr>
          <w:rFonts w:ascii="Calibri" w:cs="Calibri" w:eastAsia="Calibri" w:hAnsi="Calibri"/>
          <w:b/>
          <w:bCs/>
          <w:color w:val="1B7A72"/>
          <w:sz w:val="30"/>
          <w:szCs w:val="30"/>
        </w:rPr>
        <w:t xml:space="preserve"/>
      </w:r>
      <w:r>
        <w:rPr>
          <w:rFonts w:ascii="Calibri" w:cs="Calibri" w:eastAsia="Calibri" w:hAnsi="Calibri"/>
          <w:b/>
          <w:bCs/>
          <w:color w:val="0E5C57"/>
          <w:sz w:val="30"/>
          <w:szCs w:val="30"/>
        </w:rPr>
        <w:t xml:space="preserve">3. Design Basis: Equations and Assumptions</w:t>
      </w:r>
    </w:p>
    <w:p>
      <w:pPr>
        <w:spacing w:after="160" w:line="268"/>
        <w:jc w:val="left"/>
      </w:pPr>
      <w:r>
        <w:rPr>
          <w:rFonts w:ascii="Calibri" w:cs="Calibri" w:eastAsia="Calibri" w:hAnsi="Calibri"/>
          <w:color w:val="1B2A33"/>
          <w:sz w:val="21"/>
          <w:szCs w:val="21"/>
        </w:rPr>
        <w:t xml:space="preserve">Every number this model produces traces back to eleven equations, reproduced below exactly as they appear on the Engineering Calcs worksheet. None of it is particularly advanced, it's mostly careful bookkeeping of volumes in and out of a tank, but getting that bookkeeping right is what makes the simulation trustworthy.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single" w:color="C9D6D4" w:sz="3"/>
              <w:left w:val="single" w:color="C9D6D4" w:sz="3"/>
              <w:bottom w:val="single" w:color="C9D6D4" w:sz="3"/>
              <w:right w:val="single" w:color="C9D6D4" w:sz="3"/>
            </w:tcBorders>
            <w:shd w:fill="EAF3F2" w:val="clear"/>
            <w:tcMar>
              <w:top w:type="dxa" w:w="140"/>
              <w:left w:type="dxa" w:w="160"/>
              <w:bottom w:type="dxa" w:w="140"/>
              <w:right w:type="dxa" w:w="160"/>
            </w:tcMar>
          </w:tcPr>
          <w:p>
            <w:pPr>
              <w:spacing w:after="60"/>
            </w:pPr>
            <w:r>
              <w:rPr>
                <w:rFonts w:ascii="Calibri" w:cs="Calibri" w:eastAsia="Calibri" w:hAnsi="Calibri"/>
                <w:b/>
                <w:bCs/>
                <w:color w:val="1B7A72"/>
                <w:sz w:val="18"/>
                <w:szCs w:val="18"/>
              </w:rPr>
              <w:t xml:space="preserve">Eq. 1  </w:t>
            </w:r>
            <w:r>
              <w:rPr>
                <w:rFonts w:ascii="Calibri" w:cs="Calibri" w:eastAsia="Calibri" w:hAnsi="Calibri"/>
                <w:b/>
                <w:bCs/>
                <w:color w:val="0E5C57"/>
                <w:sz w:val="18"/>
                <w:szCs w:val="18"/>
              </w:rPr>
              <w:t xml:space="preserve">Collection Volume</w:t>
            </w:r>
          </w:p>
          <w:p>
            <w:pPr>
              <w:spacing w:after="60"/>
            </w:pPr>
            <w:r>
              <w:rPr>
                <w:rFonts w:ascii="Consolas" w:cs="Consolas" w:eastAsia="Consolas" w:hAnsi="Consolas"/>
                <w:b/>
                <w:bCs/>
                <w:color w:val="1B2A33"/>
                <w:sz w:val="19"/>
                <w:szCs w:val="19"/>
              </w:rPr>
              <w:t xml:space="preserve">V = (P - Dff) x A x 1,000</w:t>
            </w:r>
          </w:p>
          <w:p>
            <w:r>
              <w:rPr>
                <w:rFonts w:ascii="Calibri" w:cs="Calibri" w:eastAsia="Calibri" w:hAnsi="Calibri"/>
                <w:i/>
                <w:iCs/>
                <w:color w:val="3C4F5C"/>
                <w:sz w:val="16"/>
                <w:szCs w:val="16"/>
              </w:rPr>
              <w:t xml:space="preserve">1 mm of rain over 1 m2 of roof is exactly 1 litre, so mm x m2 gives litres directly, no extra conversion needed.</w:t>
            </w:r>
          </w:p>
        </w:tc>
        <w:tc>
          <w:tcPr>
            <w:tcW w:type="dxa" w:w="4680"/>
            <w:tcBorders>
              <w:top w:val="single" w:color="C9D6D4" w:sz="3"/>
              <w:left w:val="single" w:color="C9D6D4" w:sz="3"/>
              <w:bottom w:val="single" w:color="C9D6D4" w:sz="3"/>
              <w:right w:val="single" w:color="C9D6D4" w:sz="3"/>
            </w:tcBorders>
            <w:shd w:fill="EAF3F2" w:val="clear"/>
            <w:tcMar>
              <w:top w:type="dxa" w:w="140"/>
              <w:left w:type="dxa" w:w="160"/>
              <w:bottom w:type="dxa" w:w="140"/>
              <w:right w:type="dxa" w:w="160"/>
            </w:tcMar>
          </w:tcPr>
          <w:p>
            <w:pPr>
              <w:spacing w:after="60"/>
            </w:pPr>
            <w:r>
              <w:rPr>
                <w:rFonts w:ascii="Calibri" w:cs="Calibri" w:eastAsia="Calibri" w:hAnsi="Calibri"/>
                <w:b/>
                <w:bCs/>
                <w:color w:val="1B7A72"/>
                <w:sz w:val="18"/>
                <w:szCs w:val="18"/>
              </w:rPr>
              <w:t xml:space="preserve">Eq. 2  </w:t>
            </w:r>
            <w:r>
              <w:rPr>
                <w:rFonts w:ascii="Calibri" w:cs="Calibri" w:eastAsia="Calibri" w:hAnsi="Calibri"/>
                <w:b/>
                <w:bCs/>
                <w:color w:val="0E5C57"/>
                <w:sz w:val="18"/>
                <w:szCs w:val="18"/>
              </w:rPr>
              <w:t xml:space="preserve">Runoff Coefficient</w:t>
            </w:r>
          </w:p>
          <w:p>
            <w:pPr>
              <w:spacing w:after="60"/>
            </w:pPr>
            <w:r>
              <w:rPr>
                <w:rFonts w:ascii="Consolas" w:cs="Consolas" w:eastAsia="Consolas" w:hAnsi="Consolas"/>
                <w:b/>
                <w:bCs/>
                <w:color w:val="1B2A33"/>
                <w:sz w:val="19"/>
                <w:szCs w:val="19"/>
              </w:rPr>
              <w:t xml:space="preserve">Vrunoff = C x P x A</w:t>
            </w:r>
          </w:p>
          <w:p>
            <w:r>
              <w:rPr>
                <w:rFonts w:ascii="Calibri" w:cs="Calibri" w:eastAsia="Calibri" w:hAnsi="Calibri"/>
                <w:i/>
                <w:iCs/>
                <w:color w:val="3C4F5C"/>
                <w:sz w:val="16"/>
                <w:szCs w:val="16"/>
              </w:rPr>
              <w:t xml:space="preserve">C accounts for surface wetting and minor ponding losses. Metal roofs run 0.80-0.90, green roofs closer to 0.30-0.50.</w:t>
            </w:r>
          </w:p>
        </w:tc>
      </w:tr>
      <w:tr>
        <w:trPr>
          <w:cantSplit/>
        </w:trPr>
        <w:tc>
          <w:tcPr>
            <w:tcW w:type="dxa" w:w="4680"/>
            <w:tcBorders>
              <w:top w:val="single" w:color="C9D6D4" w:sz="3"/>
              <w:left w:val="single" w:color="C9D6D4" w:sz="3"/>
              <w:bottom w:val="single" w:color="C9D6D4" w:sz="3"/>
              <w:right w:val="single" w:color="C9D6D4" w:sz="3"/>
            </w:tcBorders>
            <w:shd w:fill="EAF3F2" w:val="clear"/>
            <w:tcMar>
              <w:top w:type="dxa" w:w="140"/>
              <w:left w:type="dxa" w:w="160"/>
              <w:bottom w:type="dxa" w:w="140"/>
              <w:right w:type="dxa" w:w="160"/>
            </w:tcMar>
          </w:tcPr>
          <w:p>
            <w:pPr>
              <w:spacing w:after="60"/>
            </w:pPr>
            <w:r>
              <w:rPr>
                <w:rFonts w:ascii="Calibri" w:cs="Calibri" w:eastAsia="Calibri" w:hAnsi="Calibri"/>
                <w:b/>
                <w:bCs/>
                <w:color w:val="1B7A72"/>
                <w:sz w:val="18"/>
                <w:szCs w:val="18"/>
              </w:rPr>
              <w:t xml:space="preserve">Eq. 3  </w:t>
            </w:r>
            <w:r>
              <w:rPr>
                <w:rFonts w:ascii="Calibri" w:cs="Calibri" w:eastAsia="Calibri" w:hAnsi="Calibri"/>
                <w:b/>
                <w:bCs/>
                <w:color w:val="0E5C57"/>
                <w:sz w:val="18"/>
                <w:szCs w:val="18"/>
              </w:rPr>
              <w:t xml:space="preserve">Collection Efficiency</w:t>
            </w:r>
          </w:p>
          <w:p>
            <w:pPr>
              <w:spacing w:after="60"/>
            </w:pPr>
            <w:r>
              <w:rPr>
                <w:rFonts w:ascii="Consolas" w:cs="Consolas" w:eastAsia="Consolas" w:hAnsi="Consolas"/>
                <w:b/>
                <w:bCs/>
                <w:color w:val="1B2A33"/>
                <w:sz w:val="19"/>
                <w:szCs w:val="19"/>
              </w:rPr>
              <w:t xml:space="preserve">eta = C x eta_filter x eta_convey</w:t>
            </w:r>
          </w:p>
          <w:p>
            <w:r>
              <w:rPr>
                <w:rFonts w:ascii="Calibri" w:cs="Calibri" w:eastAsia="Calibri" w:hAnsi="Calibri"/>
                <w:i/>
                <w:iCs/>
                <w:color w:val="3C4F5C"/>
                <w:sz w:val="16"/>
                <w:szCs w:val="16"/>
              </w:rPr>
              <w:t xml:space="preserve">Three independent multiplicative losses: runoff, filtration, and conveyance through gutters and pipe.</w:t>
            </w:r>
          </w:p>
        </w:tc>
        <w:tc>
          <w:tcPr>
            <w:tcW w:type="dxa" w:w="4680"/>
            <w:tcBorders>
              <w:top w:val="single" w:color="C9D6D4" w:sz="3"/>
              <w:left w:val="single" w:color="C9D6D4" w:sz="3"/>
              <w:bottom w:val="single" w:color="C9D6D4" w:sz="3"/>
              <w:right w:val="single" w:color="C9D6D4" w:sz="3"/>
            </w:tcBorders>
            <w:shd w:fill="EAF3F2" w:val="clear"/>
            <w:tcMar>
              <w:top w:type="dxa" w:w="140"/>
              <w:left w:type="dxa" w:w="160"/>
              <w:bottom w:type="dxa" w:w="140"/>
              <w:right w:type="dxa" w:w="160"/>
            </w:tcMar>
          </w:tcPr>
          <w:p>
            <w:pPr>
              <w:spacing w:after="60"/>
            </w:pPr>
            <w:r>
              <w:rPr>
                <w:rFonts w:ascii="Calibri" w:cs="Calibri" w:eastAsia="Calibri" w:hAnsi="Calibri"/>
                <w:b/>
                <w:bCs/>
                <w:color w:val="1B7A72"/>
                <w:sz w:val="18"/>
                <w:szCs w:val="18"/>
              </w:rPr>
              <w:t xml:space="preserve">Eq. 4  </w:t>
            </w:r>
            <w:r>
              <w:rPr>
                <w:rFonts w:ascii="Calibri" w:cs="Calibri" w:eastAsia="Calibri" w:hAnsi="Calibri"/>
                <w:b/>
                <w:bCs/>
                <w:color w:val="0E5C57"/>
                <w:sz w:val="18"/>
                <w:szCs w:val="18"/>
              </w:rPr>
              <w:t xml:space="preserve">Tank Mass Balance</w:t>
            </w:r>
          </w:p>
          <w:p>
            <w:pPr>
              <w:spacing w:after="60"/>
            </w:pPr>
            <w:r>
              <w:rPr>
                <w:rFonts w:ascii="Consolas" w:cs="Consolas" w:eastAsia="Consolas" w:hAnsi="Consolas"/>
                <w:b/>
                <w:bCs/>
                <w:color w:val="1B2A33"/>
                <w:sz w:val="19"/>
                <w:szCs w:val="19"/>
              </w:rPr>
              <w:t xml:space="preserve">S(t) = MIN[S(t-1)+V-Qs-Qo, Scap]</w:t>
            </w:r>
          </w:p>
          <w:p>
            <w:r>
              <w:rPr>
                <w:rFonts w:ascii="Calibri" w:cs="Calibri" w:eastAsia="Calibri" w:hAnsi="Calibri"/>
                <w:i/>
                <w:iCs/>
                <w:color w:val="3C4F5C"/>
                <w:sz w:val="16"/>
                <w:szCs w:val="16"/>
              </w:rPr>
              <w:t xml:space="preserve">Conservation of mass for the tank as a control volume. Everything in either leaves or accumulates.</w:t>
            </w:r>
          </w:p>
        </w:tc>
      </w:tr>
      <w:tr>
        <w:trPr>
          <w:cantSplit/>
        </w:trPr>
        <w:tc>
          <w:tcPr>
            <w:tcW w:type="dxa" w:w="4680"/>
            <w:tcBorders>
              <w:top w:val="single" w:color="C9D6D4" w:sz="3"/>
              <w:left w:val="single" w:color="C9D6D4" w:sz="3"/>
              <w:bottom w:val="single" w:color="C9D6D4" w:sz="3"/>
              <w:right w:val="single" w:color="C9D6D4" w:sz="3"/>
            </w:tcBorders>
            <w:shd w:fill="EAF3F2" w:val="clear"/>
            <w:tcMar>
              <w:top w:type="dxa" w:w="140"/>
              <w:left w:type="dxa" w:w="160"/>
              <w:bottom w:type="dxa" w:w="140"/>
              <w:right w:type="dxa" w:w="160"/>
            </w:tcMar>
          </w:tcPr>
          <w:p>
            <w:pPr>
              <w:spacing w:after="60"/>
            </w:pPr>
            <w:r>
              <w:rPr>
                <w:rFonts w:ascii="Calibri" w:cs="Calibri" w:eastAsia="Calibri" w:hAnsi="Calibri"/>
                <w:b/>
                <w:bCs/>
                <w:color w:val="1B7A72"/>
                <w:sz w:val="18"/>
                <w:szCs w:val="18"/>
              </w:rPr>
              <w:t xml:space="preserve">Eq. 5  </w:t>
            </w:r>
            <w:r>
              <w:rPr>
                <w:rFonts w:ascii="Calibri" w:cs="Calibri" w:eastAsia="Calibri" w:hAnsi="Calibri"/>
                <w:b/>
                <w:bCs/>
                <w:color w:val="0E5C57"/>
                <w:sz w:val="18"/>
                <w:szCs w:val="18"/>
              </w:rPr>
              <w:t xml:space="preserve">Water Supplied</w:t>
            </w:r>
          </w:p>
          <w:p>
            <w:pPr>
              <w:spacing w:after="60"/>
            </w:pPr>
            <w:r>
              <w:rPr>
                <w:rFonts w:ascii="Consolas" w:cs="Consolas" w:eastAsia="Consolas" w:hAnsi="Consolas"/>
                <w:b/>
                <w:bCs/>
                <w:color w:val="1B2A33"/>
                <w:sz w:val="19"/>
                <w:szCs w:val="19"/>
              </w:rPr>
              <w:t xml:space="preserve">Qs(t) = MIN[Qd(t), S(t-1)+V-Sdead]</w:t>
            </w:r>
          </w:p>
          <w:p>
            <w:r>
              <w:rPr>
                <w:rFonts w:ascii="Calibri" w:cs="Calibri" w:eastAsia="Calibri" w:hAnsi="Calibri"/>
                <w:i/>
                <w:iCs/>
                <w:color w:val="3C4F5C"/>
                <w:sz w:val="16"/>
                <w:szCs w:val="16"/>
              </w:rPr>
              <w:t xml:space="preserve">The tank can only give what's both demanded and physically available above the dead-storage line.</w:t>
            </w:r>
          </w:p>
        </w:tc>
        <w:tc>
          <w:tcPr>
            <w:tcW w:type="dxa" w:w="4680"/>
            <w:tcBorders>
              <w:top w:val="single" w:color="C9D6D4" w:sz="3"/>
              <w:left w:val="single" w:color="C9D6D4" w:sz="3"/>
              <w:bottom w:val="single" w:color="C9D6D4" w:sz="3"/>
              <w:right w:val="single" w:color="C9D6D4" w:sz="3"/>
            </w:tcBorders>
            <w:shd w:fill="EAF3F2" w:val="clear"/>
            <w:tcMar>
              <w:top w:type="dxa" w:w="140"/>
              <w:left w:type="dxa" w:w="160"/>
              <w:bottom w:type="dxa" w:w="140"/>
              <w:right w:type="dxa" w:w="160"/>
            </w:tcMar>
          </w:tcPr>
          <w:p>
            <w:pPr>
              <w:spacing w:after="60"/>
            </w:pPr>
            <w:r>
              <w:rPr>
                <w:rFonts w:ascii="Calibri" w:cs="Calibri" w:eastAsia="Calibri" w:hAnsi="Calibri"/>
                <w:b/>
                <w:bCs/>
                <w:color w:val="1B7A72"/>
                <w:sz w:val="18"/>
                <w:szCs w:val="18"/>
              </w:rPr>
              <w:t xml:space="preserve">Eq. 6  </w:t>
            </w:r>
            <w:r>
              <w:rPr>
                <w:rFonts w:ascii="Calibri" w:cs="Calibri" w:eastAsia="Calibri" w:hAnsi="Calibri"/>
                <w:b/>
                <w:bCs/>
                <w:color w:val="0E5C57"/>
                <w:sz w:val="18"/>
                <w:szCs w:val="18"/>
              </w:rPr>
              <w:t xml:space="preserve">Overflow</w:t>
            </w:r>
          </w:p>
          <w:p>
            <w:pPr>
              <w:spacing w:after="60"/>
            </w:pPr>
            <w:r>
              <w:rPr>
                <w:rFonts w:ascii="Consolas" w:cs="Consolas" w:eastAsia="Consolas" w:hAnsi="Consolas"/>
                <w:b/>
                <w:bCs/>
                <w:color w:val="1B2A33"/>
                <w:sz w:val="19"/>
                <w:szCs w:val="19"/>
              </w:rPr>
              <w:t xml:space="preserve">Qo(t) = MAX[S(t-1)+V-Qs-Scap, 0]</w:t>
            </w:r>
          </w:p>
          <w:p>
            <w:r>
              <w:rPr>
                <w:rFonts w:ascii="Calibri" w:cs="Calibri" w:eastAsia="Calibri" w:hAnsi="Calibri"/>
                <w:i/>
                <w:iCs/>
                <w:color w:val="3C4F5C"/>
                <w:sz w:val="16"/>
                <w:szCs w:val="16"/>
              </w:rPr>
              <w:t xml:space="preserve">Zero unless incoming water would push storage past the tank's capacity.</w:t>
            </w:r>
          </w:p>
        </w:tc>
      </w:tr>
      <w:tr>
        <w:trPr>
          <w:cantSplit/>
        </w:trPr>
        <w:tc>
          <w:tcPr>
            <w:tcW w:type="dxa" w:w="4680"/>
            <w:tcBorders>
              <w:top w:val="single" w:color="C9D6D4" w:sz="3"/>
              <w:left w:val="single" w:color="C9D6D4" w:sz="3"/>
              <w:bottom w:val="single" w:color="C9D6D4" w:sz="3"/>
              <w:right w:val="single" w:color="C9D6D4" w:sz="3"/>
            </w:tcBorders>
            <w:shd w:fill="EAF3F2" w:val="clear"/>
            <w:tcMar>
              <w:top w:type="dxa" w:w="140"/>
              <w:left w:type="dxa" w:w="160"/>
              <w:bottom w:type="dxa" w:w="140"/>
              <w:right w:type="dxa" w:w="160"/>
            </w:tcMar>
          </w:tcPr>
          <w:p>
            <w:pPr>
              <w:spacing w:after="60"/>
            </w:pPr>
            <w:r>
              <w:rPr>
                <w:rFonts w:ascii="Calibri" w:cs="Calibri" w:eastAsia="Calibri" w:hAnsi="Calibri"/>
                <w:b/>
                <w:bCs/>
                <w:color w:val="1B7A72"/>
                <w:sz w:val="18"/>
                <w:szCs w:val="18"/>
              </w:rPr>
              <w:t xml:space="preserve">Eq. 7  </w:t>
            </w:r>
            <w:r>
              <w:rPr>
                <w:rFonts w:ascii="Calibri" w:cs="Calibri" w:eastAsia="Calibri" w:hAnsi="Calibri"/>
                <w:b/>
                <w:bCs/>
                <w:color w:val="0E5C57"/>
                <w:sz w:val="18"/>
                <w:szCs w:val="18"/>
              </w:rPr>
              <w:t xml:space="preserve">Shortage</w:t>
            </w:r>
          </w:p>
          <w:p>
            <w:pPr>
              <w:spacing w:after="60"/>
            </w:pPr>
            <w:r>
              <w:rPr>
                <w:rFonts w:ascii="Consolas" w:cs="Consolas" w:eastAsia="Consolas" w:hAnsi="Consolas"/>
                <w:b/>
                <w:bCs/>
                <w:color w:val="1B2A33"/>
                <w:sz w:val="19"/>
                <w:szCs w:val="19"/>
              </w:rPr>
              <w:t xml:space="preserve">Qsh(t) = Qd(t) - Qs(t)</w:t>
            </w:r>
          </w:p>
          <w:p>
            <w:r>
              <w:rPr>
                <w:rFonts w:ascii="Calibri" w:cs="Calibri" w:eastAsia="Calibri" w:hAnsi="Calibri"/>
                <w:i/>
                <w:iCs/>
                <w:color w:val="3C4F5C"/>
                <w:sz w:val="16"/>
                <w:szCs w:val="16"/>
              </w:rPr>
              <w:t xml:space="preserve">Always zero or positive, since supply can never exceed demand by construction.</w:t>
            </w:r>
          </w:p>
        </w:tc>
        <w:tc>
          <w:tcPr>
            <w:tcW w:type="dxa" w:w="4680"/>
            <w:tcBorders>
              <w:top w:val="single" w:color="C9D6D4" w:sz="3"/>
              <w:left w:val="single" w:color="C9D6D4" w:sz="3"/>
              <w:bottom w:val="single" w:color="C9D6D4" w:sz="3"/>
              <w:right w:val="single" w:color="C9D6D4" w:sz="3"/>
            </w:tcBorders>
            <w:shd w:fill="EAF3F2" w:val="clear"/>
            <w:tcMar>
              <w:top w:type="dxa" w:w="140"/>
              <w:left w:type="dxa" w:w="160"/>
              <w:bottom w:type="dxa" w:w="140"/>
              <w:right w:type="dxa" w:w="160"/>
            </w:tcMar>
          </w:tcPr>
          <w:p>
            <w:pPr>
              <w:spacing w:after="60"/>
            </w:pPr>
            <w:r>
              <w:rPr>
                <w:rFonts w:ascii="Calibri" w:cs="Calibri" w:eastAsia="Calibri" w:hAnsi="Calibri"/>
                <w:b/>
                <w:bCs/>
                <w:color w:val="1B7A72"/>
                <w:sz w:val="18"/>
                <w:szCs w:val="18"/>
              </w:rPr>
              <w:t xml:space="preserve">Eq. 8  </w:t>
            </w:r>
            <w:r>
              <w:rPr>
                <w:rFonts w:ascii="Calibri" w:cs="Calibri" w:eastAsia="Calibri" w:hAnsi="Calibri"/>
                <w:b/>
                <w:bCs/>
                <w:color w:val="0E5C57"/>
                <w:sz w:val="18"/>
                <w:szCs w:val="18"/>
              </w:rPr>
              <w:t xml:space="preserve">Reliability</w:t>
            </w:r>
          </w:p>
          <w:p>
            <w:pPr>
              <w:spacing w:after="60"/>
            </w:pPr>
            <w:r>
              <w:rPr>
                <w:rFonts w:ascii="Consolas" w:cs="Consolas" w:eastAsia="Consolas" w:hAnsi="Consolas"/>
                <w:b/>
                <w:bCs/>
                <w:color w:val="1B2A33"/>
                <w:sz w:val="19"/>
                <w:szCs w:val="19"/>
              </w:rPr>
              <w:t xml:space="preserve">R = sum(Qs) / sum(Qd)</w:t>
            </w:r>
          </w:p>
          <w:p>
            <w:r>
              <w:rPr>
                <w:rFonts w:ascii="Calibri" w:cs="Calibri" w:eastAsia="Calibri" w:hAnsi="Calibri"/>
                <w:i/>
                <w:iCs/>
                <w:color w:val="3C4F5C"/>
                <w:sz w:val="16"/>
                <w:szCs w:val="16"/>
              </w:rPr>
              <w:t xml:space="preserve">The share of annual demand actually met, in volume terms, over the whole simulation period.</w:t>
            </w:r>
          </w:p>
        </w:tc>
      </w:tr>
      <w:tr>
        <w:trPr>
          <w:cantSplit/>
        </w:trPr>
        <w:tc>
          <w:tcPr>
            <w:tcW w:type="dxa" w:w="4680"/>
            <w:tcBorders>
              <w:top w:val="single" w:color="C9D6D4" w:sz="3"/>
              <w:left w:val="single" w:color="C9D6D4" w:sz="3"/>
              <w:bottom w:val="single" w:color="C9D6D4" w:sz="3"/>
              <w:right w:val="single" w:color="C9D6D4" w:sz="3"/>
            </w:tcBorders>
            <w:shd w:fill="EAF3F2" w:val="clear"/>
            <w:tcMar>
              <w:top w:type="dxa" w:w="140"/>
              <w:left w:type="dxa" w:w="160"/>
              <w:bottom w:type="dxa" w:w="140"/>
              <w:right w:type="dxa" w:w="160"/>
            </w:tcMar>
          </w:tcPr>
          <w:p>
            <w:pPr>
              <w:spacing w:after="60"/>
            </w:pPr>
            <w:r>
              <w:rPr>
                <w:rFonts w:ascii="Calibri" w:cs="Calibri" w:eastAsia="Calibri" w:hAnsi="Calibri"/>
                <w:b/>
                <w:bCs/>
                <w:color w:val="1B7A72"/>
                <w:sz w:val="18"/>
                <w:szCs w:val="18"/>
              </w:rPr>
              <w:t xml:space="preserve">Eq. 9  </w:t>
            </w:r>
            <w:r>
              <w:rPr>
                <w:rFonts w:ascii="Calibri" w:cs="Calibri" w:eastAsia="Calibri" w:hAnsi="Calibri"/>
                <w:b/>
                <w:bCs/>
                <w:color w:val="0E5C57"/>
                <w:sz w:val="18"/>
                <w:szCs w:val="18"/>
              </w:rPr>
              <w:t xml:space="preserve">Tank Utilization</w:t>
            </w:r>
          </w:p>
          <w:p>
            <w:pPr>
              <w:spacing w:after="60"/>
            </w:pPr>
            <w:r>
              <w:rPr>
                <w:rFonts w:ascii="Consolas" w:cs="Consolas" w:eastAsia="Consolas" w:hAnsi="Consolas"/>
                <w:b/>
                <w:bCs/>
                <w:color w:val="1B2A33"/>
                <w:sz w:val="19"/>
                <w:szCs w:val="19"/>
              </w:rPr>
              <w:t xml:space="preserve">U = Savg / Scap</w:t>
            </w:r>
          </w:p>
          <w:p>
            <w:r>
              <w:rPr>
                <w:rFonts w:ascii="Calibri" w:cs="Calibri" w:eastAsia="Calibri" w:hAnsi="Calibri"/>
                <w:i/>
                <w:iCs/>
                <w:color w:val="3C4F5C"/>
                <w:sz w:val="16"/>
                <w:szCs w:val="16"/>
              </w:rPr>
              <w:t xml:space="preserve">Time-averaged storage as a fraction of capacity. Low U all year points to an oversized tank.</w:t>
            </w:r>
          </w:p>
        </w:tc>
        <w:tc>
          <w:tcPr>
            <w:tcW w:type="dxa" w:w="4680"/>
            <w:tcBorders>
              <w:top w:val="single" w:color="C9D6D4" w:sz="3"/>
              <w:left w:val="single" w:color="C9D6D4" w:sz="3"/>
              <w:bottom w:val="single" w:color="C9D6D4" w:sz="3"/>
              <w:right w:val="single" w:color="C9D6D4" w:sz="3"/>
            </w:tcBorders>
            <w:shd w:fill="EAF3F2" w:val="clear"/>
            <w:tcMar>
              <w:top w:type="dxa" w:w="140"/>
              <w:left w:type="dxa" w:w="160"/>
              <w:bottom w:type="dxa" w:w="140"/>
              <w:right w:type="dxa" w:w="160"/>
            </w:tcMar>
          </w:tcPr>
          <w:p>
            <w:pPr>
              <w:spacing w:after="60"/>
            </w:pPr>
            <w:r>
              <w:rPr>
                <w:rFonts w:ascii="Calibri" w:cs="Calibri" w:eastAsia="Calibri" w:hAnsi="Calibri"/>
                <w:b/>
                <w:bCs/>
                <w:color w:val="1B7A72"/>
                <w:sz w:val="18"/>
                <w:szCs w:val="18"/>
              </w:rPr>
              <w:t xml:space="preserve">Eq. 10  </w:t>
            </w:r>
            <w:r>
              <w:rPr>
                <w:rFonts w:ascii="Calibri" w:cs="Calibri" w:eastAsia="Calibri" w:hAnsi="Calibri"/>
                <w:b/>
                <w:bCs/>
                <w:color w:val="0E5C57"/>
                <w:sz w:val="18"/>
                <w:szCs w:val="18"/>
              </w:rPr>
              <w:t xml:space="preserve">Annual Savings</w:t>
            </w:r>
          </w:p>
          <w:p>
            <w:pPr>
              <w:spacing w:after="60"/>
            </w:pPr>
            <w:r>
              <w:rPr>
                <w:rFonts w:ascii="Consolas" w:cs="Consolas" w:eastAsia="Consolas" w:hAnsi="Consolas"/>
                <w:b/>
                <w:bCs/>
                <w:color w:val="1B2A33"/>
                <w:sz w:val="19"/>
                <w:szCs w:val="19"/>
              </w:rPr>
              <w:t xml:space="preserve">Savings = sum(Qs) x Tariff</w:t>
            </w:r>
          </w:p>
          <w:p>
            <w:r>
              <w:rPr>
                <w:rFonts w:ascii="Calibri" w:cs="Calibri" w:eastAsia="Calibri" w:hAnsi="Calibri"/>
                <w:i/>
                <w:iCs/>
                <w:color w:val="3C4F5C"/>
                <w:sz w:val="16"/>
                <w:szCs w:val="16"/>
              </w:rPr>
              <w:t xml:space="preserve">Value of supplied water at the avoided cost of the municipal or tanker water it replaces.</w:t>
            </w:r>
          </w:p>
        </w:tc>
      </w:tr>
      <w:tr>
        <w:trPr>
          <w:cantSplit/>
        </w:trPr>
        <w:tc>
          <w:tcPr>
            <w:tcW w:type="dxa" w:w="4680"/>
            <w:tcBorders>
              <w:top w:val="single" w:color="C9D6D4" w:sz="3"/>
              <w:left w:val="single" w:color="C9D6D4" w:sz="3"/>
              <w:bottom w:val="single" w:color="C9D6D4" w:sz="3"/>
              <w:right w:val="single" w:color="C9D6D4" w:sz="3"/>
            </w:tcBorders>
            <w:shd w:fill="EAF3F2" w:val="clear"/>
            <w:tcMar>
              <w:top w:type="dxa" w:w="140"/>
              <w:left w:type="dxa" w:w="160"/>
              <w:bottom w:type="dxa" w:w="140"/>
              <w:right w:type="dxa" w:w="160"/>
            </w:tcMar>
          </w:tcPr>
          <w:p>
            <w:pPr>
              <w:spacing w:after="60"/>
            </w:pPr>
            <w:r>
              <w:rPr>
                <w:rFonts w:ascii="Calibri" w:cs="Calibri" w:eastAsia="Calibri" w:hAnsi="Calibri"/>
                <w:b/>
                <w:bCs/>
                <w:color w:val="1B7A72"/>
                <w:sz w:val="18"/>
                <w:szCs w:val="18"/>
              </w:rPr>
              <w:t xml:space="preserve">Eq. 11  </w:t>
            </w:r>
            <w:r>
              <w:rPr>
                <w:rFonts w:ascii="Calibri" w:cs="Calibri" w:eastAsia="Calibri" w:hAnsi="Calibri"/>
                <w:b/>
                <w:bCs/>
                <w:color w:val="0E5C57"/>
                <w:sz w:val="18"/>
                <w:szCs w:val="18"/>
              </w:rPr>
              <w:t xml:space="preserve">Simple Payback</w:t>
            </w:r>
          </w:p>
          <w:p>
            <w:pPr>
              <w:spacing w:after="60"/>
            </w:pPr>
            <w:r>
              <w:rPr>
                <w:rFonts w:ascii="Consolas" w:cs="Consolas" w:eastAsia="Consolas" w:hAnsi="Consolas"/>
                <w:b/>
                <w:bCs/>
                <w:color w:val="1B2A33"/>
                <w:sz w:val="19"/>
                <w:szCs w:val="19"/>
              </w:rPr>
              <w:t xml:space="preserve">Payback = Capital / Net Savings</w:t>
            </w:r>
          </w:p>
          <w:p>
            <w:r>
              <w:rPr>
                <w:rFonts w:ascii="Calibri" w:cs="Calibri" w:eastAsia="Calibri" w:hAnsi="Calibri"/>
                <w:i/>
                <w:iCs/>
                <w:color w:val="3C4F5C"/>
                <w:sz w:val="16"/>
                <w:szCs w:val="16"/>
              </w:rPr>
              <w:t xml:space="preserve">A first-pass screening number, backed up by the discounted NPV and IRR in Section 7.</w:t>
            </w:r>
          </w:p>
        </w:tc>
        <w:tc>
          <w:tcPr>
            <w:tcW w:type="dxa" w:w="4680"/>
            <w:tcBorders>
              <w:top w:val="single" w:color="C9D6D4" w:sz="3"/>
              <w:left w:val="single" w:color="C9D6D4" w:sz="3"/>
              <w:bottom w:val="single" w:color="C9D6D4" w:sz="3"/>
              <w:right w:val="single" w:color="C9D6D4" w:sz="3"/>
            </w:tcBorders>
          </w:tcPr>
          <w:p/>
        </w:tc>
      </w:tr>
    </w:tbl>
    <w:p>
      <w:pPr>
        <w:pStyle w:val="Heading2"/>
        <w:keepNext/>
        <w:keepLines/>
        <w:spacing w:after="120" w:before="260"/>
      </w:pPr>
      <w:r>
        <w:rPr>
          <w:rFonts w:ascii="Calibri" w:cs="Calibri" w:eastAsia="Calibri" w:hAnsi="Calibri"/>
          <w:b/>
          <w:bCs/>
          <w:color w:val="3D7EA6"/>
          <w:sz w:val="24"/>
          <w:szCs w:val="24"/>
        </w:rPr>
        <w:t xml:space="preserve">Assumptions</w:t>
      </w:r>
    </w:p>
    <w:p>
      <w:pPr>
        <w:spacing w:after="160" w:line="268"/>
        <w:jc w:val="left"/>
      </w:pPr>
      <w:r>
        <w:rPr>
          <w:rFonts w:ascii="Calibri" w:cs="Calibri" w:eastAsia="Calibri" w:hAnsi="Calibri"/>
          <w:color w:val="1B2A33"/>
          <w:sz w:val="21"/>
          <w:szCs w:val="21"/>
        </w:rPr>
        <w:t xml:space="preserve">A model this size can't avoid simplifying a few things. Below is what's been assumed, and why each one is a fair call for a preliminary design tool rather than a construction-ready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5400"/>
      </w:tblGrid>
      <w:tr>
        <w:trPr>
          <w:cantSplit/>
          <w:tblHeader/>
        </w:trPr>
        <w:tc>
          <w:tcPr>
            <w:tcW w:type="dxa" w:w="3960"/>
            <w:tcBorders>
              <w:top w:val="single" w:color="C9D6D4" w:sz="4"/>
              <w:left w:val="single" w:color="C9D6D4" w:sz="4"/>
              <w:bottom w:val="single" w:color="C9D6D4" w:sz="4"/>
              <w:right w:val="single" w:color="C9D6D4" w:sz="4"/>
            </w:tcBorders>
            <w:shd w:fill="0E5C57" w:val="clear"/>
            <w:tcMar>
              <w:top w:type="dxa" w:w="90"/>
              <w:left w:type="dxa" w:w="130"/>
              <w:bottom w:type="dxa" w:w="90"/>
              <w:right w:type="dxa" w:w="130"/>
            </w:tcMar>
            <w:vAlign w:val="center"/>
          </w:tcPr>
          <w:p>
            <w:pPr>
              <w:jc w:val="left"/>
            </w:pPr>
            <w:r>
              <w:rPr>
                <w:rFonts w:ascii="Calibri" w:cs="Calibri" w:eastAsia="Calibri" w:hAnsi="Calibri"/>
                <w:b/>
                <w:bCs/>
                <w:color w:val="FFFFFF"/>
                <w:sz w:val="19"/>
                <w:szCs w:val="19"/>
              </w:rPr>
              <w:t xml:space="preserve">Assumption</w:t>
            </w:r>
          </w:p>
        </w:tc>
        <w:tc>
          <w:tcPr>
            <w:tcW w:type="dxa" w:w="5400"/>
            <w:tcBorders>
              <w:top w:val="single" w:color="C9D6D4" w:sz="4"/>
              <w:left w:val="single" w:color="C9D6D4" w:sz="4"/>
              <w:bottom w:val="single" w:color="C9D6D4" w:sz="4"/>
              <w:right w:val="single" w:color="C9D6D4" w:sz="4"/>
            </w:tcBorders>
            <w:shd w:fill="0E5C57" w:val="clear"/>
            <w:tcMar>
              <w:top w:type="dxa" w:w="90"/>
              <w:left w:type="dxa" w:w="130"/>
              <w:bottom w:type="dxa" w:w="90"/>
              <w:right w:type="dxa" w:w="130"/>
            </w:tcMar>
            <w:vAlign w:val="center"/>
          </w:tcPr>
          <w:p>
            <w:pPr>
              <w:jc w:val="left"/>
            </w:pPr>
            <w:r>
              <w:rPr>
                <w:rFonts w:ascii="Calibri" w:cs="Calibri" w:eastAsia="Calibri" w:hAnsi="Calibri"/>
                <w:b/>
                <w:bCs/>
                <w:color w:val="FFFFFF"/>
                <w:sz w:val="19"/>
                <w:szCs w:val="19"/>
              </w:rPr>
              <w:t xml:space="preserve">Why it holds up</w:t>
            </w:r>
          </w:p>
        </w:tc>
      </w:tr>
      <w:tr>
        <w:trPr>
          <w:cantSplit/>
        </w:trPr>
        <w:tc>
          <w:tcPr>
            <w:tcW w:type="dxa" w:w="3960"/>
            <w:tcBorders>
              <w:top w:val="single" w:color="C9D6D4" w:sz="4"/>
              <w:left w:val="single" w:color="C9D6D4" w:sz="4"/>
              <w:bottom w:val="single" w:color="C9D6D4" w:sz="4"/>
              <w:right w:val="single" w:color="C9D6D4" w:sz="4"/>
            </w:tcBorders>
            <w:tcMar>
              <w:top w:type="dxa" w:w="90"/>
              <w:left w:type="dxa" w:w="130"/>
              <w:bottom w:type="dxa" w:w="90"/>
              <w:right w:type="dxa" w:w="130"/>
            </w:tcMar>
            <w:vAlign w:val="center"/>
          </w:tcPr>
          <w:p>
            <w:pPr>
              <w:jc w:val="left"/>
            </w:pPr>
            <w:r>
              <w:rPr>
                <w:rFonts w:ascii="Calibri" w:cs="Calibri" w:eastAsia="Calibri" w:hAnsi="Calibri"/>
                <w:b w:val="false"/>
                <w:bCs w:val="false"/>
                <w:color w:val="1B2A33"/>
                <w:sz w:val="19"/>
                <w:szCs w:val="19"/>
              </w:rPr>
              <w:t xml:space="preserve">Rainfall is uniform within each rain-day.</w:t>
            </w:r>
          </w:p>
        </w:tc>
        <w:tc>
          <w:tcPr>
            <w:tcW w:type="dxa" w:w="5400"/>
            <w:tcBorders>
              <w:top w:val="single" w:color="C9D6D4" w:sz="4"/>
              <w:left w:val="single" w:color="C9D6D4" w:sz="4"/>
              <w:bottom w:val="single" w:color="C9D6D4" w:sz="4"/>
              <w:right w:val="single" w:color="C9D6D4" w:sz="4"/>
            </w:tcBorders>
            <w:tcMar>
              <w:top w:type="dxa" w:w="90"/>
              <w:left w:type="dxa" w:w="130"/>
              <w:bottom w:type="dxa" w:w="90"/>
              <w:right w:type="dxa" w:w="130"/>
            </w:tcMar>
            <w:vAlign w:val="center"/>
          </w:tcPr>
          <w:p>
            <w:pPr>
              <w:jc w:val="left"/>
            </w:pPr>
            <w:r>
              <w:rPr>
                <w:rFonts w:ascii="Calibri" w:cs="Calibri" w:eastAsia="Calibri" w:hAnsi="Calibri"/>
                <w:b w:val="false"/>
                <w:bCs w:val="false"/>
                <w:color w:val="1B2A33"/>
                <w:sz w:val="19"/>
                <w:szCs w:val="19"/>
              </w:rPr>
              <w:t xml:space="preserve">Sub-daily records are rarely available this early in design, and a single daily depth doesn't change annual totals.</w:t>
            </w:r>
          </w:p>
        </w:tc>
      </w:tr>
      <w:tr>
        <w:trPr>
          <w:cantSplit/>
        </w:trPr>
        <w:tc>
          <w:tcPr>
            <w:tcW w:type="dxa" w:w="3960"/>
            <w:tcBorders>
              <w:top w:val="single" w:color="C9D6D4" w:sz="4"/>
              <w:left w:val="single" w:color="C9D6D4" w:sz="4"/>
              <w:bottom w:val="single" w:color="C9D6D4" w:sz="4"/>
              <w:right w:val="single" w:color="C9D6D4" w:sz="4"/>
            </w:tcBorders>
            <w:tcMar>
              <w:top w:type="dxa" w:w="90"/>
              <w:left w:type="dxa" w:w="130"/>
              <w:bottom w:type="dxa" w:w="90"/>
              <w:right w:type="dxa" w:w="130"/>
            </w:tcMar>
            <w:vAlign w:val="center"/>
          </w:tcPr>
          <w:p>
            <w:pPr>
              <w:jc w:val="left"/>
            </w:pPr>
            <w:r>
              <w:rPr>
                <w:rFonts w:ascii="Calibri" w:cs="Calibri" w:eastAsia="Calibri" w:hAnsi="Calibri"/>
                <w:b w:val="false"/>
                <w:bCs w:val="false"/>
                <w:color w:val="1B2A33"/>
                <w:sz w:val="19"/>
                <w:szCs w:val="19"/>
              </w:rPr>
              <w:t xml:space="preserve">Monthly rainfall is spread evenly across a fixed number of rain-days.</w:t>
            </w:r>
          </w:p>
        </w:tc>
        <w:tc>
          <w:tcPr>
            <w:tcW w:type="dxa" w:w="5400"/>
            <w:tcBorders>
              <w:top w:val="single" w:color="C9D6D4" w:sz="4"/>
              <w:left w:val="single" w:color="C9D6D4" w:sz="4"/>
              <w:bottom w:val="single" w:color="C9D6D4" w:sz="4"/>
              <w:right w:val="single" w:color="C9D6D4" w:sz="4"/>
            </w:tcBorders>
            <w:tcMar>
              <w:top w:type="dxa" w:w="90"/>
              <w:left w:type="dxa" w:w="130"/>
              <w:bottom w:type="dxa" w:w="90"/>
              <w:right w:type="dxa" w:w="130"/>
            </w:tcMar>
            <w:vAlign w:val="center"/>
          </w:tcPr>
          <w:p>
            <w:pPr>
              <w:jc w:val="left"/>
            </w:pPr>
            <w:r>
              <w:rPr>
                <w:rFonts w:ascii="Calibri" w:cs="Calibri" w:eastAsia="Calibri" w:hAnsi="Calibri"/>
                <w:b w:val="false"/>
                <w:bCs w:val="false"/>
                <w:color w:val="1B2A33"/>
                <w:sz w:val="19"/>
                <w:szCs w:val="19"/>
              </w:rPr>
              <w:t xml:space="preserve">Approximates real storm clustering without needing a historical daily record. Swappable for observed data later.</w:t>
            </w:r>
          </w:p>
        </w:tc>
      </w:tr>
      <w:tr>
        <w:trPr>
          <w:cantSplit/>
        </w:trPr>
        <w:tc>
          <w:tcPr>
            <w:tcW w:type="dxa" w:w="3960"/>
            <w:tcBorders>
              <w:top w:val="single" w:color="C9D6D4" w:sz="4"/>
              <w:left w:val="single" w:color="C9D6D4" w:sz="4"/>
              <w:bottom w:val="single" w:color="C9D6D4" w:sz="4"/>
              <w:right w:val="single" w:color="C9D6D4" w:sz="4"/>
            </w:tcBorders>
            <w:tcMar>
              <w:top w:type="dxa" w:w="90"/>
              <w:left w:type="dxa" w:w="130"/>
              <w:bottom w:type="dxa" w:w="90"/>
              <w:right w:type="dxa" w:w="130"/>
            </w:tcMar>
            <w:vAlign w:val="center"/>
          </w:tcPr>
          <w:p>
            <w:pPr>
              <w:jc w:val="left"/>
            </w:pPr>
            <w:r>
              <w:rPr>
                <w:rFonts w:ascii="Calibri" w:cs="Calibri" w:eastAsia="Calibri" w:hAnsi="Calibri"/>
                <w:b w:val="false"/>
                <w:bCs w:val="false"/>
                <w:color w:val="1B2A33"/>
                <w:sz w:val="19"/>
                <w:szCs w:val="19"/>
              </w:rPr>
              <w:t xml:space="preserve">Demand stays constant day to day.</w:t>
            </w:r>
          </w:p>
        </w:tc>
        <w:tc>
          <w:tcPr>
            <w:tcW w:type="dxa" w:w="5400"/>
            <w:tcBorders>
              <w:top w:val="single" w:color="C9D6D4" w:sz="4"/>
              <w:left w:val="single" w:color="C9D6D4" w:sz="4"/>
              <w:bottom w:val="single" w:color="C9D6D4" w:sz="4"/>
              <w:right w:val="single" w:color="C9D6D4" w:sz="4"/>
            </w:tcBorders>
            <w:tcMar>
              <w:top w:type="dxa" w:w="90"/>
              <w:left w:type="dxa" w:w="130"/>
              <w:bottom w:type="dxa" w:w="90"/>
              <w:right w:type="dxa" w:w="130"/>
            </w:tcMar>
            <w:vAlign w:val="center"/>
          </w:tcPr>
          <w:p>
            <w:pPr>
              <w:jc w:val="left"/>
            </w:pPr>
            <w:r>
              <w:rPr>
                <w:rFonts w:ascii="Calibri" w:cs="Calibri" w:eastAsia="Calibri" w:hAnsi="Calibri"/>
                <w:b w:val="false"/>
                <w:bCs w:val="false"/>
                <w:color w:val="1B2A33"/>
                <w:sz w:val="19"/>
                <w:szCs w:val="19"/>
              </w:rPr>
              <w:t xml:space="preserve">Non-potable use (flushing, laundry, cleaning) is far steadier than potable demand, so a flat daily draw is reasonable.</w:t>
            </w:r>
          </w:p>
        </w:tc>
      </w:tr>
      <w:tr>
        <w:trPr>
          <w:cantSplit/>
        </w:trPr>
        <w:tc>
          <w:tcPr>
            <w:tcW w:type="dxa" w:w="3960"/>
            <w:tcBorders>
              <w:top w:val="single" w:color="C9D6D4" w:sz="4"/>
              <w:left w:val="single" w:color="C9D6D4" w:sz="4"/>
              <w:bottom w:val="single" w:color="C9D6D4" w:sz="4"/>
              <w:right w:val="single" w:color="C9D6D4" w:sz="4"/>
            </w:tcBorders>
            <w:tcMar>
              <w:top w:type="dxa" w:w="90"/>
              <w:left w:type="dxa" w:w="130"/>
              <w:bottom w:type="dxa" w:w="90"/>
              <w:right w:type="dxa" w:w="130"/>
            </w:tcMar>
            <w:vAlign w:val="center"/>
          </w:tcPr>
          <w:p>
            <w:pPr>
              <w:jc w:val="left"/>
            </w:pPr>
            <w:r>
              <w:rPr>
                <w:rFonts w:ascii="Calibri" w:cs="Calibri" w:eastAsia="Calibri" w:hAnsi="Calibri"/>
                <w:b w:val="false"/>
                <w:bCs w:val="false"/>
                <w:color w:val="1B2A33"/>
                <w:sz w:val="19"/>
                <w:szCs w:val="19"/>
              </w:rPr>
              <w:t xml:space="preserve">No evaporation losses.</w:t>
            </w:r>
          </w:p>
        </w:tc>
        <w:tc>
          <w:tcPr>
            <w:tcW w:type="dxa" w:w="5400"/>
            <w:tcBorders>
              <w:top w:val="single" w:color="C9D6D4" w:sz="4"/>
              <w:left w:val="single" w:color="C9D6D4" w:sz="4"/>
              <w:bottom w:val="single" w:color="C9D6D4" w:sz="4"/>
              <w:right w:val="single" w:color="C9D6D4" w:sz="4"/>
            </w:tcBorders>
            <w:tcMar>
              <w:top w:type="dxa" w:w="90"/>
              <w:left w:type="dxa" w:w="130"/>
              <w:bottom w:type="dxa" w:w="90"/>
              <w:right w:type="dxa" w:w="130"/>
            </w:tcMar>
            <w:vAlign w:val="center"/>
          </w:tcPr>
          <w:p>
            <w:pPr>
              <w:jc w:val="left"/>
            </w:pPr>
            <w:r>
              <w:rPr>
                <w:rFonts w:ascii="Calibri" w:cs="Calibri" w:eastAsia="Calibri" w:hAnsi="Calibri"/>
                <w:b w:val="false"/>
                <w:bCs w:val="false"/>
                <w:color w:val="1B2A33"/>
                <w:sz w:val="19"/>
                <w:szCs w:val="19"/>
              </w:rPr>
              <w:t xml:space="preserve">Tanks are assumed closed and covered, standard for this application, so evaporation is negligible against the flows involved.</w:t>
            </w:r>
          </w:p>
        </w:tc>
      </w:tr>
      <w:tr>
        <w:trPr>
          <w:cantSplit/>
        </w:trPr>
        <w:tc>
          <w:tcPr>
            <w:tcW w:type="dxa" w:w="3960"/>
            <w:tcBorders>
              <w:top w:val="single" w:color="C9D6D4" w:sz="4"/>
              <w:left w:val="single" w:color="C9D6D4" w:sz="4"/>
              <w:bottom w:val="single" w:color="C9D6D4" w:sz="4"/>
              <w:right w:val="single" w:color="C9D6D4" w:sz="4"/>
            </w:tcBorders>
            <w:tcMar>
              <w:top w:type="dxa" w:w="90"/>
              <w:left w:type="dxa" w:w="130"/>
              <w:bottom w:type="dxa" w:w="90"/>
              <w:right w:type="dxa" w:w="130"/>
            </w:tcMar>
            <w:vAlign w:val="center"/>
          </w:tcPr>
          <w:p>
            <w:pPr>
              <w:jc w:val="left"/>
            </w:pPr>
            <w:r>
              <w:rPr>
                <w:rFonts w:ascii="Calibri" w:cs="Calibri" w:eastAsia="Calibri" w:hAnsi="Calibri"/>
                <w:b w:val="false"/>
                <w:bCs w:val="false"/>
                <w:color w:val="1B2A33"/>
                <w:sz w:val="19"/>
                <w:szCs w:val="19"/>
              </w:rPr>
              <w:t xml:space="preserve">No leakage from tank or piping.</w:t>
            </w:r>
          </w:p>
        </w:tc>
        <w:tc>
          <w:tcPr>
            <w:tcW w:type="dxa" w:w="5400"/>
            <w:tcBorders>
              <w:top w:val="single" w:color="C9D6D4" w:sz="4"/>
              <w:left w:val="single" w:color="C9D6D4" w:sz="4"/>
              <w:bottom w:val="single" w:color="C9D6D4" w:sz="4"/>
              <w:right w:val="single" w:color="C9D6D4" w:sz="4"/>
            </w:tcBorders>
            <w:tcMar>
              <w:top w:type="dxa" w:w="90"/>
              <w:left w:type="dxa" w:w="130"/>
              <w:bottom w:type="dxa" w:w="90"/>
              <w:right w:type="dxa" w:w="130"/>
            </w:tcMar>
            <w:vAlign w:val="center"/>
          </w:tcPr>
          <w:p>
            <w:pPr>
              <w:jc w:val="left"/>
            </w:pPr>
            <w:r>
              <w:rPr>
                <w:rFonts w:ascii="Calibri" w:cs="Calibri" w:eastAsia="Calibri" w:hAnsi="Calibri"/>
                <w:b w:val="false"/>
                <w:bCs w:val="false"/>
                <w:color w:val="1B2A33"/>
                <w:sz w:val="19"/>
                <w:szCs w:val="19"/>
              </w:rPr>
              <w:t xml:space="preserve">A properly installed, inspected system shouldn't leak meaningfully; the maintenance budget covers minor repairs.</w:t>
            </w:r>
          </w:p>
        </w:tc>
      </w:tr>
      <w:tr>
        <w:trPr>
          <w:cantSplit/>
        </w:trPr>
        <w:tc>
          <w:tcPr>
            <w:tcW w:type="dxa" w:w="3960"/>
            <w:tcBorders>
              <w:top w:val="single" w:color="C9D6D4" w:sz="4"/>
              <w:left w:val="single" w:color="C9D6D4" w:sz="4"/>
              <w:bottom w:val="single" w:color="C9D6D4" w:sz="4"/>
              <w:right w:val="single" w:color="C9D6D4" w:sz="4"/>
            </w:tcBorders>
            <w:tcMar>
              <w:top w:type="dxa" w:w="90"/>
              <w:left w:type="dxa" w:w="130"/>
              <w:bottom w:type="dxa" w:w="90"/>
              <w:right w:type="dxa" w:w="130"/>
            </w:tcMar>
            <w:vAlign w:val="center"/>
          </w:tcPr>
          <w:p>
            <w:pPr>
              <w:jc w:val="left"/>
            </w:pPr>
            <w:r>
              <w:rPr>
                <w:rFonts w:ascii="Calibri" w:cs="Calibri" w:eastAsia="Calibri" w:hAnsi="Calibri"/>
                <w:b w:val="false"/>
                <w:bCs w:val="false"/>
                <w:color w:val="1B2A33"/>
                <w:sz w:val="19"/>
                <w:szCs w:val="19"/>
              </w:rPr>
              <w:t xml:space="preserve">First-flush diversion removes a fixed depth per rain-day, if enabled.</w:t>
            </w:r>
          </w:p>
        </w:tc>
        <w:tc>
          <w:tcPr>
            <w:tcW w:type="dxa" w:w="5400"/>
            <w:tcBorders>
              <w:top w:val="single" w:color="C9D6D4" w:sz="4"/>
              <w:left w:val="single" w:color="C9D6D4" w:sz="4"/>
              <w:bottom w:val="single" w:color="C9D6D4" w:sz="4"/>
              <w:right w:val="single" w:color="C9D6D4" w:sz="4"/>
            </w:tcBorders>
            <w:tcMar>
              <w:top w:type="dxa" w:w="90"/>
              <w:left w:type="dxa" w:w="130"/>
              <w:bottom w:type="dxa" w:w="90"/>
              <w:right w:type="dxa" w:w="130"/>
            </w:tcMar>
            <w:vAlign w:val="center"/>
          </w:tcPr>
          <w:p>
            <w:pPr>
              <w:jc w:val="left"/>
            </w:pPr>
            <w:r>
              <w:rPr>
                <w:rFonts w:ascii="Calibri" w:cs="Calibri" w:eastAsia="Calibri" w:hAnsi="Calibri"/>
                <w:b w:val="false"/>
                <w:bCs w:val="false"/>
                <w:color w:val="1B2A33"/>
                <w:sz w:val="19"/>
                <w:szCs w:val="19"/>
              </w:rPr>
              <w:t xml:space="preserve">Simpler than a volume-based diverter, standard practice for early-stage sizing, and the depth is adjustable.</w:t>
            </w:r>
          </w:p>
        </w:tc>
      </w:tr>
      <w:tr>
        <w:trPr>
          <w:cantSplit/>
        </w:trPr>
        <w:tc>
          <w:tcPr>
            <w:tcW w:type="dxa" w:w="3960"/>
            <w:tcBorders>
              <w:top w:val="single" w:color="C9D6D4" w:sz="4"/>
              <w:left w:val="single" w:color="C9D6D4" w:sz="4"/>
              <w:bottom w:val="single" w:color="C9D6D4" w:sz="4"/>
              <w:right w:val="single" w:color="C9D6D4" w:sz="4"/>
            </w:tcBorders>
            <w:tcMar>
              <w:top w:type="dxa" w:w="90"/>
              <w:left w:type="dxa" w:w="130"/>
              <w:bottom w:type="dxa" w:w="90"/>
              <w:right w:type="dxa" w:w="130"/>
            </w:tcMar>
            <w:vAlign w:val="center"/>
          </w:tcPr>
          <w:p>
            <w:pPr>
              <w:jc w:val="left"/>
            </w:pPr>
            <w:r>
              <w:rPr>
                <w:rFonts w:ascii="Calibri" w:cs="Calibri" w:eastAsia="Calibri" w:hAnsi="Calibri"/>
                <w:b w:val="false"/>
                <w:bCs w:val="false"/>
                <w:color w:val="1B2A33"/>
                <w:sz w:val="19"/>
                <w:szCs w:val="19"/>
              </w:rPr>
              <w:t xml:space="preserve">Pump efficiency affects only energy cost, not the water balance.</w:t>
            </w:r>
          </w:p>
        </w:tc>
        <w:tc>
          <w:tcPr>
            <w:tcW w:type="dxa" w:w="5400"/>
            <w:tcBorders>
              <w:top w:val="single" w:color="C9D6D4" w:sz="4"/>
              <w:left w:val="single" w:color="C9D6D4" w:sz="4"/>
              <w:bottom w:val="single" w:color="C9D6D4" w:sz="4"/>
              <w:right w:val="single" w:color="C9D6D4" w:sz="4"/>
            </w:tcBorders>
            <w:tcMar>
              <w:top w:type="dxa" w:w="90"/>
              <w:left w:type="dxa" w:w="130"/>
              <w:bottom w:type="dxa" w:w="90"/>
              <w:right w:type="dxa" w:w="130"/>
            </w:tcMar>
            <w:vAlign w:val="center"/>
          </w:tcPr>
          <w:p>
            <w:pPr>
              <w:jc w:val="left"/>
            </w:pPr>
            <w:r>
              <w:rPr>
                <w:rFonts w:ascii="Calibri" w:cs="Calibri" w:eastAsia="Calibri" w:hAnsi="Calibri"/>
                <w:b w:val="false"/>
                <w:bCs w:val="false"/>
                <w:color w:val="1B2A33"/>
                <w:sz w:val="19"/>
                <w:szCs w:val="19"/>
              </w:rPr>
              <w:t xml:space="preserve">The balance itself is volume-based; pumping is a downstream energy cost rather than a source of water loss.</w:t>
            </w:r>
          </w:p>
        </w:tc>
      </w:tr>
      <w:tr>
        <w:trPr>
          <w:cantSplit/>
        </w:trPr>
        <w:tc>
          <w:tcPr>
            <w:tcW w:type="dxa" w:w="3960"/>
            <w:tcBorders>
              <w:top w:val="single" w:color="C9D6D4" w:sz="4"/>
              <w:left w:val="single" w:color="C9D6D4" w:sz="4"/>
              <w:bottom w:val="single" w:color="C9D6D4" w:sz="4"/>
              <w:right w:val="single" w:color="C9D6D4" w:sz="4"/>
            </w:tcBorders>
            <w:tcMar>
              <w:top w:type="dxa" w:w="90"/>
              <w:left w:type="dxa" w:w="130"/>
              <w:bottom w:type="dxa" w:w="90"/>
              <w:right w:type="dxa" w:w="130"/>
            </w:tcMar>
            <w:vAlign w:val="center"/>
          </w:tcPr>
          <w:p>
            <w:pPr>
              <w:jc w:val="left"/>
            </w:pPr>
            <w:r>
              <w:rPr>
                <w:rFonts w:ascii="Calibri" w:cs="Calibri" w:eastAsia="Calibri" w:hAnsi="Calibri"/>
                <w:b w:val="false"/>
                <w:bCs w:val="false"/>
                <w:color w:val="1B2A33"/>
                <w:sz w:val="19"/>
                <w:szCs w:val="19"/>
              </w:rPr>
              <w:t xml:space="preserve">Runoff coefficient is held constant year-round.</w:t>
            </w:r>
          </w:p>
        </w:tc>
        <w:tc>
          <w:tcPr>
            <w:tcW w:type="dxa" w:w="5400"/>
            <w:tcBorders>
              <w:top w:val="single" w:color="C9D6D4" w:sz="4"/>
              <w:left w:val="single" w:color="C9D6D4" w:sz="4"/>
              <w:bottom w:val="single" w:color="C9D6D4" w:sz="4"/>
              <w:right w:val="single" w:color="C9D6D4" w:sz="4"/>
            </w:tcBorders>
            <w:tcMar>
              <w:top w:type="dxa" w:w="90"/>
              <w:left w:type="dxa" w:w="130"/>
              <w:bottom w:type="dxa" w:w="90"/>
              <w:right w:type="dxa" w:w="130"/>
            </w:tcMar>
            <w:vAlign w:val="center"/>
          </w:tcPr>
          <w:p>
            <w:pPr>
              <w:jc w:val="left"/>
            </w:pPr>
            <w:r>
              <w:rPr>
                <w:rFonts w:ascii="Calibri" w:cs="Calibri" w:eastAsia="Calibri" w:hAnsi="Calibri"/>
                <w:b w:val="false"/>
                <w:bCs w:val="false"/>
                <w:color w:val="1B2A33"/>
                <w:sz w:val="19"/>
                <w:szCs w:val="19"/>
              </w:rPr>
              <w:t xml:space="preserve">C does vary slightly with rain intensity and roof wetness in reality, but a constant value is standard at this scale.</w:t>
            </w:r>
          </w:p>
        </w:tc>
      </w:tr>
    </w:tbl>
    <w:p>
      <w:pPr>
        <w:pStyle w:val="Heading1"/>
        <w:keepNext/>
        <w:keepLines/>
        <w:pBdr>
          <w:bottom w:val="single" w:color="0E5C57" w:sz="6" w:space="6"/>
        </w:pBdr>
        <w:spacing w:after="180" w:before="420"/>
      </w:pPr>
      <w:r>
        <w:rPr>
          <w:rFonts w:ascii="Calibri" w:cs="Calibri" w:eastAsia="Calibri" w:hAnsi="Calibri"/>
          <w:b/>
          <w:bCs/>
          <w:color w:val="1B7A72"/>
          <w:sz w:val="30"/>
          <w:szCs w:val="30"/>
        </w:rPr>
        <w:t xml:space="preserve"/>
      </w:r>
      <w:r>
        <w:rPr>
          <w:rFonts w:ascii="Calibri" w:cs="Calibri" w:eastAsia="Calibri" w:hAnsi="Calibri"/>
          <w:b/>
          <w:bCs/>
          <w:color w:val="0E5C57"/>
          <w:sz w:val="30"/>
          <w:szCs w:val="30"/>
        </w:rPr>
        <w:t xml:space="preserve">4. Results</w:t>
      </w:r>
    </w:p>
    <w:p>
      <w:pPr>
        <w:spacing w:after="160" w:line="268"/>
        <w:jc w:val="left"/>
      </w:pPr>
      <w:r>
        <w:rPr>
          <w:rFonts w:ascii="Calibri" w:cs="Calibri" w:eastAsia="Calibri" w:hAnsi="Calibri"/>
          <w:color w:val="1B2A33"/>
          <w:sz w:val="21"/>
          <w:szCs w:val="21"/>
        </w:rPr>
        <w:t xml:space="preserve">The numbers below are for the base case: Karachi rainfall, a 220 m2 corrugated metal roof (runoff coefficient 0.85), 95% filter efficiency and 97% conveyance efficiency (78.3% overall collection efficiency), a six-person household drawing 45 L per person daily, and a 5,000 L tank.</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5400"/>
        <w:gridCol w:w="3200"/>
      </w:tblGrid>
      <w:tr>
        <w:trPr>
          <w:cantSplit/>
          <w:tblHeader/>
        </w:trPr>
        <w:tc>
          <w:tcPr>
            <w:tcW w:type="dxa" w:w="5400"/>
            <w:tcBorders>
              <w:top w:val="single" w:color="C9D6D4" w:sz="4"/>
              <w:left w:val="single" w:color="C9D6D4" w:sz="4"/>
              <w:bottom w:val="single" w:color="C9D6D4" w:sz="4"/>
              <w:right w:val="single" w:color="C9D6D4" w:sz="4"/>
            </w:tcBorders>
            <w:shd w:fill="0E5C57" w:val="clear"/>
            <w:tcMar>
              <w:top w:type="dxa" w:w="90"/>
              <w:left w:type="dxa" w:w="130"/>
              <w:bottom w:type="dxa" w:w="90"/>
              <w:right w:type="dxa" w:w="130"/>
            </w:tcMar>
            <w:vAlign w:val="center"/>
          </w:tcPr>
          <w:p>
            <w:pPr>
              <w:jc w:val="left"/>
            </w:pPr>
            <w:r>
              <w:rPr>
                <w:rFonts w:ascii="Calibri" w:cs="Calibri" w:eastAsia="Calibri" w:hAnsi="Calibri"/>
                <w:b/>
                <w:bCs/>
                <w:color w:val="FFFFFF"/>
                <w:sz w:val="19"/>
                <w:szCs w:val="19"/>
              </w:rPr>
              <w:t xml:space="preserve">Metric</w:t>
            </w:r>
          </w:p>
        </w:tc>
        <w:tc>
          <w:tcPr>
            <w:tcW w:type="dxa" w:w="3200"/>
            <w:tcBorders>
              <w:top w:val="single" w:color="C9D6D4" w:sz="4"/>
              <w:left w:val="single" w:color="C9D6D4" w:sz="4"/>
              <w:bottom w:val="single" w:color="C9D6D4" w:sz="4"/>
              <w:right w:val="single" w:color="C9D6D4" w:sz="4"/>
            </w:tcBorders>
            <w:shd w:fill="0E5C57" w:val="clear"/>
            <w:tcMar>
              <w:top w:type="dxa" w:w="90"/>
              <w:left w:type="dxa" w:w="130"/>
              <w:bottom w:type="dxa" w:w="90"/>
              <w:right w:type="dxa" w:w="130"/>
            </w:tcMar>
            <w:vAlign w:val="center"/>
          </w:tcPr>
          <w:p>
            <w:pPr>
              <w:jc w:val="left"/>
            </w:pPr>
            <w:r>
              <w:rPr>
                <w:rFonts w:ascii="Calibri" w:cs="Calibri" w:eastAsia="Calibri" w:hAnsi="Calibri"/>
                <w:b/>
                <w:bCs/>
                <w:color w:val="FFFFFF"/>
                <w:sz w:val="19"/>
                <w:szCs w:val="19"/>
              </w:rPr>
              <w:t xml:space="preserve">Value</w:t>
            </w:r>
          </w:p>
        </w:tc>
      </w:tr>
      <w:tr>
        <w:trPr>
          <w:cantSplit/>
        </w:trPr>
        <w:tc>
          <w:tcPr>
            <w:tcW w:type="dxa" w:w="5400"/>
            <w:tcBorders>
              <w:top w:val="single" w:color="C9D6D4" w:sz="4"/>
              <w:left w:val="single" w:color="C9D6D4" w:sz="4"/>
              <w:bottom w:val="single" w:color="C9D6D4" w:sz="4"/>
              <w:right w:val="single" w:color="C9D6D4" w:sz="4"/>
            </w:tcBorders>
            <w:tcMar>
              <w:top w:type="dxa" w:w="90"/>
              <w:left w:type="dxa" w:w="130"/>
              <w:bottom w:type="dxa" w:w="90"/>
              <w:right w:type="dxa" w:w="130"/>
            </w:tcMar>
            <w:vAlign w:val="center"/>
          </w:tcPr>
          <w:p>
            <w:pPr>
              <w:jc w:val="left"/>
            </w:pPr>
            <w:r>
              <w:rPr>
                <w:rFonts w:ascii="Calibri" w:cs="Calibri" w:eastAsia="Calibri" w:hAnsi="Calibri"/>
                <w:b w:val="false"/>
                <w:bCs w:val="false"/>
                <w:color w:val="1B2A33"/>
                <w:sz w:val="19"/>
                <w:szCs w:val="19"/>
              </w:rPr>
              <w:t xml:space="preserve">Total annual rainfall (Karachi)</w:t>
            </w:r>
          </w:p>
        </w:tc>
        <w:tc>
          <w:tcPr>
            <w:tcW w:type="dxa" w:w="3200"/>
            <w:tcBorders>
              <w:top w:val="single" w:color="C9D6D4" w:sz="4"/>
              <w:left w:val="single" w:color="C9D6D4" w:sz="4"/>
              <w:bottom w:val="single" w:color="C9D6D4" w:sz="4"/>
              <w:right w:val="single" w:color="C9D6D4" w:sz="4"/>
            </w:tcBorders>
            <w:tcMar>
              <w:top w:type="dxa" w:w="90"/>
              <w:left w:type="dxa" w:w="130"/>
              <w:bottom w:type="dxa" w:w="90"/>
              <w:right w:type="dxa" w:w="130"/>
            </w:tcMar>
            <w:vAlign w:val="center"/>
          </w:tcPr>
          <w:p>
            <w:pPr>
              <w:jc w:val="left"/>
            </w:pPr>
            <w:r>
              <w:rPr>
                <w:rFonts w:ascii="Calibri" w:cs="Calibri" w:eastAsia="Calibri" w:hAnsi="Calibri"/>
                <w:b w:val="false"/>
                <w:bCs w:val="false"/>
                <w:color w:val="1B2A33"/>
                <w:sz w:val="19"/>
                <w:szCs w:val="19"/>
              </w:rPr>
              <w:t xml:space="preserve">155 mm</w:t>
            </w:r>
          </w:p>
        </w:tc>
      </w:tr>
      <w:tr>
        <w:trPr>
          <w:cantSplit/>
        </w:trPr>
        <w:tc>
          <w:tcPr>
            <w:tcW w:type="dxa" w:w="5400"/>
            <w:tcBorders>
              <w:top w:val="single" w:color="C9D6D4" w:sz="4"/>
              <w:left w:val="single" w:color="C9D6D4" w:sz="4"/>
              <w:bottom w:val="single" w:color="C9D6D4" w:sz="4"/>
              <w:right w:val="single" w:color="C9D6D4" w:sz="4"/>
            </w:tcBorders>
            <w:tcMar>
              <w:top w:type="dxa" w:w="90"/>
              <w:left w:type="dxa" w:w="130"/>
              <w:bottom w:type="dxa" w:w="90"/>
              <w:right w:type="dxa" w:w="130"/>
            </w:tcMar>
            <w:vAlign w:val="center"/>
          </w:tcPr>
          <w:p>
            <w:pPr>
              <w:jc w:val="left"/>
            </w:pPr>
            <w:r>
              <w:rPr>
                <w:rFonts w:ascii="Calibri" w:cs="Calibri" w:eastAsia="Calibri" w:hAnsi="Calibri"/>
                <w:b w:val="false"/>
                <w:bCs w:val="false"/>
                <w:color w:val="1B2A33"/>
                <w:sz w:val="19"/>
                <w:szCs w:val="19"/>
              </w:rPr>
              <w:t xml:space="preserve">Total water collected</w:t>
            </w:r>
          </w:p>
        </w:tc>
        <w:tc>
          <w:tcPr>
            <w:tcW w:type="dxa" w:w="3200"/>
            <w:tcBorders>
              <w:top w:val="single" w:color="C9D6D4" w:sz="4"/>
              <w:left w:val="single" w:color="C9D6D4" w:sz="4"/>
              <w:bottom w:val="single" w:color="C9D6D4" w:sz="4"/>
              <w:right w:val="single" w:color="C9D6D4" w:sz="4"/>
            </w:tcBorders>
            <w:tcMar>
              <w:top w:type="dxa" w:w="90"/>
              <w:left w:type="dxa" w:w="130"/>
              <w:bottom w:type="dxa" w:w="90"/>
              <w:right w:type="dxa" w:w="130"/>
            </w:tcMar>
            <w:vAlign w:val="center"/>
          </w:tcPr>
          <w:p>
            <w:pPr>
              <w:jc w:val="left"/>
            </w:pPr>
            <w:r>
              <w:rPr>
                <w:rFonts w:ascii="Calibri" w:cs="Calibri" w:eastAsia="Calibri" w:hAnsi="Calibri"/>
                <w:b w:val="false"/>
                <w:bCs w:val="false"/>
                <w:color w:val="1B2A33"/>
                <w:sz w:val="19"/>
                <w:szCs w:val="19"/>
              </w:rPr>
              <w:t xml:space="preserve">22,746 L</w:t>
            </w:r>
          </w:p>
        </w:tc>
      </w:tr>
      <w:tr>
        <w:trPr>
          <w:cantSplit/>
        </w:trPr>
        <w:tc>
          <w:tcPr>
            <w:tcW w:type="dxa" w:w="5400"/>
            <w:tcBorders>
              <w:top w:val="single" w:color="C9D6D4" w:sz="4"/>
              <w:left w:val="single" w:color="C9D6D4" w:sz="4"/>
              <w:bottom w:val="single" w:color="C9D6D4" w:sz="4"/>
              <w:right w:val="single" w:color="C9D6D4" w:sz="4"/>
            </w:tcBorders>
            <w:tcMar>
              <w:top w:type="dxa" w:w="90"/>
              <w:left w:type="dxa" w:w="130"/>
              <w:bottom w:type="dxa" w:w="90"/>
              <w:right w:type="dxa" w:w="130"/>
            </w:tcMar>
            <w:vAlign w:val="center"/>
          </w:tcPr>
          <w:p>
            <w:pPr>
              <w:jc w:val="left"/>
            </w:pPr>
            <w:r>
              <w:rPr>
                <w:rFonts w:ascii="Calibri" w:cs="Calibri" w:eastAsia="Calibri" w:hAnsi="Calibri"/>
                <w:b w:val="false"/>
                <w:bCs w:val="false"/>
                <w:color w:val="1B2A33"/>
                <w:sz w:val="19"/>
                <w:szCs w:val="19"/>
              </w:rPr>
              <w:t xml:space="preserve">Total annual demand</w:t>
            </w:r>
          </w:p>
        </w:tc>
        <w:tc>
          <w:tcPr>
            <w:tcW w:type="dxa" w:w="3200"/>
            <w:tcBorders>
              <w:top w:val="single" w:color="C9D6D4" w:sz="4"/>
              <w:left w:val="single" w:color="C9D6D4" w:sz="4"/>
              <w:bottom w:val="single" w:color="C9D6D4" w:sz="4"/>
              <w:right w:val="single" w:color="C9D6D4" w:sz="4"/>
            </w:tcBorders>
            <w:tcMar>
              <w:top w:type="dxa" w:w="90"/>
              <w:left w:type="dxa" w:w="130"/>
              <w:bottom w:type="dxa" w:w="90"/>
              <w:right w:type="dxa" w:w="130"/>
            </w:tcMar>
            <w:vAlign w:val="center"/>
          </w:tcPr>
          <w:p>
            <w:pPr>
              <w:jc w:val="left"/>
            </w:pPr>
            <w:r>
              <w:rPr>
                <w:rFonts w:ascii="Calibri" w:cs="Calibri" w:eastAsia="Calibri" w:hAnsi="Calibri"/>
                <w:b w:val="false"/>
                <w:bCs w:val="false"/>
                <w:color w:val="1B2A33"/>
                <w:sz w:val="19"/>
                <w:szCs w:val="19"/>
              </w:rPr>
              <w:t xml:space="preserve">98,550 L</w:t>
            </w:r>
          </w:p>
        </w:tc>
      </w:tr>
      <w:tr>
        <w:trPr>
          <w:cantSplit/>
        </w:trPr>
        <w:tc>
          <w:tcPr>
            <w:tcW w:type="dxa" w:w="5400"/>
            <w:tcBorders>
              <w:top w:val="single" w:color="C9D6D4" w:sz="4"/>
              <w:left w:val="single" w:color="C9D6D4" w:sz="4"/>
              <w:bottom w:val="single" w:color="C9D6D4" w:sz="4"/>
              <w:right w:val="single" w:color="C9D6D4" w:sz="4"/>
            </w:tcBorders>
            <w:tcMar>
              <w:top w:type="dxa" w:w="90"/>
              <w:left w:type="dxa" w:w="130"/>
              <w:bottom w:type="dxa" w:w="90"/>
              <w:right w:type="dxa" w:w="130"/>
            </w:tcMar>
            <w:vAlign w:val="center"/>
          </w:tcPr>
          <w:p>
            <w:pPr>
              <w:jc w:val="left"/>
            </w:pPr>
            <w:r>
              <w:rPr>
                <w:rFonts w:ascii="Calibri" w:cs="Calibri" w:eastAsia="Calibri" w:hAnsi="Calibri"/>
                <w:b w:val="false"/>
                <w:bCs w:val="false"/>
                <w:color w:val="1B2A33"/>
                <w:sz w:val="19"/>
                <w:szCs w:val="19"/>
              </w:rPr>
              <w:t xml:space="preserve">Water supplied</w:t>
            </w:r>
          </w:p>
        </w:tc>
        <w:tc>
          <w:tcPr>
            <w:tcW w:type="dxa" w:w="3200"/>
            <w:tcBorders>
              <w:top w:val="single" w:color="C9D6D4" w:sz="4"/>
              <w:left w:val="single" w:color="C9D6D4" w:sz="4"/>
              <w:bottom w:val="single" w:color="C9D6D4" w:sz="4"/>
              <w:right w:val="single" w:color="C9D6D4" w:sz="4"/>
            </w:tcBorders>
            <w:tcMar>
              <w:top w:type="dxa" w:w="90"/>
              <w:left w:type="dxa" w:w="130"/>
              <w:bottom w:type="dxa" w:w="90"/>
              <w:right w:type="dxa" w:w="130"/>
            </w:tcMar>
            <w:vAlign w:val="center"/>
          </w:tcPr>
          <w:p>
            <w:pPr>
              <w:jc w:val="left"/>
            </w:pPr>
            <w:r>
              <w:rPr>
                <w:rFonts w:ascii="Calibri" w:cs="Calibri" w:eastAsia="Calibri" w:hAnsi="Calibri"/>
                <w:b w:val="false"/>
                <w:bCs w:val="false"/>
                <w:color w:val="1B2A33"/>
                <w:sz w:val="19"/>
                <w:szCs w:val="19"/>
              </w:rPr>
              <w:t xml:space="preserve">23,546 L</w:t>
            </w:r>
          </w:p>
        </w:tc>
      </w:tr>
      <w:tr>
        <w:trPr>
          <w:cantSplit/>
        </w:trPr>
        <w:tc>
          <w:tcPr>
            <w:tcW w:type="dxa" w:w="5400"/>
            <w:tcBorders>
              <w:top w:val="single" w:color="C9D6D4" w:sz="4"/>
              <w:left w:val="single" w:color="C9D6D4" w:sz="4"/>
              <w:bottom w:val="single" w:color="C9D6D4" w:sz="4"/>
              <w:right w:val="single" w:color="C9D6D4" w:sz="4"/>
            </w:tcBorders>
            <w:tcMar>
              <w:top w:type="dxa" w:w="90"/>
              <w:left w:type="dxa" w:w="130"/>
              <w:bottom w:type="dxa" w:w="90"/>
              <w:right w:type="dxa" w:w="130"/>
            </w:tcMar>
            <w:vAlign w:val="center"/>
          </w:tcPr>
          <w:p>
            <w:pPr>
              <w:jc w:val="left"/>
            </w:pPr>
            <w:r>
              <w:rPr>
                <w:rFonts w:ascii="Calibri" w:cs="Calibri" w:eastAsia="Calibri" w:hAnsi="Calibri"/>
                <w:b w:val="false"/>
                <w:bCs w:val="false"/>
                <w:color w:val="1B2A33"/>
                <w:sz w:val="19"/>
                <w:szCs w:val="19"/>
              </w:rPr>
              <w:t xml:space="preserve">Overflow</w:t>
            </w:r>
          </w:p>
        </w:tc>
        <w:tc>
          <w:tcPr>
            <w:tcW w:type="dxa" w:w="3200"/>
            <w:tcBorders>
              <w:top w:val="single" w:color="C9D6D4" w:sz="4"/>
              <w:left w:val="single" w:color="C9D6D4" w:sz="4"/>
              <w:bottom w:val="single" w:color="C9D6D4" w:sz="4"/>
              <w:right w:val="single" w:color="C9D6D4" w:sz="4"/>
            </w:tcBorders>
            <w:tcMar>
              <w:top w:type="dxa" w:w="90"/>
              <w:left w:type="dxa" w:w="130"/>
              <w:bottom w:type="dxa" w:w="90"/>
              <w:right w:type="dxa" w:w="130"/>
            </w:tcMar>
            <w:vAlign w:val="center"/>
          </w:tcPr>
          <w:p>
            <w:pPr>
              <w:jc w:val="left"/>
            </w:pPr>
            <w:r>
              <w:rPr>
                <w:rFonts w:ascii="Calibri" w:cs="Calibri" w:eastAsia="Calibri" w:hAnsi="Calibri"/>
                <w:b w:val="false"/>
                <w:bCs w:val="false"/>
                <w:color w:val="1B2A33"/>
                <w:sz w:val="19"/>
                <w:szCs w:val="19"/>
              </w:rPr>
              <w:t xml:space="preserve">0 L</w:t>
            </w:r>
          </w:p>
        </w:tc>
      </w:tr>
      <w:tr>
        <w:trPr>
          <w:cantSplit/>
        </w:trPr>
        <w:tc>
          <w:tcPr>
            <w:tcW w:type="dxa" w:w="5400"/>
            <w:tcBorders>
              <w:top w:val="single" w:color="C9D6D4" w:sz="4"/>
              <w:left w:val="single" w:color="C9D6D4" w:sz="4"/>
              <w:bottom w:val="single" w:color="C9D6D4" w:sz="4"/>
              <w:right w:val="single" w:color="C9D6D4" w:sz="4"/>
            </w:tcBorders>
            <w:tcMar>
              <w:top w:type="dxa" w:w="90"/>
              <w:left w:type="dxa" w:w="130"/>
              <w:bottom w:type="dxa" w:w="90"/>
              <w:right w:type="dxa" w:w="130"/>
            </w:tcMar>
            <w:vAlign w:val="center"/>
          </w:tcPr>
          <w:p>
            <w:pPr>
              <w:jc w:val="left"/>
            </w:pPr>
            <w:r>
              <w:rPr>
                <w:rFonts w:ascii="Calibri" w:cs="Calibri" w:eastAsia="Calibri" w:hAnsi="Calibri"/>
                <w:b w:val="false"/>
                <w:bCs w:val="false"/>
                <w:color w:val="1B2A33"/>
                <w:sz w:val="19"/>
                <w:szCs w:val="19"/>
              </w:rPr>
              <w:t xml:space="preserve">Shortage</w:t>
            </w:r>
          </w:p>
        </w:tc>
        <w:tc>
          <w:tcPr>
            <w:tcW w:type="dxa" w:w="3200"/>
            <w:tcBorders>
              <w:top w:val="single" w:color="C9D6D4" w:sz="4"/>
              <w:left w:val="single" w:color="C9D6D4" w:sz="4"/>
              <w:bottom w:val="single" w:color="C9D6D4" w:sz="4"/>
              <w:right w:val="single" w:color="C9D6D4" w:sz="4"/>
            </w:tcBorders>
            <w:tcMar>
              <w:top w:type="dxa" w:w="90"/>
              <w:left w:type="dxa" w:w="130"/>
              <w:bottom w:type="dxa" w:w="90"/>
              <w:right w:type="dxa" w:w="130"/>
            </w:tcMar>
            <w:vAlign w:val="center"/>
          </w:tcPr>
          <w:p>
            <w:pPr>
              <w:jc w:val="left"/>
            </w:pPr>
            <w:r>
              <w:rPr>
                <w:rFonts w:ascii="Calibri" w:cs="Calibri" w:eastAsia="Calibri" w:hAnsi="Calibri"/>
                <w:b w:val="false"/>
                <w:bCs w:val="false"/>
                <w:color w:val="1B2A33"/>
                <w:sz w:val="19"/>
                <w:szCs w:val="19"/>
              </w:rPr>
              <w:t xml:space="preserve">75,004 L</w:t>
            </w:r>
          </w:p>
        </w:tc>
      </w:tr>
      <w:tr>
        <w:trPr>
          <w:cantSplit/>
        </w:trPr>
        <w:tc>
          <w:tcPr>
            <w:tcW w:type="dxa" w:w="5400"/>
            <w:tcBorders>
              <w:top w:val="single" w:color="C9D6D4" w:sz="4"/>
              <w:left w:val="single" w:color="C9D6D4" w:sz="4"/>
              <w:bottom w:val="single" w:color="C9D6D4" w:sz="4"/>
              <w:right w:val="single" w:color="C9D6D4" w:sz="4"/>
            </w:tcBorders>
            <w:tcMar>
              <w:top w:type="dxa" w:w="90"/>
              <w:left w:type="dxa" w:w="130"/>
              <w:bottom w:type="dxa" w:w="90"/>
              <w:right w:type="dxa" w:w="130"/>
            </w:tcMar>
            <w:vAlign w:val="center"/>
          </w:tcPr>
          <w:p>
            <w:pPr>
              <w:jc w:val="left"/>
            </w:pPr>
            <w:r>
              <w:rPr>
                <w:rFonts w:ascii="Calibri" w:cs="Calibri" w:eastAsia="Calibri" w:hAnsi="Calibri"/>
                <w:b w:val="false"/>
                <w:bCs w:val="false"/>
                <w:color w:val="1B2A33"/>
                <w:sz w:val="19"/>
                <w:szCs w:val="19"/>
              </w:rPr>
              <w:t xml:space="preserve">Average tank storage</w:t>
            </w:r>
          </w:p>
        </w:tc>
        <w:tc>
          <w:tcPr>
            <w:tcW w:type="dxa" w:w="3200"/>
            <w:tcBorders>
              <w:top w:val="single" w:color="C9D6D4" w:sz="4"/>
              <w:left w:val="single" w:color="C9D6D4" w:sz="4"/>
              <w:bottom w:val="single" w:color="C9D6D4" w:sz="4"/>
              <w:right w:val="single" w:color="C9D6D4" w:sz="4"/>
            </w:tcBorders>
            <w:tcMar>
              <w:top w:type="dxa" w:w="90"/>
              <w:left w:type="dxa" w:w="130"/>
              <w:bottom w:type="dxa" w:w="90"/>
              <w:right w:type="dxa" w:w="130"/>
            </w:tcMar>
            <w:vAlign w:val="center"/>
          </w:tcPr>
          <w:p>
            <w:pPr>
              <w:jc w:val="left"/>
            </w:pPr>
            <w:r>
              <w:rPr>
                <w:rFonts w:ascii="Calibri" w:cs="Calibri" w:eastAsia="Calibri" w:hAnsi="Calibri"/>
                <w:b w:val="false"/>
                <w:bCs w:val="false"/>
                <w:color w:val="1B2A33"/>
                <w:sz w:val="19"/>
                <w:szCs w:val="19"/>
              </w:rPr>
              <w:t xml:space="preserve">674 L</w:t>
            </w:r>
          </w:p>
        </w:tc>
      </w:tr>
      <w:tr>
        <w:trPr>
          <w:cantSplit/>
        </w:trPr>
        <w:tc>
          <w:tcPr>
            <w:tcW w:type="dxa" w:w="5400"/>
            <w:tcBorders>
              <w:top w:val="single" w:color="C9D6D4" w:sz="4"/>
              <w:left w:val="single" w:color="C9D6D4" w:sz="4"/>
              <w:bottom w:val="single" w:color="C9D6D4" w:sz="4"/>
              <w:right w:val="single" w:color="C9D6D4" w:sz="4"/>
            </w:tcBorders>
            <w:tcMar>
              <w:top w:type="dxa" w:w="90"/>
              <w:left w:type="dxa" w:w="130"/>
              <w:bottom w:type="dxa" w:w="90"/>
              <w:right w:type="dxa" w:w="130"/>
            </w:tcMar>
            <w:vAlign w:val="center"/>
          </w:tcPr>
          <w:p>
            <w:pPr>
              <w:jc w:val="left"/>
            </w:pPr>
            <w:r>
              <w:rPr>
                <w:rFonts w:ascii="Calibri" w:cs="Calibri" w:eastAsia="Calibri" w:hAnsi="Calibri"/>
                <w:b w:val="false"/>
                <w:bCs w:val="false"/>
                <w:color w:val="1B2A33"/>
                <w:sz w:val="19"/>
                <w:szCs w:val="19"/>
              </w:rPr>
              <w:t xml:space="preserve">Tank utilization</w:t>
            </w:r>
          </w:p>
        </w:tc>
        <w:tc>
          <w:tcPr>
            <w:tcW w:type="dxa" w:w="3200"/>
            <w:tcBorders>
              <w:top w:val="single" w:color="C9D6D4" w:sz="4"/>
              <w:left w:val="single" w:color="C9D6D4" w:sz="4"/>
              <w:bottom w:val="single" w:color="C9D6D4" w:sz="4"/>
              <w:right w:val="single" w:color="C9D6D4" w:sz="4"/>
            </w:tcBorders>
            <w:tcMar>
              <w:top w:type="dxa" w:w="90"/>
              <w:left w:type="dxa" w:w="130"/>
              <w:bottom w:type="dxa" w:w="90"/>
              <w:right w:type="dxa" w:w="130"/>
            </w:tcMar>
            <w:vAlign w:val="center"/>
          </w:tcPr>
          <w:p>
            <w:pPr>
              <w:jc w:val="left"/>
            </w:pPr>
            <w:r>
              <w:rPr>
                <w:rFonts w:ascii="Calibri" w:cs="Calibri" w:eastAsia="Calibri" w:hAnsi="Calibri"/>
                <w:b w:val="false"/>
                <w:bCs w:val="false"/>
                <w:color w:val="1B2A33"/>
                <w:sz w:val="19"/>
                <w:szCs w:val="19"/>
              </w:rPr>
              <w:t xml:space="preserve">13.5%</w:t>
            </w:r>
          </w:p>
        </w:tc>
      </w:tr>
      <w:tr>
        <w:trPr>
          <w:cantSplit/>
        </w:trPr>
        <w:tc>
          <w:tcPr>
            <w:tcW w:type="dxa" w:w="5400"/>
            <w:tcBorders>
              <w:top w:val="single" w:color="C9D6D4" w:sz="4"/>
              <w:left w:val="single" w:color="C9D6D4" w:sz="4"/>
              <w:bottom w:val="single" w:color="C9D6D4" w:sz="4"/>
              <w:right w:val="single" w:color="C9D6D4" w:sz="4"/>
            </w:tcBorders>
            <w:tcMar>
              <w:top w:type="dxa" w:w="90"/>
              <w:left w:type="dxa" w:w="130"/>
              <w:bottom w:type="dxa" w:w="90"/>
              <w:right w:type="dxa" w:w="130"/>
            </w:tcMar>
            <w:vAlign w:val="center"/>
          </w:tcPr>
          <w:p>
            <w:pPr>
              <w:jc w:val="left"/>
            </w:pPr>
            <w:r>
              <w:rPr>
                <w:rFonts w:ascii="Calibri" w:cs="Calibri" w:eastAsia="Calibri" w:hAnsi="Calibri"/>
                <w:b w:val="false"/>
                <w:bCs w:val="false"/>
                <w:color w:val="1B2A33"/>
                <w:sz w:val="19"/>
                <w:szCs w:val="19"/>
              </w:rPr>
              <w:t xml:space="preserve">Annual reliability</w:t>
            </w:r>
          </w:p>
        </w:tc>
        <w:tc>
          <w:tcPr>
            <w:tcW w:type="dxa" w:w="3200"/>
            <w:tcBorders>
              <w:top w:val="single" w:color="C9D6D4" w:sz="4"/>
              <w:left w:val="single" w:color="C9D6D4" w:sz="4"/>
              <w:bottom w:val="single" w:color="C9D6D4" w:sz="4"/>
              <w:right w:val="single" w:color="C9D6D4" w:sz="4"/>
            </w:tcBorders>
            <w:tcMar>
              <w:top w:type="dxa" w:w="90"/>
              <w:left w:type="dxa" w:w="130"/>
              <w:bottom w:type="dxa" w:w="90"/>
              <w:right w:type="dxa" w:w="130"/>
            </w:tcMar>
            <w:vAlign w:val="center"/>
          </w:tcPr>
          <w:p>
            <w:pPr>
              <w:jc w:val="left"/>
            </w:pPr>
            <w:r>
              <w:rPr>
                <w:rFonts w:ascii="Calibri" w:cs="Calibri" w:eastAsia="Calibri" w:hAnsi="Calibri"/>
                <w:b w:val="false"/>
                <w:bCs w:val="false"/>
                <w:color w:val="1B2A33"/>
                <w:sz w:val="19"/>
                <w:szCs w:val="19"/>
              </w:rPr>
              <w:t xml:space="preserve">23.9%</w:t>
            </w:r>
          </w:p>
        </w:tc>
      </w:tr>
    </w:tbl>
    <w:p>
      <w:pPr>
        <w:spacing w:after="160" w:line="268"/>
        <w:jc w:val="left"/>
      </w:pPr>
      <w:r>
        <w:rPr>
          <w:rFonts w:ascii="Calibri" w:cs="Calibri" w:eastAsia="Calibri" w:hAnsi="Calibri"/>
          <w:color w:val="1B2A33"/>
          <w:sz w:val="21"/>
          <w:szCs w:val="21"/>
        </w:rPr>
        <w:t xml:space="preserve">The headline number is the zero in the overflow row. At this tank size, the system uses every drop it collects and never once spills water it can't store. That's a direct result of Karachi's rainfall being small relative to demand: total annual collection sits at 22,746 L against a demand of 98,550 L, so the tank rarely, if ever, comes close to filling up.</w:t>
      </w:r>
    </w:p>
    <w:p>
      <w:pPr>
        <w:spacing w:after="160" w:line="268"/>
        <w:jc w:val="left"/>
      </w:pPr>
      <w:r>
        <w:rPr>
          <w:rFonts w:ascii="Calibri" w:cs="Calibri" w:eastAsia="Calibri" w:hAnsi="Calibri"/>
          <w:color w:val="1B2A33"/>
          <w:sz w:val="21"/>
          <w:szCs w:val="21"/>
        </w:rPr>
        <w:t xml:space="preserve">Reliability isn't steady through the year, it swings hard. July and August, the monsoon months, push monthly reliability above 90%, with August alone essentially meeting full demand. Every other month sits below 15%, and March through May contribute close to nothing, with the tank parked at its dead-storage floor for weeks at a stretch. Figure 3 shows this pattern clearly against the monthly rainfall that drives it.</w:t>
      </w:r>
    </w:p>
    <w:p>
      <w:pPr>
        <w:keepNext/>
        <w:keepLines/>
        <w:spacing w:after="80" w:before="160"/>
        <w:jc w:val="center"/>
      </w:pPr>
      <w:r>
        <w:drawing>
          <wp:inline distT="0" distB="0" distL="0" distR="0">
            <wp:extent cx="571500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257425"/>
                    </a:xfrm>
                    <a:prstGeom prst="rect">
                      <a:avLst/>
                    </a:prstGeom>
                  </pic:spPr>
                </pic:pic>
              </a:graphicData>
            </a:graphic>
          </wp:inline>
        </w:drawing>
      </w:r>
    </w:p>
    <w:p>
      <w:pPr>
        <w:keepLines/>
        <w:spacing w:after="220"/>
        <w:jc w:val="center"/>
      </w:pPr>
      <w:r>
        <w:rPr>
          <w:rFonts w:ascii="Calibri" w:cs="Calibri" w:eastAsia="Calibri" w:hAnsi="Calibri"/>
          <w:i/>
          <w:iCs/>
          <w:color w:val="3C4F5C"/>
          <w:sz w:val="18"/>
          <w:szCs w:val="18"/>
        </w:rPr>
        <w:t xml:space="preserve">Figure 3: Monthly rainfall against monthly reliability. The system essentially runs on two months of the year.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E5C57" w:sz="26"/>
              <w:bottom w:val="none" w:color="FFFFFF" w:sz="0"/>
              <w:right w:val="none" w:color="FFFFFF" w:sz="0"/>
            </w:tcBorders>
            <w:shd w:fill="EAF3F2" w:val="clear"/>
            <w:tcMar>
              <w:top w:type="dxa" w:w="160"/>
              <w:left w:type="dxa" w:w="220"/>
              <w:bottom w:type="dxa" w:w="160"/>
              <w:right w:type="dxa" w:w="220"/>
            </w:tcMar>
          </w:tcPr>
          <w:p>
            <w:pPr>
              <w:spacing w:after="90"/>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 cy="323850"/>
                          </a:xfrm>
                          <a:prstGeom prst="rect">
                            <a:avLst/>
                          </a:prstGeom>
                        </pic:spPr>
                      </pic:pic>
                    </a:graphicData>
                  </a:graphic>
                </wp:inline>
              </w:drawing>
            </w:r>
            <w:r>
              <w:rPr>
                <w:rFonts w:ascii="Calibri" w:cs="Calibri" w:eastAsia="Calibri" w:hAnsi="Calibri"/>
                <w:b/>
                <w:bCs/>
                <w:color w:val="0E5C57"/>
                <w:sz w:val="20"/>
                <w:szCs w:val="20"/>
              </w:rPr>
              <w:t xml:space="preserve">  READING THIS RESULT</w:t>
            </w:r>
          </w:p>
          <w:p>
            <w:pPr>
              <w:spacing w:after="0"/>
            </w:pPr>
            <w:r>
              <w:rPr>
                <w:rFonts w:ascii="Calibri" w:cs="Calibri" w:eastAsia="Calibri" w:hAnsi="Calibri"/>
                <w:color w:val="1B2A33"/>
                <w:sz w:val="20"/>
                <w:szCs w:val="20"/>
              </w:rPr>
              <w:t xml:space="preserve">A tank that never overflows isn't automatically a good design decision, it can just mean the tank is bigger than the rainfall justifies. That's exactly what the optimization in Section 5 goes on to test.</w:t>
            </w:r>
          </w:p>
        </w:tc>
      </w:tr>
    </w:tbl>
    <w:p>
      <w:pPr>
        <w:pStyle w:val="Heading1"/>
        <w:keepNext/>
        <w:keepLines/>
        <w:pBdr>
          <w:bottom w:val="single" w:color="0E5C57" w:sz="6" w:space="6"/>
        </w:pBdr>
        <w:spacing w:after="180" w:before="420"/>
      </w:pPr>
      <w:r>
        <w:rPr>
          <w:rFonts w:ascii="Calibri" w:cs="Calibri" w:eastAsia="Calibri" w:hAnsi="Calibri"/>
          <w:b/>
          <w:bCs/>
          <w:color w:val="1B7A72"/>
          <w:sz w:val="30"/>
          <w:szCs w:val="30"/>
        </w:rPr>
        <w:t xml:space="preserve"/>
      </w:r>
      <w:r>
        <w:rPr>
          <w:rFonts w:ascii="Calibri" w:cs="Calibri" w:eastAsia="Calibri" w:hAnsi="Calibri"/>
          <w:b/>
          <w:bCs/>
          <w:color w:val="0E5C57"/>
          <w:sz w:val="30"/>
          <w:szCs w:val="30"/>
        </w:rPr>
        <w:t xml:space="preserve">5. Tank Size Optimization</w:t>
      </w:r>
    </w:p>
    <w:p>
      <w:pPr>
        <w:spacing w:after="160" w:line="268"/>
        <w:jc w:val="left"/>
      </w:pPr>
      <w:r>
        <w:rPr>
          <w:rFonts w:ascii="Calibri" w:cs="Calibri" w:eastAsia="Calibri" w:hAnsi="Calibri"/>
          <w:color w:val="1B2A33"/>
          <w:sz w:val="21"/>
          <w:szCs w:val="21"/>
        </w:rPr>
        <w:t xml:space="preserve">Tank capacity was optimized in Excel Solver to maximize annual water supplied, and cross-checked against an independent formula-driven sweep across fifteen candidate sizes from 500 to 20,000 L, built on the monthly approximation so it recalculates instantly rather than needing Solver to iterate.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1B7A72" w:sz="26"/>
              <w:bottom w:val="none" w:color="FFFFFF" w:sz="0"/>
              <w:right w:val="none" w:color="FFFFFF" w:sz="0"/>
            </w:tcBorders>
            <w:shd w:fill="DCEBEA" w:val="clear"/>
            <w:tcMar>
              <w:top w:type="dxa" w:w="160"/>
              <w:left w:type="dxa" w:w="220"/>
              <w:bottom w:type="dxa" w:w="160"/>
              <w:right w:type="dxa" w:w="220"/>
            </w:tcMar>
          </w:tcPr>
          <w:p>
            <w:pPr>
              <w:spacing w:after="90"/>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3850" cy="323850"/>
                          </a:xfrm>
                          <a:prstGeom prst="rect">
                            <a:avLst/>
                          </a:prstGeom>
                        </pic:spPr>
                      </pic:pic>
                    </a:graphicData>
                  </a:graphic>
                </wp:inline>
              </w:drawing>
            </w:r>
            <w:r>
              <w:rPr>
                <w:rFonts w:ascii="Calibri" w:cs="Calibri" w:eastAsia="Calibri" w:hAnsi="Calibri"/>
                <w:b/>
                <w:bCs/>
                <w:color w:val="1B7A72"/>
                <w:sz w:val="20"/>
                <w:szCs w:val="20"/>
              </w:rPr>
              <w:t xml:space="preserve">  HOW IT WAS SOLVED</w:t>
            </w:r>
          </w:p>
          <w:p>
            <w:pPr>
              <w:spacing w:after="80"/>
            </w:pPr>
            <w:r>
              <w:rPr>
                <w:rFonts w:ascii="Calibri" w:cs="Calibri" w:eastAsia="Calibri" w:hAnsi="Calibri"/>
                <w:color w:val="1B2A33"/>
                <w:sz w:val="20"/>
                <w:szCs w:val="20"/>
              </w:rPr>
              <w:t xml:space="preserve">Objective: maximize Monthly Summary!F18, annual water supplied.</w:t>
            </w:r>
          </w:p>
          <w:p>
            <w:pPr>
              <w:spacing w:after="80"/>
            </w:pPr>
            <w:r>
              <w:rPr>
                <w:rFonts w:ascii="Calibri" w:cs="Calibri" w:eastAsia="Calibri" w:hAnsi="Calibri"/>
                <w:color w:val="1B2A33"/>
                <w:sz w:val="20"/>
                <w:szCs w:val="20"/>
              </w:rPr>
              <w:t xml:space="preserve">Variable cell: Inputs!C19, tank capacity.</w:t>
            </w:r>
          </w:p>
          <w:p>
            <w:pPr>
              <w:spacing w:after="80"/>
            </w:pPr>
            <w:r>
              <w:rPr>
                <w:rFonts w:ascii="Calibri" w:cs="Calibri" w:eastAsia="Calibri" w:hAnsi="Calibri"/>
                <w:color w:val="1B2A33"/>
                <w:sz w:val="20"/>
                <w:szCs w:val="20"/>
              </w:rPr>
              <w:t xml:space="preserve">Constraints: capacity between 500 L and 20,000 L (practical residential range).</w:t>
            </w:r>
          </w:p>
          <w:p>
            <w:pPr>
              <w:spacing w:after="0"/>
            </w:pPr>
            <w:r>
              <w:rPr>
                <w:rFonts w:ascii="Calibri" w:cs="Calibri" w:eastAsia="Calibri" w:hAnsi="Calibri"/>
                <w:color w:val="1B2A33"/>
                <w:sz w:val="20"/>
                <w:szCs w:val="20"/>
              </w:rPr>
              <w:t xml:space="preserve">Method: GRG Nonlinear. The MIN/MAX terms in the daily balance make the response curve non-linear (it climbs, then flattens), which rules out the Simplex LP method.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400"/>
        <w:gridCol w:w="2100"/>
        <w:gridCol w:w="1960"/>
      </w:tblGrid>
      <w:tr>
        <w:trPr>
          <w:cantSplit/>
          <w:tblHeader/>
        </w:trPr>
        <w:tc>
          <w:tcPr>
            <w:tcW w:type="dxa" w:w="2900"/>
            <w:tcBorders>
              <w:top w:val="single" w:color="C9D6D4" w:sz="4"/>
              <w:left w:val="single" w:color="C9D6D4" w:sz="4"/>
              <w:bottom w:val="single" w:color="C9D6D4" w:sz="4"/>
              <w:right w:val="single" w:color="C9D6D4" w:sz="4"/>
            </w:tcBorders>
            <w:shd w:fill="0E5C57" w:val="clear"/>
            <w:tcMar>
              <w:top w:type="dxa" w:w="90"/>
              <w:left w:type="dxa" w:w="130"/>
              <w:bottom w:type="dxa" w:w="90"/>
              <w:right w:type="dxa" w:w="130"/>
            </w:tcMar>
            <w:vAlign w:val="center"/>
          </w:tcPr>
          <w:p>
            <w:pPr>
              <w:jc w:val="left"/>
            </w:pPr>
            <w:r>
              <w:rPr>
                <w:rFonts w:ascii="Calibri" w:cs="Calibri" w:eastAsia="Calibri" w:hAnsi="Calibri"/>
                <w:b/>
                <w:bCs/>
                <w:color w:val="FFFFFF"/>
                <w:sz w:val="19"/>
                <w:szCs w:val="19"/>
              </w:rPr>
              <w:t xml:space="preserve">Tank Size (L)</w:t>
            </w:r>
          </w:p>
        </w:tc>
        <w:tc>
          <w:tcPr>
            <w:tcW w:type="dxa" w:w="2400"/>
            <w:tcBorders>
              <w:top w:val="single" w:color="C9D6D4" w:sz="4"/>
              <w:left w:val="single" w:color="C9D6D4" w:sz="4"/>
              <w:bottom w:val="single" w:color="C9D6D4" w:sz="4"/>
              <w:right w:val="single" w:color="C9D6D4" w:sz="4"/>
            </w:tcBorders>
            <w:shd w:fill="0E5C57" w:val="clear"/>
            <w:tcMar>
              <w:top w:type="dxa" w:w="90"/>
              <w:left w:type="dxa" w:w="130"/>
              <w:bottom w:type="dxa" w:w="90"/>
              <w:right w:type="dxa" w:w="130"/>
            </w:tcMar>
            <w:vAlign w:val="center"/>
          </w:tcPr>
          <w:p>
            <w:pPr>
              <w:jc w:val="left"/>
            </w:pPr>
            <w:r>
              <w:rPr>
                <w:rFonts w:ascii="Calibri" w:cs="Calibri" w:eastAsia="Calibri" w:hAnsi="Calibri"/>
                <w:b/>
                <w:bCs/>
                <w:color w:val="FFFFFF"/>
                <w:sz w:val="19"/>
                <w:szCs w:val="19"/>
              </w:rPr>
              <w:t xml:space="preserve">Est. Annual Supplied (L)</w:t>
            </w:r>
          </w:p>
        </w:tc>
        <w:tc>
          <w:tcPr>
            <w:tcW w:type="dxa" w:w="2100"/>
            <w:tcBorders>
              <w:top w:val="single" w:color="C9D6D4" w:sz="4"/>
              <w:left w:val="single" w:color="C9D6D4" w:sz="4"/>
              <w:bottom w:val="single" w:color="C9D6D4" w:sz="4"/>
              <w:right w:val="single" w:color="C9D6D4" w:sz="4"/>
            </w:tcBorders>
            <w:shd w:fill="0E5C57" w:val="clear"/>
            <w:tcMar>
              <w:top w:type="dxa" w:w="90"/>
              <w:left w:type="dxa" w:w="130"/>
              <w:bottom w:type="dxa" w:w="90"/>
              <w:right w:type="dxa" w:w="130"/>
            </w:tcMar>
            <w:vAlign w:val="center"/>
          </w:tcPr>
          <w:p>
            <w:pPr>
              <w:jc w:val="left"/>
            </w:pPr>
            <w:r>
              <w:rPr>
                <w:rFonts w:ascii="Calibri" w:cs="Calibri" w:eastAsia="Calibri" w:hAnsi="Calibri"/>
                <w:b/>
                <w:bCs/>
                <w:color w:val="FFFFFF"/>
                <w:sz w:val="19"/>
                <w:szCs w:val="19"/>
              </w:rPr>
              <w:t xml:space="preserve">Est. Overflow (L)</w:t>
            </w:r>
          </w:p>
        </w:tc>
        <w:tc>
          <w:tcPr>
            <w:tcW w:type="dxa" w:w="1960"/>
            <w:tcBorders>
              <w:top w:val="single" w:color="C9D6D4" w:sz="4"/>
              <w:left w:val="single" w:color="C9D6D4" w:sz="4"/>
              <w:bottom w:val="single" w:color="C9D6D4" w:sz="4"/>
              <w:right w:val="single" w:color="C9D6D4" w:sz="4"/>
            </w:tcBorders>
            <w:shd w:fill="0E5C57" w:val="clear"/>
            <w:tcMar>
              <w:top w:type="dxa" w:w="90"/>
              <w:left w:type="dxa" w:w="130"/>
              <w:bottom w:type="dxa" w:w="90"/>
              <w:right w:type="dxa" w:w="130"/>
            </w:tcMar>
            <w:vAlign w:val="center"/>
          </w:tcPr>
          <w:p>
            <w:pPr>
              <w:jc w:val="left"/>
            </w:pPr>
            <w:r>
              <w:rPr>
                <w:rFonts w:ascii="Calibri" w:cs="Calibri" w:eastAsia="Calibri" w:hAnsi="Calibri"/>
                <w:b/>
                <w:bCs/>
                <w:color w:val="FFFFFF"/>
                <w:sz w:val="19"/>
                <w:szCs w:val="19"/>
              </w:rPr>
              <w:t xml:space="preserve">Est. Reliability</w:t>
            </w:r>
          </w:p>
        </w:tc>
      </w:tr>
      <w:tr>
        <w:trPr>
          <w:cantSplit/>
        </w:trPr>
        <w:tc>
          <w:tcPr>
            <w:tcW w:type="dxa" w:w="2900"/>
            <w:tcBorders>
              <w:top w:val="single" w:color="C9D6D4" w:sz="4"/>
              <w:left w:val="single" w:color="C9D6D4" w:sz="4"/>
              <w:bottom w:val="single" w:color="C9D6D4" w:sz="4"/>
              <w:right w:val="single" w:color="C9D6D4" w:sz="4"/>
            </w:tcBorders>
            <w:tcMar>
              <w:top w:type="dxa" w:w="90"/>
              <w:left w:type="dxa" w:w="130"/>
              <w:bottom w:type="dxa" w:w="90"/>
              <w:right w:type="dxa" w:w="130"/>
            </w:tcMar>
            <w:vAlign w:val="center"/>
          </w:tcPr>
          <w:p>
            <w:pPr>
              <w:jc w:val="left"/>
            </w:pPr>
            <w:r>
              <w:rPr>
                <w:rFonts w:ascii="Calibri" w:cs="Calibri" w:eastAsia="Calibri" w:hAnsi="Calibri"/>
                <w:b w:val="false"/>
                <w:bCs w:val="false"/>
                <w:color w:val="1B2A33"/>
                <w:sz w:val="19"/>
                <w:szCs w:val="19"/>
              </w:rPr>
              <w:t xml:space="preserve">500</w:t>
            </w:r>
          </w:p>
        </w:tc>
        <w:tc>
          <w:tcPr>
            <w:tcW w:type="dxa" w:w="2400"/>
            <w:tcBorders>
              <w:top w:val="single" w:color="C9D6D4" w:sz="4"/>
              <w:left w:val="single" w:color="C9D6D4" w:sz="4"/>
              <w:bottom w:val="single" w:color="C9D6D4" w:sz="4"/>
              <w:right w:val="single" w:color="C9D6D4" w:sz="4"/>
            </w:tcBorders>
            <w:tcMar>
              <w:top w:type="dxa" w:w="90"/>
              <w:left w:type="dxa" w:w="130"/>
              <w:bottom w:type="dxa" w:w="90"/>
              <w:right w:type="dxa" w:w="130"/>
            </w:tcMar>
            <w:vAlign w:val="center"/>
          </w:tcPr>
          <w:p>
            <w:pPr>
              <w:jc w:val="left"/>
            </w:pPr>
            <w:r>
              <w:rPr>
                <w:rFonts w:ascii="Calibri" w:cs="Calibri" w:eastAsia="Calibri" w:hAnsi="Calibri"/>
                <w:b w:val="false"/>
                <w:bCs w:val="false"/>
                <w:color w:val="1B2A33"/>
                <w:sz w:val="19"/>
                <w:szCs w:val="19"/>
              </w:rPr>
              <w:t xml:space="preserve">22,327</w:t>
            </w:r>
          </w:p>
        </w:tc>
        <w:tc>
          <w:tcPr>
            <w:tcW w:type="dxa" w:w="2100"/>
            <w:tcBorders>
              <w:top w:val="single" w:color="C9D6D4" w:sz="4"/>
              <w:left w:val="single" w:color="C9D6D4" w:sz="4"/>
              <w:bottom w:val="single" w:color="C9D6D4" w:sz="4"/>
              <w:right w:val="single" w:color="C9D6D4" w:sz="4"/>
            </w:tcBorders>
            <w:tcMar>
              <w:top w:type="dxa" w:w="90"/>
              <w:left w:type="dxa" w:w="130"/>
              <w:bottom w:type="dxa" w:w="90"/>
              <w:right w:type="dxa" w:w="130"/>
            </w:tcMar>
            <w:vAlign w:val="center"/>
          </w:tcPr>
          <w:p>
            <w:pPr>
              <w:jc w:val="left"/>
            </w:pPr>
            <w:r>
              <w:rPr>
                <w:rFonts w:ascii="Calibri" w:cs="Calibri" w:eastAsia="Calibri" w:hAnsi="Calibri"/>
                <w:b w:val="false"/>
                <w:bCs w:val="false"/>
                <w:color w:val="1B2A33"/>
                <w:sz w:val="19"/>
                <w:szCs w:val="19"/>
              </w:rPr>
              <w:t xml:space="preserve">3,783</w:t>
            </w:r>
          </w:p>
        </w:tc>
        <w:tc>
          <w:tcPr>
            <w:tcW w:type="dxa" w:w="1960"/>
            <w:tcBorders>
              <w:top w:val="single" w:color="C9D6D4" w:sz="4"/>
              <w:left w:val="single" w:color="C9D6D4" w:sz="4"/>
              <w:bottom w:val="single" w:color="C9D6D4" w:sz="4"/>
              <w:right w:val="single" w:color="C9D6D4" w:sz="4"/>
            </w:tcBorders>
            <w:tcMar>
              <w:top w:type="dxa" w:w="90"/>
              <w:left w:type="dxa" w:w="130"/>
              <w:bottom w:type="dxa" w:w="90"/>
              <w:right w:type="dxa" w:w="130"/>
            </w:tcMar>
            <w:vAlign w:val="center"/>
          </w:tcPr>
          <w:p>
            <w:pPr>
              <w:jc w:val="left"/>
            </w:pPr>
            <w:r>
              <w:rPr>
                <w:rFonts w:ascii="Calibri" w:cs="Calibri" w:eastAsia="Calibri" w:hAnsi="Calibri"/>
                <w:b w:val="false"/>
                <w:bCs w:val="false"/>
                <w:color w:val="1B2A33"/>
                <w:sz w:val="19"/>
                <w:szCs w:val="19"/>
              </w:rPr>
              <w:t xml:space="preserve">22.7%</w:t>
            </w:r>
          </w:p>
        </w:tc>
      </w:tr>
      <w:tr>
        <w:trPr>
          <w:cantSplit/>
        </w:trPr>
        <w:tc>
          <w:tcPr>
            <w:tcW w:type="dxa" w:w="2900"/>
            <w:tcBorders>
              <w:top w:val="single" w:color="C9D6D4" w:sz="4"/>
              <w:left w:val="single" w:color="C9D6D4" w:sz="4"/>
              <w:bottom w:val="single" w:color="C9D6D4" w:sz="4"/>
              <w:right w:val="single" w:color="C9D6D4" w:sz="4"/>
            </w:tcBorders>
            <w:tcMar>
              <w:top w:type="dxa" w:w="90"/>
              <w:left w:type="dxa" w:w="130"/>
              <w:bottom w:type="dxa" w:w="90"/>
              <w:right w:type="dxa" w:w="130"/>
            </w:tcMar>
            <w:vAlign w:val="center"/>
          </w:tcPr>
          <w:p>
            <w:pPr>
              <w:jc w:val="left"/>
            </w:pPr>
            <w:r>
              <w:rPr>
                <w:rFonts w:ascii="Calibri" w:cs="Calibri" w:eastAsia="Calibri" w:hAnsi="Calibri"/>
                <w:b w:val="false"/>
                <w:bCs w:val="false"/>
                <w:color w:val="1B2A33"/>
                <w:sz w:val="19"/>
                <w:szCs w:val="19"/>
              </w:rPr>
              <w:t xml:space="preserve">1,500</w:t>
            </w:r>
          </w:p>
        </w:tc>
        <w:tc>
          <w:tcPr>
            <w:tcW w:type="dxa" w:w="2400"/>
            <w:tcBorders>
              <w:top w:val="single" w:color="C9D6D4" w:sz="4"/>
              <w:left w:val="single" w:color="C9D6D4" w:sz="4"/>
              <w:bottom w:val="single" w:color="C9D6D4" w:sz="4"/>
              <w:right w:val="single" w:color="C9D6D4" w:sz="4"/>
            </w:tcBorders>
            <w:tcMar>
              <w:top w:type="dxa" w:w="90"/>
              <w:left w:type="dxa" w:w="130"/>
              <w:bottom w:type="dxa" w:w="90"/>
              <w:right w:type="dxa" w:w="130"/>
            </w:tcMar>
            <w:vAlign w:val="center"/>
          </w:tcPr>
          <w:p>
            <w:pPr>
              <w:jc w:val="left"/>
            </w:pPr>
            <w:r>
              <w:rPr>
                <w:rFonts w:ascii="Calibri" w:cs="Calibri" w:eastAsia="Calibri" w:hAnsi="Calibri"/>
                <w:b w:val="false"/>
                <w:bCs w:val="false"/>
                <w:color w:val="1B2A33"/>
                <w:sz w:val="19"/>
                <w:szCs w:val="19"/>
              </w:rPr>
              <w:t xml:space="preserve">23,327</w:t>
            </w:r>
          </w:p>
        </w:tc>
        <w:tc>
          <w:tcPr>
            <w:tcW w:type="dxa" w:w="2100"/>
            <w:tcBorders>
              <w:top w:val="single" w:color="C9D6D4" w:sz="4"/>
              <w:left w:val="single" w:color="C9D6D4" w:sz="4"/>
              <w:bottom w:val="single" w:color="C9D6D4" w:sz="4"/>
              <w:right w:val="single" w:color="C9D6D4" w:sz="4"/>
            </w:tcBorders>
            <w:tcMar>
              <w:top w:type="dxa" w:w="90"/>
              <w:left w:type="dxa" w:w="130"/>
              <w:bottom w:type="dxa" w:w="90"/>
              <w:right w:type="dxa" w:w="130"/>
            </w:tcMar>
            <w:vAlign w:val="center"/>
          </w:tcPr>
          <w:p>
            <w:pPr>
              <w:jc w:val="left"/>
            </w:pPr>
            <w:r>
              <w:rPr>
                <w:rFonts w:ascii="Calibri" w:cs="Calibri" w:eastAsia="Calibri" w:hAnsi="Calibri"/>
                <w:b w:val="false"/>
                <w:bCs w:val="false"/>
                <w:color w:val="1B2A33"/>
                <w:sz w:val="19"/>
                <w:szCs w:val="19"/>
              </w:rPr>
              <w:t xml:space="preserve">2,783</w:t>
            </w:r>
          </w:p>
        </w:tc>
        <w:tc>
          <w:tcPr>
            <w:tcW w:type="dxa" w:w="1960"/>
            <w:tcBorders>
              <w:top w:val="single" w:color="C9D6D4" w:sz="4"/>
              <w:left w:val="single" w:color="C9D6D4" w:sz="4"/>
              <w:bottom w:val="single" w:color="C9D6D4" w:sz="4"/>
              <w:right w:val="single" w:color="C9D6D4" w:sz="4"/>
            </w:tcBorders>
            <w:tcMar>
              <w:top w:type="dxa" w:w="90"/>
              <w:left w:type="dxa" w:w="130"/>
              <w:bottom w:type="dxa" w:w="90"/>
              <w:right w:type="dxa" w:w="130"/>
            </w:tcMar>
            <w:vAlign w:val="center"/>
          </w:tcPr>
          <w:p>
            <w:pPr>
              <w:jc w:val="left"/>
            </w:pPr>
            <w:r>
              <w:rPr>
                <w:rFonts w:ascii="Calibri" w:cs="Calibri" w:eastAsia="Calibri" w:hAnsi="Calibri"/>
                <w:b w:val="false"/>
                <w:bCs w:val="false"/>
                <w:color w:val="1B2A33"/>
                <w:sz w:val="19"/>
                <w:szCs w:val="19"/>
              </w:rPr>
              <w:t xml:space="preserve">23.7%</w:t>
            </w:r>
          </w:p>
        </w:tc>
      </w:tr>
      <w:tr>
        <w:trPr>
          <w:cantSplit/>
        </w:trPr>
        <w:tc>
          <w:tcPr>
            <w:tcW w:type="dxa" w:w="2900"/>
            <w:tcBorders>
              <w:top w:val="single" w:color="C9D6D4" w:sz="4"/>
              <w:left w:val="single" w:color="C9D6D4" w:sz="4"/>
              <w:bottom w:val="single" w:color="C9D6D4" w:sz="4"/>
              <w:right w:val="single" w:color="C9D6D4" w:sz="4"/>
            </w:tcBorders>
            <w:tcMar>
              <w:top w:type="dxa" w:w="90"/>
              <w:left w:type="dxa" w:w="130"/>
              <w:bottom w:type="dxa" w:w="90"/>
              <w:right w:type="dxa" w:w="130"/>
            </w:tcMar>
            <w:vAlign w:val="center"/>
          </w:tcPr>
          <w:p>
            <w:pPr>
              <w:jc w:val="left"/>
            </w:pPr>
            <w:r>
              <w:rPr>
                <w:rFonts w:ascii="Calibri" w:cs="Calibri" w:eastAsia="Calibri" w:hAnsi="Calibri"/>
                <w:b w:val="false"/>
                <w:bCs w:val="false"/>
                <w:color w:val="1B2A33"/>
                <w:sz w:val="19"/>
                <w:szCs w:val="19"/>
              </w:rPr>
              <w:t xml:space="preserve">3,000</w:t>
            </w:r>
          </w:p>
        </w:tc>
        <w:tc>
          <w:tcPr>
            <w:tcW w:type="dxa" w:w="2400"/>
            <w:tcBorders>
              <w:top w:val="single" w:color="C9D6D4" w:sz="4"/>
              <w:left w:val="single" w:color="C9D6D4" w:sz="4"/>
              <w:bottom w:val="single" w:color="C9D6D4" w:sz="4"/>
              <w:right w:val="single" w:color="C9D6D4" w:sz="4"/>
            </w:tcBorders>
            <w:tcMar>
              <w:top w:type="dxa" w:w="90"/>
              <w:left w:type="dxa" w:w="130"/>
              <w:bottom w:type="dxa" w:w="90"/>
              <w:right w:type="dxa" w:w="130"/>
            </w:tcMar>
            <w:vAlign w:val="center"/>
          </w:tcPr>
          <w:p>
            <w:pPr>
              <w:jc w:val="left"/>
            </w:pPr>
            <w:r>
              <w:rPr>
                <w:rFonts w:ascii="Calibri" w:cs="Calibri" w:eastAsia="Calibri" w:hAnsi="Calibri"/>
                <w:b w:val="false"/>
                <w:bCs w:val="false"/>
                <w:color w:val="1B2A33"/>
                <w:sz w:val="19"/>
                <w:szCs w:val="19"/>
              </w:rPr>
              <w:t xml:space="preserve">24,827</w:t>
            </w:r>
          </w:p>
        </w:tc>
        <w:tc>
          <w:tcPr>
            <w:tcW w:type="dxa" w:w="2100"/>
            <w:tcBorders>
              <w:top w:val="single" w:color="C9D6D4" w:sz="4"/>
              <w:left w:val="single" w:color="C9D6D4" w:sz="4"/>
              <w:bottom w:val="single" w:color="C9D6D4" w:sz="4"/>
              <w:right w:val="single" w:color="C9D6D4" w:sz="4"/>
            </w:tcBorders>
            <w:tcMar>
              <w:top w:type="dxa" w:w="90"/>
              <w:left w:type="dxa" w:w="130"/>
              <w:bottom w:type="dxa" w:w="90"/>
              <w:right w:type="dxa" w:w="130"/>
            </w:tcMar>
            <w:vAlign w:val="center"/>
          </w:tcPr>
          <w:p>
            <w:pPr>
              <w:jc w:val="left"/>
            </w:pPr>
            <w:r>
              <w:rPr>
                <w:rFonts w:ascii="Calibri" w:cs="Calibri" w:eastAsia="Calibri" w:hAnsi="Calibri"/>
                <w:b w:val="false"/>
                <w:bCs w:val="false"/>
                <w:color w:val="1B2A33"/>
                <w:sz w:val="19"/>
                <w:szCs w:val="19"/>
              </w:rPr>
              <w:t xml:space="preserve">1,283</w:t>
            </w:r>
          </w:p>
        </w:tc>
        <w:tc>
          <w:tcPr>
            <w:tcW w:type="dxa" w:w="1960"/>
            <w:tcBorders>
              <w:top w:val="single" w:color="C9D6D4" w:sz="4"/>
              <w:left w:val="single" w:color="C9D6D4" w:sz="4"/>
              <w:bottom w:val="single" w:color="C9D6D4" w:sz="4"/>
              <w:right w:val="single" w:color="C9D6D4" w:sz="4"/>
            </w:tcBorders>
            <w:tcMar>
              <w:top w:type="dxa" w:w="90"/>
              <w:left w:type="dxa" w:w="130"/>
              <w:bottom w:type="dxa" w:w="90"/>
              <w:right w:type="dxa" w:w="130"/>
            </w:tcMar>
            <w:vAlign w:val="center"/>
          </w:tcPr>
          <w:p>
            <w:pPr>
              <w:jc w:val="left"/>
            </w:pPr>
            <w:r>
              <w:rPr>
                <w:rFonts w:ascii="Calibri" w:cs="Calibri" w:eastAsia="Calibri" w:hAnsi="Calibri"/>
                <w:b w:val="false"/>
                <w:bCs w:val="false"/>
                <w:color w:val="1B2A33"/>
                <w:sz w:val="19"/>
                <w:szCs w:val="19"/>
              </w:rPr>
              <w:t xml:space="preserve">25.2%</w:t>
            </w:r>
          </w:p>
        </w:tc>
      </w:tr>
      <w:tr>
        <w:trPr>
          <w:cantSplit/>
        </w:trPr>
        <w:tc>
          <w:tcPr>
            <w:tcW w:type="dxa" w:w="2900"/>
            <w:tcBorders>
              <w:top w:val="single" w:color="C9D6D4" w:sz="4"/>
              <w:left w:val="single" w:color="C9D6D4" w:sz="4"/>
              <w:bottom w:val="single" w:color="C9D6D4" w:sz="4"/>
              <w:right w:val="single" w:color="C9D6D4" w:sz="4"/>
            </w:tcBorders>
            <w:tcMar>
              <w:top w:type="dxa" w:w="90"/>
              <w:left w:type="dxa" w:w="130"/>
              <w:bottom w:type="dxa" w:w="90"/>
              <w:right w:type="dxa" w:w="130"/>
            </w:tcMar>
            <w:vAlign w:val="center"/>
          </w:tcPr>
          <w:p>
            <w:pPr>
              <w:jc w:val="left"/>
            </w:pPr>
            <w:r>
              <w:rPr>
                <w:rFonts w:ascii="Calibri" w:cs="Calibri" w:eastAsia="Calibri" w:hAnsi="Calibri"/>
                <w:b w:val="false"/>
                <w:bCs w:val="false"/>
                <w:color w:val="1B2A33"/>
                <w:sz w:val="19"/>
                <w:szCs w:val="19"/>
              </w:rPr>
              <w:t xml:space="preserve">4,000</w:t>
            </w:r>
          </w:p>
        </w:tc>
        <w:tc>
          <w:tcPr>
            <w:tcW w:type="dxa" w:w="2400"/>
            <w:tcBorders>
              <w:top w:val="single" w:color="C9D6D4" w:sz="4"/>
              <w:left w:val="single" w:color="C9D6D4" w:sz="4"/>
              <w:bottom w:val="single" w:color="C9D6D4" w:sz="4"/>
              <w:right w:val="single" w:color="C9D6D4" w:sz="4"/>
            </w:tcBorders>
            <w:tcMar>
              <w:top w:type="dxa" w:w="90"/>
              <w:left w:type="dxa" w:w="130"/>
              <w:bottom w:type="dxa" w:w="90"/>
              <w:right w:type="dxa" w:w="130"/>
            </w:tcMar>
            <w:vAlign w:val="center"/>
          </w:tcPr>
          <w:p>
            <w:pPr>
              <w:jc w:val="left"/>
            </w:pPr>
            <w:r>
              <w:rPr>
                <w:rFonts w:ascii="Calibri" w:cs="Calibri" w:eastAsia="Calibri" w:hAnsi="Calibri"/>
                <w:b w:val="false"/>
                <w:bCs w:val="false"/>
                <w:color w:val="1B2A33"/>
                <w:sz w:val="19"/>
                <w:szCs w:val="19"/>
              </w:rPr>
              <w:t xml:space="preserve">25,827</w:t>
            </w:r>
          </w:p>
        </w:tc>
        <w:tc>
          <w:tcPr>
            <w:tcW w:type="dxa" w:w="2100"/>
            <w:tcBorders>
              <w:top w:val="single" w:color="C9D6D4" w:sz="4"/>
              <w:left w:val="single" w:color="C9D6D4" w:sz="4"/>
              <w:bottom w:val="single" w:color="C9D6D4" w:sz="4"/>
              <w:right w:val="single" w:color="C9D6D4" w:sz="4"/>
            </w:tcBorders>
            <w:tcMar>
              <w:top w:type="dxa" w:w="90"/>
              <w:left w:type="dxa" w:w="130"/>
              <w:bottom w:type="dxa" w:w="90"/>
              <w:right w:type="dxa" w:w="130"/>
            </w:tcMar>
            <w:vAlign w:val="center"/>
          </w:tcPr>
          <w:p>
            <w:pPr>
              <w:jc w:val="left"/>
            </w:pPr>
            <w:r>
              <w:rPr>
                <w:rFonts w:ascii="Calibri" w:cs="Calibri" w:eastAsia="Calibri" w:hAnsi="Calibri"/>
                <w:b w:val="false"/>
                <w:bCs w:val="false"/>
                <w:color w:val="1B2A33"/>
                <w:sz w:val="19"/>
                <w:szCs w:val="19"/>
              </w:rPr>
              <w:t xml:space="preserve">283</w:t>
            </w:r>
          </w:p>
        </w:tc>
        <w:tc>
          <w:tcPr>
            <w:tcW w:type="dxa" w:w="1960"/>
            <w:tcBorders>
              <w:top w:val="single" w:color="C9D6D4" w:sz="4"/>
              <w:left w:val="single" w:color="C9D6D4" w:sz="4"/>
              <w:bottom w:val="single" w:color="C9D6D4" w:sz="4"/>
              <w:right w:val="single" w:color="C9D6D4" w:sz="4"/>
            </w:tcBorders>
            <w:tcMar>
              <w:top w:type="dxa" w:w="90"/>
              <w:left w:type="dxa" w:w="130"/>
              <w:bottom w:type="dxa" w:w="90"/>
              <w:right w:type="dxa" w:w="130"/>
            </w:tcMar>
            <w:vAlign w:val="center"/>
          </w:tcPr>
          <w:p>
            <w:pPr>
              <w:jc w:val="left"/>
            </w:pPr>
            <w:r>
              <w:rPr>
                <w:rFonts w:ascii="Calibri" w:cs="Calibri" w:eastAsia="Calibri" w:hAnsi="Calibri"/>
                <w:b w:val="false"/>
                <w:bCs w:val="false"/>
                <w:color w:val="1B2A33"/>
                <w:sz w:val="19"/>
                <w:szCs w:val="19"/>
              </w:rPr>
              <w:t xml:space="preserve">26.2%</w:t>
            </w:r>
          </w:p>
        </w:tc>
      </w:tr>
      <w:tr>
        <w:trPr>
          <w:cantSplit/>
        </w:trPr>
        <w:tc>
          <w:tcPr>
            <w:tcW w:type="dxa" w:w="2900"/>
            <w:tcBorders>
              <w:top w:val="single" w:color="C9D6D4" w:sz="4"/>
              <w:left w:val="single" w:color="C9D6D4" w:sz="4"/>
              <w:bottom w:val="single" w:color="C9D6D4" w:sz="4"/>
              <w:right w:val="single" w:color="C9D6D4" w:sz="4"/>
            </w:tcBorders>
            <w:tcMar>
              <w:top w:type="dxa" w:w="90"/>
              <w:left w:type="dxa" w:w="130"/>
              <w:bottom w:type="dxa" w:w="90"/>
              <w:right w:type="dxa" w:w="130"/>
            </w:tcMar>
            <w:vAlign w:val="center"/>
          </w:tcPr>
          <w:p>
            <w:pPr>
              <w:jc w:val="left"/>
            </w:pPr>
            <w:r>
              <w:rPr>
                <w:rFonts w:ascii="Calibri" w:cs="Calibri" w:eastAsia="Calibri" w:hAnsi="Calibri"/>
                <w:b w:val="false"/>
                <w:bCs w:val="false"/>
                <w:color w:val="1B2A33"/>
                <w:sz w:val="19"/>
                <w:szCs w:val="19"/>
              </w:rPr>
              <w:t xml:space="preserve">5,000 (base case)</w:t>
            </w:r>
          </w:p>
        </w:tc>
        <w:tc>
          <w:tcPr>
            <w:tcW w:type="dxa" w:w="2400"/>
            <w:tcBorders>
              <w:top w:val="single" w:color="C9D6D4" w:sz="4"/>
              <w:left w:val="single" w:color="C9D6D4" w:sz="4"/>
              <w:bottom w:val="single" w:color="C9D6D4" w:sz="4"/>
              <w:right w:val="single" w:color="C9D6D4" w:sz="4"/>
            </w:tcBorders>
            <w:tcMar>
              <w:top w:type="dxa" w:w="90"/>
              <w:left w:type="dxa" w:w="130"/>
              <w:bottom w:type="dxa" w:w="90"/>
              <w:right w:type="dxa" w:w="130"/>
            </w:tcMar>
            <w:vAlign w:val="center"/>
          </w:tcPr>
          <w:p>
            <w:pPr>
              <w:jc w:val="left"/>
            </w:pPr>
            <w:r>
              <w:rPr>
                <w:rFonts w:ascii="Calibri" w:cs="Calibri" w:eastAsia="Calibri" w:hAnsi="Calibri"/>
                <w:b w:val="false"/>
                <w:bCs w:val="false"/>
                <w:color w:val="1B2A33"/>
                <w:sz w:val="19"/>
                <w:szCs w:val="19"/>
              </w:rPr>
              <w:t xml:space="preserve">26,110</w:t>
            </w:r>
          </w:p>
        </w:tc>
        <w:tc>
          <w:tcPr>
            <w:tcW w:type="dxa" w:w="2100"/>
            <w:tcBorders>
              <w:top w:val="single" w:color="C9D6D4" w:sz="4"/>
              <w:left w:val="single" w:color="C9D6D4" w:sz="4"/>
              <w:bottom w:val="single" w:color="C9D6D4" w:sz="4"/>
              <w:right w:val="single" w:color="C9D6D4" w:sz="4"/>
            </w:tcBorders>
            <w:tcMar>
              <w:top w:type="dxa" w:w="90"/>
              <w:left w:type="dxa" w:w="130"/>
              <w:bottom w:type="dxa" w:w="90"/>
              <w:right w:type="dxa" w:w="130"/>
            </w:tcMar>
            <w:vAlign w:val="center"/>
          </w:tcPr>
          <w:p>
            <w:pPr>
              <w:jc w:val="left"/>
            </w:pPr>
            <w:r>
              <w:rPr>
                <w:rFonts w:ascii="Calibri" w:cs="Calibri" w:eastAsia="Calibri" w:hAnsi="Calibri"/>
                <w:b w:val="false"/>
                <w:bCs w:val="false"/>
                <w:color w:val="1B2A33"/>
                <w:sz w:val="19"/>
                <w:szCs w:val="19"/>
              </w:rPr>
              <w:t xml:space="preserve">0</w:t>
            </w:r>
          </w:p>
        </w:tc>
        <w:tc>
          <w:tcPr>
            <w:tcW w:type="dxa" w:w="1960"/>
            <w:tcBorders>
              <w:top w:val="single" w:color="C9D6D4" w:sz="4"/>
              <w:left w:val="single" w:color="C9D6D4" w:sz="4"/>
              <w:bottom w:val="single" w:color="C9D6D4" w:sz="4"/>
              <w:right w:val="single" w:color="C9D6D4" w:sz="4"/>
            </w:tcBorders>
            <w:tcMar>
              <w:top w:type="dxa" w:w="90"/>
              <w:left w:type="dxa" w:w="130"/>
              <w:bottom w:type="dxa" w:w="90"/>
              <w:right w:type="dxa" w:w="130"/>
            </w:tcMar>
            <w:vAlign w:val="center"/>
          </w:tcPr>
          <w:p>
            <w:pPr>
              <w:jc w:val="left"/>
            </w:pPr>
            <w:r>
              <w:rPr>
                <w:rFonts w:ascii="Calibri" w:cs="Calibri" w:eastAsia="Calibri" w:hAnsi="Calibri"/>
                <w:b w:val="false"/>
                <w:bCs w:val="false"/>
                <w:color w:val="1B2A33"/>
                <w:sz w:val="19"/>
                <w:szCs w:val="19"/>
              </w:rPr>
              <w:t xml:space="preserve">26.5%</w:t>
            </w:r>
          </w:p>
        </w:tc>
      </w:tr>
      <w:tr>
        <w:trPr>
          <w:cantSplit/>
        </w:trPr>
        <w:tc>
          <w:tcPr>
            <w:tcW w:type="dxa" w:w="2900"/>
            <w:tcBorders>
              <w:top w:val="single" w:color="C9D6D4" w:sz="4"/>
              <w:left w:val="single" w:color="C9D6D4" w:sz="4"/>
              <w:bottom w:val="single" w:color="C9D6D4" w:sz="4"/>
              <w:right w:val="single" w:color="C9D6D4" w:sz="4"/>
            </w:tcBorders>
            <w:tcMar>
              <w:top w:type="dxa" w:w="90"/>
              <w:left w:type="dxa" w:w="130"/>
              <w:bottom w:type="dxa" w:w="90"/>
              <w:right w:type="dxa" w:w="130"/>
            </w:tcMar>
            <w:vAlign w:val="center"/>
          </w:tcPr>
          <w:p>
            <w:pPr>
              <w:jc w:val="left"/>
            </w:pPr>
            <w:r>
              <w:rPr>
                <w:rFonts w:ascii="Calibri" w:cs="Calibri" w:eastAsia="Calibri" w:hAnsi="Calibri"/>
                <w:b w:val="false"/>
                <w:bCs w:val="false"/>
                <w:color w:val="1B2A33"/>
                <w:sz w:val="19"/>
                <w:szCs w:val="19"/>
              </w:rPr>
              <w:t xml:space="preserve">10,000 and above</w:t>
            </w:r>
          </w:p>
        </w:tc>
        <w:tc>
          <w:tcPr>
            <w:tcW w:type="dxa" w:w="2400"/>
            <w:tcBorders>
              <w:top w:val="single" w:color="C9D6D4" w:sz="4"/>
              <w:left w:val="single" w:color="C9D6D4" w:sz="4"/>
              <w:bottom w:val="single" w:color="C9D6D4" w:sz="4"/>
              <w:right w:val="single" w:color="C9D6D4" w:sz="4"/>
            </w:tcBorders>
            <w:tcMar>
              <w:top w:type="dxa" w:w="90"/>
              <w:left w:type="dxa" w:w="130"/>
              <w:bottom w:type="dxa" w:w="90"/>
              <w:right w:type="dxa" w:w="130"/>
            </w:tcMar>
            <w:vAlign w:val="center"/>
          </w:tcPr>
          <w:p>
            <w:pPr>
              <w:jc w:val="left"/>
            </w:pPr>
            <w:r>
              <w:rPr>
                <w:rFonts w:ascii="Calibri" w:cs="Calibri" w:eastAsia="Calibri" w:hAnsi="Calibri"/>
                <w:b w:val="false"/>
                <w:bCs w:val="false"/>
                <w:color w:val="1B2A33"/>
                <w:sz w:val="19"/>
                <w:szCs w:val="19"/>
              </w:rPr>
              <w:t xml:space="preserve">26,110</w:t>
            </w:r>
          </w:p>
        </w:tc>
        <w:tc>
          <w:tcPr>
            <w:tcW w:type="dxa" w:w="2100"/>
            <w:tcBorders>
              <w:top w:val="single" w:color="C9D6D4" w:sz="4"/>
              <w:left w:val="single" w:color="C9D6D4" w:sz="4"/>
              <w:bottom w:val="single" w:color="C9D6D4" w:sz="4"/>
              <w:right w:val="single" w:color="C9D6D4" w:sz="4"/>
            </w:tcBorders>
            <w:tcMar>
              <w:top w:type="dxa" w:w="90"/>
              <w:left w:type="dxa" w:w="130"/>
              <w:bottom w:type="dxa" w:w="90"/>
              <w:right w:type="dxa" w:w="130"/>
            </w:tcMar>
            <w:vAlign w:val="center"/>
          </w:tcPr>
          <w:p>
            <w:pPr>
              <w:jc w:val="left"/>
            </w:pPr>
            <w:r>
              <w:rPr>
                <w:rFonts w:ascii="Calibri" w:cs="Calibri" w:eastAsia="Calibri" w:hAnsi="Calibri"/>
                <w:b w:val="false"/>
                <w:bCs w:val="false"/>
                <w:color w:val="1B2A33"/>
                <w:sz w:val="19"/>
                <w:szCs w:val="19"/>
              </w:rPr>
              <w:t xml:space="preserve">0</w:t>
            </w:r>
          </w:p>
        </w:tc>
        <w:tc>
          <w:tcPr>
            <w:tcW w:type="dxa" w:w="1960"/>
            <w:tcBorders>
              <w:top w:val="single" w:color="C9D6D4" w:sz="4"/>
              <w:left w:val="single" w:color="C9D6D4" w:sz="4"/>
              <w:bottom w:val="single" w:color="C9D6D4" w:sz="4"/>
              <w:right w:val="single" w:color="C9D6D4" w:sz="4"/>
            </w:tcBorders>
            <w:tcMar>
              <w:top w:type="dxa" w:w="90"/>
              <w:left w:type="dxa" w:w="130"/>
              <w:bottom w:type="dxa" w:w="90"/>
              <w:right w:type="dxa" w:w="130"/>
            </w:tcMar>
            <w:vAlign w:val="center"/>
          </w:tcPr>
          <w:p>
            <w:pPr>
              <w:jc w:val="left"/>
            </w:pPr>
            <w:r>
              <w:rPr>
                <w:rFonts w:ascii="Calibri" w:cs="Calibri" w:eastAsia="Calibri" w:hAnsi="Calibri"/>
                <w:b w:val="false"/>
                <w:bCs w:val="false"/>
                <w:color w:val="1B2A33"/>
                <w:sz w:val="19"/>
                <w:szCs w:val="19"/>
              </w:rPr>
              <w:t xml:space="preserve">26.5%</w:t>
            </w:r>
          </w:p>
        </w:tc>
      </w:tr>
    </w:tbl>
    <w:p>
      <w:pPr>
        <w:keepNext/>
        <w:keepLines/>
        <w:spacing w:after="80" w:before="160"/>
        <w:jc w:val="center"/>
      </w:pPr>
      <w:r>
        <w:drawing>
          <wp:inline distT="0" distB="0" distL="0" distR="0">
            <wp:extent cx="45720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2428875"/>
                    </a:xfrm>
                    <a:prstGeom prst="rect">
                      <a:avLst/>
                    </a:prstGeom>
                  </pic:spPr>
                </pic:pic>
              </a:graphicData>
            </a:graphic>
          </wp:inline>
        </w:drawing>
      </w:r>
    </w:p>
    <w:p>
      <w:pPr>
        <w:keepLines/>
        <w:spacing w:after="220"/>
        <w:jc w:val="center"/>
      </w:pPr>
      <w:r>
        <w:rPr>
          <w:rFonts w:ascii="Calibri" w:cs="Calibri" w:eastAsia="Calibri" w:hAnsi="Calibri"/>
          <w:i/>
          <w:iCs/>
          <w:color w:val="3C4F5C"/>
          <w:sz w:val="18"/>
          <w:szCs w:val="18"/>
        </w:rPr>
        <w:t xml:space="preserve">Figure 4: Annual water supplied against tank capacity. Returns flatten hard past 5,000 L.</w:t>
      </w:r>
    </w:p>
    <w:p>
      <w:pPr>
        <w:spacing w:after="160" w:line="268"/>
        <w:jc w:val="left"/>
      </w:pPr>
      <w:r>
        <w:rPr>
          <w:rFonts w:ascii="Calibri" w:cs="Calibri" w:eastAsia="Calibri" w:hAnsi="Calibri"/>
          <w:color w:val="1B2A33"/>
          <w:sz w:val="21"/>
          <w:szCs w:val="21"/>
        </w:rPr>
        <w:t xml:space="preserve">The curve climbs steadily until about 5,000 L, right where overflow hits zero, and then goes completely flat. Past that point, every extra litre of capacity buys nothing, because there's no rainfall left to fill it. The workbook's recommendation cell flags 3,000 L as the smallest tank that still captures 98% of the maximum achievable supply, a noticeably cheaper option than the base-case 5,000 L input for almost the same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6B9E78" w:sz="26"/>
              <w:bottom w:val="none" w:color="FFFFFF" w:sz="0"/>
              <w:right w:val="none" w:color="FFFFFF" w:sz="0"/>
            </w:tcBorders>
            <w:shd w:fill="EAF3F2" w:val="clear"/>
            <w:tcMar>
              <w:top w:type="dxa" w:w="160"/>
              <w:left w:type="dxa" w:w="220"/>
              <w:bottom w:type="dxa" w:w="160"/>
              <w:right w:type="dxa" w:w="220"/>
            </w:tcMar>
          </w:tcPr>
          <w:p>
            <w:pPr>
              <w:spacing w:after="90"/>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 cy="323850"/>
                          </a:xfrm>
                          <a:prstGeom prst="rect">
                            <a:avLst/>
                          </a:prstGeom>
                        </pic:spPr>
                      </pic:pic>
                    </a:graphicData>
                  </a:graphic>
                </wp:inline>
              </w:drawing>
            </w:r>
            <w:r>
              <w:rPr>
                <w:rFonts w:ascii="Calibri" w:cs="Calibri" w:eastAsia="Calibri" w:hAnsi="Calibri"/>
                <w:b/>
                <w:bCs/>
                <w:color w:val="6B9E78"/>
                <w:sz w:val="20"/>
                <w:szCs w:val="20"/>
              </w:rPr>
              <w:t xml:space="preserve">  RECOMMENDATION</w:t>
            </w:r>
          </w:p>
          <w:p>
            <w:pPr>
              <w:spacing w:after="0"/>
            </w:pPr>
            <w:r>
              <w:rPr>
                <w:rFonts w:ascii="Calibri" w:cs="Calibri" w:eastAsia="Calibri" w:hAnsi="Calibri"/>
                <w:color w:val="1B2A33"/>
                <w:sz w:val="20"/>
                <w:szCs w:val="20"/>
              </w:rPr>
              <w:t xml:space="preserve">For this roof and demand profile in Karachi, a 5,000 L tank is measurably oversized. 3,000 L delivers 98% of the achievable annual supply at a lower capital cost.</w:t>
            </w:r>
          </w:p>
        </w:tc>
      </w:tr>
    </w:tbl>
    <w:p>
      <w:pPr>
        <w:pStyle w:val="Heading1"/>
        <w:keepNext/>
        <w:keepLines/>
        <w:pBdr>
          <w:bottom w:val="single" w:color="0E5C57" w:sz="6" w:space="6"/>
        </w:pBdr>
        <w:spacing w:after="180" w:before="420"/>
      </w:pPr>
      <w:r>
        <w:rPr>
          <w:rFonts w:ascii="Calibri" w:cs="Calibri" w:eastAsia="Calibri" w:hAnsi="Calibri"/>
          <w:b/>
          <w:bCs/>
          <w:color w:val="1B7A72"/>
          <w:sz w:val="30"/>
          <w:szCs w:val="30"/>
        </w:rPr>
        <w:t xml:space="preserve"/>
      </w:r>
      <w:r>
        <w:rPr>
          <w:rFonts w:ascii="Calibri" w:cs="Calibri" w:eastAsia="Calibri" w:hAnsi="Calibri"/>
          <w:b/>
          <w:bCs/>
          <w:color w:val="0E5C57"/>
          <w:sz w:val="30"/>
          <w:szCs w:val="30"/>
        </w:rPr>
        <w:t xml:space="preserve">6. Sensitivity Analysis</w:t>
      </w:r>
    </w:p>
    <w:p>
      <w:pPr>
        <w:spacing w:after="160" w:line="268"/>
        <w:jc w:val="left"/>
      </w:pPr>
      <w:r>
        <w:rPr>
          <w:rFonts w:ascii="Calibri" w:cs="Calibri" w:eastAsia="Calibri" w:hAnsi="Calibri"/>
          <w:color w:val="1B2A33"/>
          <w:sz w:val="21"/>
          <w:szCs w:val="21"/>
        </w:rPr>
        <w:t xml:space="preserve">Each parameter below was shifted by 25% up and down from its base value, one at a time, with everything else held fixed, using the same monthly balance as the optimization sweep. The resulting change in annual reliability is what's plotted in Figure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100"/>
        <w:gridCol w:w="2100"/>
        <w:gridCol w:w="1960"/>
      </w:tblGrid>
      <w:tr>
        <w:trPr>
          <w:cantSplit/>
          <w:tblHeader/>
        </w:trPr>
        <w:tc>
          <w:tcPr>
            <w:tcW w:type="dxa" w:w="3200"/>
            <w:tcBorders>
              <w:top w:val="single" w:color="C9D6D4" w:sz="4"/>
              <w:left w:val="single" w:color="C9D6D4" w:sz="4"/>
              <w:bottom w:val="single" w:color="C9D6D4" w:sz="4"/>
              <w:right w:val="single" w:color="C9D6D4" w:sz="4"/>
            </w:tcBorders>
            <w:shd w:fill="0E5C57" w:val="clear"/>
            <w:tcMar>
              <w:top w:type="dxa" w:w="90"/>
              <w:left w:type="dxa" w:w="130"/>
              <w:bottom w:type="dxa" w:w="90"/>
              <w:right w:type="dxa" w:w="130"/>
            </w:tcMar>
            <w:vAlign w:val="center"/>
          </w:tcPr>
          <w:p>
            <w:pPr>
              <w:jc w:val="left"/>
            </w:pPr>
            <w:r>
              <w:rPr>
                <w:rFonts w:ascii="Calibri" w:cs="Calibri" w:eastAsia="Calibri" w:hAnsi="Calibri"/>
                <w:b/>
                <w:bCs/>
                <w:color w:val="FFFFFF"/>
                <w:sz w:val="19"/>
                <w:szCs w:val="19"/>
              </w:rPr>
              <w:t xml:space="preserve">Parameter</w:t>
            </w:r>
          </w:p>
        </w:tc>
        <w:tc>
          <w:tcPr>
            <w:tcW w:type="dxa" w:w="2100"/>
            <w:tcBorders>
              <w:top w:val="single" w:color="C9D6D4" w:sz="4"/>
              <w:left w:val="single" w:color="C9D6D4" w:sz="4"/>
              <w:bottom w:val="single" w:color="C9D6D4" w:sz="4"/>
              <w:right w:val="single" w:color="C9D6D4" w:sz="4"/>
            </w:tcBorders>
            <w:shd w:fill="0E5C57" w:val="clear"/>
            <w:tcMar>
              <w:top w:type="dxa" w:w="90"/>
              <w:left w:type="dxa" w:w="130"/>
              <w:bottom w:type="dxa" w:w="90"/>
              <w:right w:type="dxa" w:w="130"/>
            </w:tcMar>
            <w:vAlign w:val="center"/>
          </w:tcPr>
          <w:p>
            <w:pPr>
              <w:jc w:val="left"/>
            </w:pPr>
            <w:r>
              <w:rPr>
                <w:rFonts w:ascii="Calibri" w:cs="Calibri" w:eastAsia="Calibri" w:hAnsi="Calibri"/>
                <w:b/>
                <w:bCs/>
                <w:color w:val="FFFFFF"/>
                <w:sz w:val="19"/>
                <w:szCs w:val="19"/>
              </w:rPr>
              <w:t xml:space="preserve">Low (-25%)</w:t>
            </w:r>
          </w:p>
        </w:tc>
        <w:tc>
          <w:tcPr>
            <w:tcW w:type="dxa" w:w="2100"/>
            <w:tcBorders>
              <w:top w:val="single" w:color="C9D6D4" w:sz="4"/>
              <w:left w:val="single" w:color="C9D6D4" w:sz="4"/>
              <w:bottom w:val="single" w:color="C9D6D4" w:sz="4"/>
              <w:right w:val="single" w:color="C9D6D4" w:sz="4"/>
            </w:tcBorders>
            <w:shd w:fill="0E5C57" w:val="clear"/>
            <w:tcMar>
              <w:top w:type="dxa" w:w="90"/>
              <w:left w:type="dxa" w:w="130"/>
              <w:bottom w:type="dxa" w:w="90"/>
              <w:right w:type="dxa" w:w="130"/>
            </w:tcMar>
            <w:vAlign w:val="center"/>
          </w:tcPr>
          <w:p>
            <w:pPr>
              <w:jc w:val="left"/>
            </w:pPr>
            <w:r>
              <w:rPr>
                <w:rFonts w:ascii="Calibri" w:cs="Calibri" w:eastAsia="Calibri" w:hAnsi="Calibri"/>
                <w:b/>
                <w:bCs/>
                <w:color w:val="FFFFFF"/>
                <w:sz w:val="19"/>
                <w:szCs w:val="19"/>
              </w:rPr>
              <w:t xml:space="preserve">High (+25%)</w:t>
            </w:r>
          </w:p>
        </w:tc>
        <w:tc>
          <w:tcPr>
            <w:tcW w:type="dxa" w:w="1960"/>
            <w:tcBorders>
              <w:top w:val="single" w:color="C9D6D4" w:sz="4"/>
              <w:left w:val="single" w:color="C9D6D4" w:sz="4"/>
              <w:bottom w:val="single" w:color="C9D6D4" w:sz="4"/>
              <w:right w:val="single" w:color="C9D6D4" w:sz="4"/>
            </w:tcBorders>
            <w:shd w:fill="0E5C57" w:val="clear"/>
            <w:tcMar>
              <w:top w:type="dxa" w:w="90"/>
              <w:left w:type="dxa" w:w="130"/>
              <w:bottom w:type="dxa" w:w="90"/>
              <w:right w:type="dxa" w:w="130"/>
            </w:tcMar>
            <w:vAlign w:val="center"/>
          </w:tcPr>
          <w:p>
            <w:pPr>
              <w:jc w:val="left"/>
            </w:pPr>
            <w:r>
              <w:rPr>
                <w:rFonts w:ascii="Calibri" w:cs="Calibri" w:eastAsia="Calibri" w:hAnsi="Calibri"/>
                <w:b/>
                <w:bCs/>
                <w:color w:val="FFFFFF"/>
                <w:sz w:val="19"/>
                <w:szCs w:val="19"/>
              </w:rPr>
              <w:t xml:space="preserve">Swing (points)</w:t>
            </w:r>
          </w:p>
        </w:tc>
      </w:tr>
      <w:tr>
        <w:trPr>
          <w:cantSplit/>
        </w:trPr>
        <w:tc>
          <w:tcPr>
            <w:tcW w:type="dxa" w:w="3200"/>
            <w:tcBorders>
              <w:top w:val="single" w:color="C9D6D4" w:sz="4"/>
              <w:left w:val="single" w:color="C9D6D4" w:sz="4"/>
              <w:bottom w:val="single" w:color="C9D6D4" w:sz="4"/>
              <w:right w:val="single" w:color="C9D6D4" w:sz="4"/>
            </w:tcBorders>
            <w:tcMar>
              <w:top w:type="dxa" w:w="90"/>
              <w:left w:type="dxa" w:w="130"/>
              <w:bottom w:type="dxa" w:w="90"/>
              <w:right w:type="dxa" w:w="130"/>
            </w:tcMar>
            <w:vAlign w:val="center"/>
          </w:tcPr>
          <w:p>
            <w:pPr>
              <w:jc w:val="left"/>
            </w:pPr>
            <w:r>
              <w:rPr>
                <w:rFonts w:ascii="Calibri" w:cs="Calibri" w:eastAsia="Calibri" w:hAnsi="Calibri"/>
                <w:b w:val="false"/>
                <w:bCs w:val="false"/>
                <w:color w:val="1B2A33"/>
                <w:sz w:val="19"/>
                <w:szCs w:val="19"/>
              </w:rPr>
              <w:t xml:space="preserve">Roof Area</w:t>
            </w:r>
          </w:p>
        </w:tc>
        <w:tc>
          <w:tcPr>
            <w:tcW w:type="dxa" w:w="2100"/>
            <w:tcBorders>
              <w:top w:val="single" w:color="C9D6D4" w:sz="4"/>
              <w:left w:val="single" w:color="C9D6D4" w:sz="4"/>
              <w:bottom w:val="single" w:color="C9D6D4" w:sz="4"/>
              <w:right w:val="single" w:color="C9D6D4" w:sz="4"/>
            </w:tcBorders>
            <w:tcMar>
              <w:top w:type="dxa" w:w="90"/>
              <w:left w:type="dxa" w:w="130"/>
              <w:bottom w:type="dxa" w:w="90"/>
              <w:right w:type="dxa" w:w="130"/>
            </w:tcMar>
            <w:vAlign w:val="center"/>
          </w:tcPr>
          <w:p>
            <w:pPr>
              <w:jc w:val="left"/>
            </w:pPr>
            <w:r>
              <w:rPr>
                <w:rFonts w:ascii="Calibri" w:cs="Calibri" w:eastAsia="Calibri" w:hAnsi="Calibri"/>
                <w:b w:val="false"/>
                <w:bCs w:val="false"/>
                <w:color w:val="1B2A33"/>
                <w:sz w:val="19"/>
                <w:szCs w:val="19"/>
              </w:rPr>
              <w:t xml:space="preserve">19.3%</w:t>
            </w:r>
          </w:p>
        </w:tc>
        <w:tc>
          <w:tcPr>
            <w:tcW w:type="dxa" w:w="2100"/>
            <w:tcBorders>
              <w:top w:val="single" w:color="C9D6D4" w:sz="4"/>
              <w:left w:val="single" w:color="C9D6D4" w:sz="4"/>
              <w:bottom w:val="single" w:color="C9D6D4" w:sz="4"/>
              <w:right w:val="single" w:color="C9D6D4" w:sz="4"/>
            </w:tcBorders>
            <w:tcMar>
              <w:top w:type="dxa" w:w="90"/>
              <w:left w:type="dxa" w:w="130"/>
              <w:bottom w:type="dxa" w:w="90"/>
              <w:right w:type="dxa" w:w="130"/>
            </w:tcMar>
            <w:vAlign w:val="center"/>
          </w:tcPr>
          <w:p>
            <w:pPr>
              <w:jc w:val="left"/>
            </w:pPr>
            <w:r>
              <w:rPr>
                <w:rFonts w:ascii="Calibri" w:cs="Calibri" w:eastAsia="Calibri" w:hAnsi="Calibri"/>
                <w:b w:val="false"/>
                <w:bCs w:val="false"/>
                <w:color w:val="1B2A33"/>
                <w:sz w:val="19"/>
                <w:szCs w:val="19"/>
              </w:rPr>
              <w:t xml:space="preserve">28.8%</w:t>
            </w:r>
          </w:p>
        </w:tc>
        <w:tc>
          <w:tcPr>
            <w:tcW w:type="dxa" w:w="1960"/>
            <w:tcBorders>
              <w:top w:val="single" w:color="C9D6D4" w:sz="4"/>
              <w:left w:val="single" w:color="C9D6D4" w:sz="4"/>
              <w:bottom w:val="single" w:color="C9D6D4" w:sz="4"/>
              <w:right w:val="single" w:color="C9D6D4" w:sz="4"/>
            </w:tcBorders>
            <w:tcMar>
              <w:top w:type="dxa" w:w="90"/>
              <w:left w:type="dxa" w:w="130"/>
              <w:bottom w:type="dxa" w:w="90"/>
              <w:right w:type="dxa" w:w="130"/>
            </w:tcMar>
            <w:vAlign w:val="center"/>
          </w:tcPr>
          <w:p>
            <w:pPr>
              <w:jc w:val="left"/>
            </w:pPr>
            <w:r>
              <w:rPr>
                <w:rFonts w:ascii="Calibri" w:cs="Calibri" w:eastAsia="Calibri" w:hAnsi="Calibri"/>
                <w:b w:val="false"/>
                <w:bCs w:val="false"/>
                <w:color w:val="1B2A33"/>
                <w:sz w:val="19"/>
                <w:szCs w:val="19"/>
              </w:rPr>
              <w:t xml:space="preserve">9.5</w:t>
            </w:r>
          </w:p>
        </w:tc>
      </w:tr>
      <w:tr>
        <w:trPr>
          <w:cantSplit/>
        </w:trPr>
        <w:tc>
          <w:tcPr>
            <w:tcW w:type="dxa" w:w="3200"/>
            <w:tcBorders>
              <w:top w:val="single" w:color="C9D6D4" w:sz="4"/>
              <w:left w:val="single" w:color="C9D6D4" w:sz="4"/>
              <w:bottom w:val="single" w:color="C9D6D4" w:sz="4"/>
              <w:right w:val="single" w:color="C9D6D4" w:sz="4"/>
            </w:tcBorders>
            <w:tcMar>
              <w:top w:type="dxa" w:w="90"/>
              <w:left w:type="dxa" w:w="130"/>
              <w:bottom w:type="dxa" w:w="90"/>
              <w:right w:type="dxa" w:w="130"/>
            </w:tcMar>
            <w:vAlign w:val="center"/>
          </w:tcPr>
          <w:p>
            <w:pPr>
              <w:jc w:val="left"/>
            </w:pPr>
            <w:r>
              <w:rPr>
                <w:rFonts w:ascii="Calibri" w:cs="Calibri" w:eastAsia="Calibri" w:hAnsi="Calibri"/>
                <w:b w:val="false"/>
                <w:bCs w:val="false"/>
                <w:color w:val="1B2A33"/>
                <w:sz w:val="19"/>
                <w:szCs w:val="19"/>
              </w:rPr>
              <w:t xml:space="preserve">Rainfall</w:t>
            </w:r>
          </w:p>
        </w:tc>
        <w:tc>
          <w:tcPr>
            <w:tcW w:type="dxa" w:w="2100"/>
            <w:tcBorders>
              <w:top w:val="single" w:color="C9D6D4" w:sz="4"/>
              <w:left w:val="single" w:color="C9D6D4" w:sz="4"/>
              <w:bottom w:val="single" w:color="C9D6D4" w:sz="4"/>
              <w:right w:val="single" w:color="C9D6D4" w:sz="4"/>
            </w:tcBorders>
            <w:tcMar>
              <w:top w:type="dxa" w:w="90"/>
              <w:left w:type="dxa" w:w="130"/>
              <w:bottom w:type="dxa" w:w="90"/>
              <w:right w:type="dxa" w:w="130"/>
            </w:tcMar>
            <w:vAlign w:val="center"/>
          </w:tcPr>
          <w:p>
            <w:pPr>
              <w:jc w:val="left"/>
            </w:pPr>
            <w:r>
              <w:rPr>
                <w:rFonts w:ascii="Calibri" w:cs="Calibri" w:eastAsia="Calibri" w:hAnsi="Calibri"/>
                <w:b w:val="false"/>
                <w:bCs w:val="false"/>
                <w:color w:val="1B2A33"/>
                <w:sz w:val="19"/>
                <w:szCs w:val="19"/>
              </w:rPr>
              <w:t xml:space="preserve">19.3%</w:t>
            </w:r>
          </w:p>
        </w:tc>
        <w:tc>
          <w:tcPr>
            <w:tcW w:type="dxa" w:w="2100"/>
            <w:tcBorders>
              <w:top w:val="single" w:color="C9D6D4" w:sz="4"/>
              <w:left w:val="single" w:color="C9D6D4" w:sz="4"/>
              <w:bottom w:val="single" w:color="C9D6D4" w:sz="4"/>
              <w:right w:val="single" w:color="C9D6D4" w:sz="4"/>
            </w:tcBorders>
            <w:tcMar>
              <w:top w:type="dxa" w:w="90"/>
              <w:left w:type="dxa" w:w="130"/>
              <w:bottom w:type="dxa" w:w="90"/>
              <w:right w:type="dxa" w:w="130"/>
            </w:tcMar>
            <w:vAlign w:val="center"/>
          </w:tcPr>
          <w:p>
            <w:pPr>
              <w:jc w:val="left"/>
            </w:pPr>
            <w:r>
              <w:rPr>
                <w:rFonts w:ascii="Calibri" w:cs="Calibri" w:eastAsia="Calibri" w:hAnsi="Calibri"/>
                <w:b w:val="false"/>
                <w:bCs w:val="false"/>
                <w:color w:val="1B2A33"/>
                <w:sz w:val="19"/>
                <w:szCs w:val="19"/>
              </w:rPr>
              <w:t xml:space="preserve">28.8%</w:t>
            </w:r>
          </w:p>
        </w:tc>
        <w:tc>
          <w:tcPr>
            <w:tcW w:type="dxa" w:w="1960"/>
            <w:tcBorders>
              <w:top w:val="single" w:color="C9D6D4" w:sz="4"/>
              <w:left w:val="single" w:color="C9D6D4" w:sz="4"/>
              <w:bottom w:val="single" w:color="C9D6D4" w:sz="4"/>
              <w:right w:val="single" w:color="C9D6D4" w:sz="4"/>
            </w:tcBorders>
            <w:tcMar>
              <w:top w:type="dxa" w:w="90"/>
              <w:left w:type="dxa" w:w="130"/>
              <w:bottom w:type="dxa" w:w="90"/>
              <w:right w:type="dxa" w:w="130"/>
            </w:tcMar>
            <w:vAlign w:val="center"/>
          </w:tcPr>
          <w:p>
            <w:pPr>
              <w:jc w:val="left"/>
            </w:pPr>
            <w:r>
              <w:rPr>
                <w:rFonts w:ascii="Calibri" w:cs="Calibri" w:eastAsia="Calibri" w:hAnsi="Calibri"/>
                <w:b w:val="false"/>
                <w:bCs w:val="false"/>
                <w:color w:val="1B2A33"/>
                <w:sz w:val="19"/>
                <w:szCs w:val="19"/>
              </w:rPr>
              <w:t xml:space="preserve">9.5</w:t>
            </w:r>
          </w:p>
        </w:tc>
      </w:tr>
      <w:tr>
        <w:trPr>
          <w:cantSplit/>
        </w:trPr>
        <w:tc>
          <w:tcPr>
            <w:tcW w:type="dxa" w:w="3200"/>
            <w:tcBorders>
              <w:top w:val="single" w:color="C9D6D4" w:sz="4"/>
              <w:left w:val="single" w:color="C9D6D4" w:sz="4"/>
              <w:bottom w:val="single" w:color="C9D6D4" w:sz="4"/>
              <w:right w:val="single" w:color="C9D6D4" w:sz="4"/>
            </w:tcBorders>
            <w:tcMar>
              <w:top w:type="dxa" w:w="90"/>
              <w:left w:type="dxa" w:w="130"/>
              <w:bottom w:type="dxa" w:w="90"/>
              <w:right w:type="dxa" w:w="130"/>
            </w:tcMar>
            <w:vAlign w:val="center"/>
          </w:tcPr>
          <w:p>
            <w:pPr>
              <w:jc w:val="left"/>
            </w:pPr>
            <w:r>
              <w:rPr>
                <w:rFonts w:ascii="Calibri" w:cs="Calibri" w:eastAsia="Calibri" w:hAnsi="Calibri"/>
                <w:b w:val="false"/>
                <w:bCs w:val="false"/>
                <w:color w:val="1B2A33"/>
                <w:sz w:val="19"/>
                <w:szCs w:val="19"/>
              </w:rPr>
              <w:t xml:space="preserve">Collection Efficiency</w:t>
            </w:r>
          </w:p>
        </w:tc>
        <w:tc>
          <w:tcPr>
            <w:tcW w:type="dxa" w:w="2100"/>
            <w:tcBorders>
              <w:top w:val="single" w:color="C9D6D4" w:sz="4"/>
              <w:left w:val="single" w:color="C9D6D4" w:sz="4"/>
              <w:bottom w:val="single" w:color="C9D6D4" w:sz="4"/>
              <w:right w:val="single" w:color="C9D6D4" w:sz="4"/>
            </w:tcBorders>
            <w:tcMar>
              <w:top w:type="dxa" w:w="90"/>
              <w:left w:type="dxa" w:w="130"/>
              <w:bottom w:type="dxa" w:w="90"/>
              <w:right w:type="dxa" w:w="130"/>
            </w:tcMar>
            <w:vAlign w:val="center"/>
          </w:tcPr>
          <w:p>
            <w:pPr>
              <w:jc w:val="left"/>
            </w:pPr>
            <w:r>
              <w:rPr>
                <w:rFonts w:ascii="Calibri" w:cs="Calibri" w:eastAsia="Calibri" w:hAnsi="Calibri"/>
                <w:b w:val="false"/>
                <w:bCs w:val="false"/>
                <w:color w:val="1B2A33"/>
                <w:sz w:val="19"/>
                <w:szCs w:val="19"/>
              </w:rPr>
              <w:t xml:space="preserve">19.3%</w:t>
            </w:r>
          </w:p>
        </w:tc>
        <w:tc>
          <w:tcPr>
            <w:tcW w:type="dxa" w:w="2100"/>
            <w:tcBorders>
              <w:top w:val="single" w:color="C9D6D4" w:sz="4"/>
              <w:left w:val="single" w:color="C9D6D4" w:sz="4"/>
              <w:bottom w:val="single" w:color="C9D6D4" w:sz="4"/>
              <w:right w:val="single" w:color="C9D6D4" w:sz="4"/>
            </w:tcBorders>
            <w:tcMar>
              <w:top w:type="dxa" w:w="90"/>
              <w:left w:type="dxa" w:w="130"/>
              <w:bottom w:type="dxa" w:w="90"/>
              <w:right w:type="dxa" w:w="130"/>
            </w:tcMar>
            <w:vAlign w:val="center"/>
          </w:tcPr>
          <w:p>
            <w:pPr>
              <w:jc w:val="left"/>
            </w:pPr>
            <w:r>
              <w:rPr>
                <w:rFonts w:ascii="Calibri" w:cs="Calibri" w:eastAsia="Calibri" w:hAnsi="Calibri"/>
                <w:b w:val="false"/>
                <w:bCs w:val="false"/>
                <w:color w:val="1B2A33"/>
                <w:sz w:val="19"/>
                <w:szCs w:val="19"/>
              </w:rPr>
              <w:t xml:space="preserve">28.8%</w:t>
            </w:r>
          </w:p>
        </w:tc>
        <w:tc>
          <w:tcPr>
            <w:tcW w:type="dxa" w:w="1960"/>
            <w:tcBorders>
              <w:top w:val="single" w:color="C9D6D4" w:sz="4"/>
              <w:left w:val="single" w:color="C9D6D4" w:sz="4"/>
              <w:bottom w:val="single" w:color="C9D6D4" w:sz="4"/>
              <w:right w:val="single" w:color="C9D6D4" w:sz="4"/>
            </w:tcBorders>
            <w:tcMar>
              <w:top w:type="dxa" w:w="90"/>
              <w:left w:type="dxa" w:w="130"/>
              <w:bottom w:type="dxa" w:w="90"/>
              <w:right w:type="dxa" w:w="130"/>
            </w:tcMar>
            <w:vAlign w:val="center"/>
          </w:tcPr>
          <w:p>
            <w:pPr>
              <w:jc w:val="left"/>
            </w:pPr>
            <w:r>
              <w:rPr>
                <w:rFonts w:ascii="Calibri" w:cs="Calibri" w:eastAsia="Calibri" w:hAnsi="Calibri"/>
                <w:b w:val="false"/>
                <w:bCs w:val="false"/>
                <w:color w:val="1B2A33"/>
                <w:sz w:val="19"/>
                <w:szCs w:val="19"/>
              </w:rPr>
              <w:t xml:space="preserve">9.5</w:t>
            </w:r>
          </w:p>
        </w:tc>
      </w:tr>
      <w:tr>
        <w:trPr>
          <w:cantSplit/>
        </w:trPr>
        <w:tc>
          <w:tcPr>
            <w:tcW w:type="dxa" w:w="3200"/>
            <w:tcBorders>
              <w:top w:val="single" w:color="C9D6D4" w:sz="4"/>
              <w:left w:val="single" w:color="C9D6D4" w:sz="4"/>
              <w:bottom w:val="single" w:color="C9D6D4" w:sz="4"/>
              <w:right w:val="single" w:color="C9D6D4" w:sz="4"/>
            </w:tcBorders>
            <w:tcMar>
              <w:top w:type="dxa" w:w="90"/>
              <w:left w:type="dxa" w:w="130"/>
              <w:bottom w:type="dxa" w:w="90"/>
              <w:right w:type="dxa" w:w="130"/>
            </w:tcMar>
            <w:vAlign w:val="center"/>
          </w:tcPr>
          <w:p>
            <w:pPr>
              <w:jc w:val="left"/>
            </w:pPr>
            <w:r>
              <w:rPr>
                <w:rFonts w:ascii="Calibri" w:cs="Calibri" w:eastAsia="Calibri" w:hAnsi="Calibri"/>
                <w:b w:val="false"/>
                <w:bCs w:val="false"/>
                <w:color w:val="1B2A33"/>
                <w:sz w:val="19"/>
                <w:szCs w:val="19"/>
              </w:rPr>
              <w:t xml:space="preserve">Water Demand</w:t>
            </w:r>
          </w:p>
        </w:tc>
        <w:tc>
          <w:tcPr>
            <w:tcW w:type="dxa" w:w="2100"/>
            <w:tcBorders>
              <w:top w:val="single" w:color="C9D6D4" w:sz="4"/>
              <w:left w:val="single" w:color="C9D6D4" w:sz="4"/>
              <w:bottom w:val="single" w:color="C9D6D4" w:sz="4"/>
              <w:right w:val="single" w:color="C9D6D4" w:sz="4"/>
            </w:tcBorders>
            <w:tcMar>
              <w:top w:type="dxa" w:w="90"/>
              <w:left w:type="dxa" w:w="130"/>
              <w:bottom w:type="dxa" w:w="90"/>
              <w:right w:type="dxa" w:w="130"/>
            </w:tcMar>
            <w:vAlign w:val="center"/>
          </w:tcPr>
          <w:p>
            <w:pPr>
              <w:jc w:val="left"/>
            </w:pPr>
            <w:r>
              <w:rPr>
                <w:rFonts w:ascii="Calibri" w:cs="Calibri" w:eastAsia="Calibri" w:hAnsi="Calibri"/>
                <w:b w:val="false"/>
                <w:bCs w:val="false"/>
                <w:color w:val="1B2A33"/>
                <w:sz w:val="19"/>
                <w:szCs w:val="19"/>
              </w:rPr>
              <w:t xml:space="preserve">23.2%</w:t>
            </w:r>
          </w:p>
        </w:tc>
        <w:tc>
          <w:tcPr>
            <w:tcW w:type="dxa" w:w="2100"/>
            <w:tcBorders>
              <w:top w:val="single" w:color="C9D6D4" w:sz="4"/>
              <w:left w:val="single" w:color="C9D6D4" w:sz="4"/>
              <w:bottom w:val="single" w:color="C9D6D4" w:sz="4"/>
              <w:right w:val="single" w:color="C9D6D4" w:sz="4"/>
            </w:tcBorders>
            <w:tcMar>
              <w:top w:type="dxa" w:w="90"/>
              <w:left w:type="dxa" w:w="130"/>
              <w:bottom w:type="dxa" w:w="90"/>
              <w:right w:type="dxa" w:w="130"/>
            </w:tcMar>
            <w:vAlign w:val="center"/>
          </w:tcPr>
          <w:p>
            <w:pPr>
              <w:jc w:val="left"/>
            </w:pPr>
            <w:r>
              <w:rPr>
                <w:rFonts w:ascii="Calibri" w:cs="Calibri" w:eastAsia="Calibri" w:hAnsi="Calibri"/>
                <w:b w:val="false"/>
                <w:bCs w:val="false"/>
                <w:color w:val="1B2A33"/>
                <w:sz w:val="19"/>
                <w:szCs w:val="19"/>
              </w:rPr>
              <w:t xml:space="preserve">26.4%</w:t>
            </w:r>
          </w:p>
        </w:tc>
        <w:tc>
          <w:tcPr>
            <w:tcW w:type="dxa" w:w="1960"/>
            <w:tcBorders>
              <w:top w:val="single" w:color="C9D6D4" w:sz="4"/>
              <w:left w:val="single" w:color="C9D6D4" w:sz="4"/>
              <w:bottom w:val="single" w:color="C9D6D4" w:sz="4"/>
              <w:right w:val="single" w:color="C9D6D4" w:sz="4"/>
            </w:tcBorders>
            <w:tcMar>
              <w:top w:type="dxa" w:w="90"/>
              <w:left w:type="dxa" w:w="130"/>
              <w:bottom w:type="dxa" w:w="90"/>
              <w:right w:type="dxa" w:w="130"/>
            </w:tcMar>
            <w:vAlign w:val="center"/>
          </w:tcPr>
          <w:p>
            <w:pPr>
              <w:jc w:val="left"/>
            </w:pPr>
            <w:r>
              <w:rPr>
                <w:rFonts w:ascii="Calibri" w:cs="Calibri" w:eastAsia="Calibri" w:hAnsi="Calibri"/>
                <w:b w:val="false"/>
                <w:bCs w:val="false"/>
                <w:color w:val="1B2A33"/>
                <w:sz w:val="19"/>
                <w:szCs w:val="19"/>
              </w:rPr>
              <w:t xml:space="preserve">3.2</w:t>
            </w:r>
          </w:p>
        </w:tc>
      </w:tr>
      <w:tr>
        <w:trPr>
          <w:cantSplit/>
        </w:trPr>
        <w:tc>
          <w:tcPr>
            <w:tcW w:type="dxa" w:w="3200"/>
            <w:tcBorders>
              <w:top w:val="single" w:color="C9D6D4" w:sz="4"/>
              <w:left w:val="single" w:color="C9D6D4" w:sz="4"/>
              <w:bottom w:val="single" w:color="C9D6D4" w:sz="4"/>
              <w:right w:val="single" w:color="C9D6D4" w:sz="4"/>
            </w:tcBorders>
            <w:tcMar>
              <w:top w:type="dxa" w:w="90"/>
              <w:left w:type="dxa" w:w="130"/>
              <w:bottom w:type="dxa" w:w="90"/>
              <w:right w:type="dxa" w:w="130"/>
            </w:tcMar>
            <w:vAlign w:val="center"/>
          </w:tcPr>
          <w:p>
            <w:pPr>
              <w:jc w:val="left"/>
            </w:pPr>
            <w:r>
              <w:rPr>
                <w:rFonts w:ascii="Calibri" w:cs="Calibri" w:eastAsia="Calibri" w:hAnsi="Calibri"/>
                <w:b w:val="false"/>
                <w:bCs w:val="false"/>
                <w:color w:val="1B2A33"/>
                <w:sz w:val="19"/>
                <w:szCs w:val="19"/>
              </w:rPr>
              <w:t xml:space="preserve">Tank Capacity</w:t>
            </w:r>
          </w:p>
        </w:tc>
        <w:tc>
          <w:tcPr>
            <w:tcW w:type="dxa" w:w="2100"/>
            <w:tcBorders>
              <w:top w:val="single" w:color="C9D6D4" w:sz="4"/>
              <w:left w:val="single" w:color="C9D6D4" w:sz="4"/>
              <w:bottom w:val="single" w:color="C9D6D4" w:sz="4"/>
              <w:right w:val="single" w:color="C9D6D4" w:sz="4"/>
            </w:tcBorders>
            <w:tcMar>
              <w:top w:type="dxa" w:w="90"/>
              <w:left w:type="dxa" w:w="130"/>
              <w:bottom w:type="dxa" w:w="90"/>
              <w:right w:type="dxa" w:w="130"/>
            </w:tcMar>
            <w:vAlign w:val="center"/>
          </w:tcPr>
          <w:p>
            <w:pPr>
              <w:jc w:val="left"/>
            </w:pPr>
            <w:r>
              <w:rPr>
                <w:rFonts w:ascii="Calibri" w:cs="Calibri" w:eastAsia="Calibri" w:hAnsi="Calibri"/>
                <w:b w:val="false"/>
                <w:bCs w:val="false"/>
                <w:color w:val="1B2A33"/>
                <w:sz w:val="19"/>
                <w:szCs w:val="19"/>
              </w:rPr>
              <w:t xml:space="preserve">26.0%</w:t>
            </w:r>
          </w:p>
        </w:tc>
        <w:tc>
          <w:tcPr>
            <w:tcW w:type="dxa" w:w="2100"/>
            <w:tcBorders>
              <w:top w:val="single" w:color="C9D6D4" w:sz="4"/>
              <w:left w:val="single" w:color="C9D6D4" w:sz="4"/>
              <w:bottom w:val="single" w:color="C9D6D4" w:sz="4"/>
              <w:right w:val="single" w:color="C9D6D4" w:sz="4"/>
            </w:tcBorders>
            <w:tcMar>
              <w:top w:type="dxa" w:w="90"/>
              <w:left w:type="dxa" w:w="130"/>
              <w:bottom w:type="dxa" w:w="90"/>
              <w:right w:type="dxa" w:w="130"/>
            </w:tcMar>
            <w:vAlign w:val="center"/>
          </w:tcPr>
          <w:p>
            <w:pPr>
              <w:jc w:val="left"/>
            </w:pPr>
            <w:r>
              <w:rPr>
                <w:rFonts w:ascii="Calibri" w:cs="Calibri" w:eastAsia="Calibri" w:hAnsi="Calibri"/>
                <w:b w:val="false"/>
                <w:bCs w:val="false"/>
                <w:color w:val="1B2A33"/>
                <w:sz w:val="19"/>
                <w:szCs w:val="19"/>
              </w:rPr>
              <w:t xml:space="preserve">26.5%</w:t>
            </w:r>
          </w:p>
        </w:tc>
        <w:tc>
          <w:tcPr>
            <w:tcW w:type="dxa" w:w="1960"/>
            <w:tcBorders>
              <w:top w:val="single" w:color="C9D6D4" w:sz="4"/>
              <w:left w:val="single" w:color="C9D6D4" w:sz="4"/>
              <w:bottom w:val="single" w:color="C9D6D4" w:sz="4"/>
              <w:right w:val="single" w:color="C9D6D4" w:sz="4"/>
            </w:tcBorders>
            <w:tcMar>
              <w:top w:type="dxa" w:w="90"/>
              <w:left w:type="dxa" w:w="130"/>
              <w:bottom w:type="dxa" w:w="90"/>
              <w:right w:type="dxa" w:w="130"/>
            </w:tcMar>
            <w:vAlign w:val="center"/>
          </w:tcPr>
          <w:p>
            <w:pPr>
              <w:jc w:val="left"/>
            </w:pPr>
            <w:r>
              <w:rPr>
                <w:rFonts w:ascii="Calibri" w:cs="Calibri" w:eastAsia="Calibri" w:hAnsi="Calibri"/>
                <w:b w:val="false"/>
                <w:bCs w:val="false"/>
                <w:color w:val="1B2A33"/>
                <w:sz w:val="19"/>
                <w:szCs w:val="19"/>
              </w:rPr>
              <w:t xml:space="preserve">0.5</w:t>
            </w:r>
          </w:p>
        </w:tc>
      </w:tr>
    </w:tbl>
    <w:p>
      <w:pPr>
        <w:keepNext/>
        <w:keepLines/>
        <w:spacing w:after="80" w:before="160"/>
        <w:jc w:val="center"/>
      </w:pPr>
      <w:r>
        <w:drawing>
          <wp:inline distT="0" distB="0" distL="0" distR="0">
            <wp:extent cx="457200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572000" cy="2238375"/>
                    </a:xfrm>
                    <a:prstGeom prst="rect">
                      <a:avLst/>
                    </a:prstGeom>
                  </pic:spPr>
                </pic:pic>
              </a:graphicData>
            </a:graphic>
          </wp:inline>
        </w:drawing>
      </w:r>
    </w:p>
    <w:p>
      <w:pPr>
        <w:keepLines/>
        <w:spacing w:after="220"/>
        <w:jc w:val="center"/>
      </w:pPr>
      <w:r>
        <w:rPr>
          <w:rFonts w:ascii="Calibri" w:cs="Calibri" w:eastAsia="Calibri" w:hAnsi="Calibri"/>
          <w:i/>
          <w:iCs/>
          <w:color w:val="3C4F5C"/>
          <w:sz w:val="18"/>
          <w:szCs w:val="18"/>
        </w:rPr>
        <w:t xml:space="preserve">Figure 5: Reliability swing under a 25% change in each parameter.</w:t>
      </w:r>
    </w:p>
    <w:p>
      <w:pPr>
        <w:spacing w:after="160" w:line="268"/>
        <w:jc w:val="left"/>
      </w:pPr>
      <w:r>
        <w:rPr>
          <w:rFonts w:ascii="Calibri" w:cs="Calibri" w:eastAsia="Calibri" w:hAnsi="Calibri"/>
          <w:color w:val="1B2A33"/>
          <w:sz w:val="21"/>
          <w:szCs w:val="21"/>
        </w:rPr>
        <w:t xml:space="preserve">Roof area, rainfall, and collection efficiency all produce the exact same swing because each one enters the collection equation as a plain multiplier. A 25% change in any of them changes total collection by 25%, and since the system is limited by what it collects rather than by where it stores that water, the change flows almost straight through to reliability. Demand moves the needle less, mostly because supply is already capped by rainfall in most months, so more demand mainly shows up as more shortage rather than less reliability. Tank capacity barely matters at all here, just 0.5 points, which is the clearest possible confirmation of the pattern from Section 5: in Karachi's climate, money is better spent improving what the roof collects than on a bigger tank.</w:t>
      </w:r>
    </w:p>
    <w:p>
      <w:pPr>
        <w:pStyle w:val="Heading1"/>
        <w:keepNext/>
        <w:keepLines/>
        <w:pBdr>
          <w:bottom w:val="single" w:color="0E5C57" w:sz="6" w:space="6"/>
        </w:pBdr>
        <w:spacing w:after="180" w:before="420"/>
      </w:pPr>
      <w:r>
        <w:rPr>
          <w:rFonts w:ascii="Calibri" w:cs="Calibri" w:eastAsia="Calibri" w:hAnsi="Calibri"/>
          <w:b/>
          <w:bCs/>
          <w:color w:val="1B7A72"/>
          <w:sz w:val="30"/>
          <w:szCs w:val="30"/>
        </w:rPr>
        <w:t xml:space="preserve"/>
      </w:r>
      <w:r>
        <w:rPr>
          <w:rFonts w:ascii="Calibri" w:cs="Calibri" w:eastAsia="Calibri" w:hAnsi="Calibri"/>
          <w:b/>
          <w:bCs/>
          <w:color w:val="0E5C57"/>
          <w:sz w:val="30"/>
          <w:szCs w:val="30"/>
        </w:rPr>
        <w:t xml:space="preserve">7. Economic Analysis</w:t>
      </w:r>
    </w:p>
    <w:p>
      <w:pPr>
        <w:spacing w:after="160" w:line="268"/>
        <w:jc w:val="left"/>
      </w:pPr>
      <w:r>
        <w:rPr>
          <w:rFonts w:ascii="Calibri" w:cs="Calibri" w:eastAsia="Calibri" w:hAnsi="Calibri"/>
          <w:color w:val="1B2A33"/>
          <w:sz w:val="21"/>
          <w:szCs w:val="21"/>
        </w:rPr>
        <w:t xml:space="preserve">All costs below are representative 2026 Pakistani market estimates, entered as editable inputs. Anyone using this for an actual purchase decision should swap them for real quotes first.</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6200"/>
        <w:gridCol w:w="2600"/>
      </w:tblGrid>
      <w:tr>
        <w:trPr>
          <w:cantSplit/>
          <w:tblHeader/>
        </w:trPr>
        <w:tc>
          <w:tcPr>
            <w:tcW w:type="dxa" w:w="6200"/>
            <w:tcBorders>
              <w:top w:val="single" w:color="C9D6D4" w:sz="4"/>
              <w:left w:val="single" w:color="C9D6D4" w:sz="4"/>
              <w:bottom w:val="single" w:color="C9D6D4" w:sz="4"/>
              <w:right w:val="single" w:color="C9D6D4" w:sz="4"/>
            </w:tcBorders>
            <w:shd w:fill="0E5C57" w:val="clear"/>
            <w:tcMar>
              <w:top w:type="dxa" w:w="90"/>
              <w:left w:type="dxa" w:w="130"/>
              <w:bottom w:type="dxa" w:w="90"/>
              <w:right w:type="dxa" w:w="130"/>
            </w:tcMar>
            <w:vAlign w:val="center"/>
          </w:tcPr>
          <w:p>
            <w:pPr>
              <w:jc w:val="left"/>
            </w:pPr>
            <w:r>
              <w:rPr>
                <w:rFonts w:ascii="Calibri" w:cs="Calibri" w:eastAsia="Calibri" w:hAnsi="Calibri"/>
                <w:b/>
                <w:bCs/>
                <w:color w:val="FFFFFF"/>
                <w:sz w:val="19"/>
                <w:szCs w:val="19"/>
              </w:rPr>
              <w:t xml:space="preserve">Item</w:t>
            </w:r>
          </w:p>
        </w:tc>
        <w:tc>
          <w:tcPr>
            <w:tcW w:type="dxa" w:w="2600"/>
            <w:tcBorders>
              <w:top w:val="single" w:color="C9D6D4" w:sz="4"/>
              <w:left w:val="single" w:color="C9D6D4" w:sz="4"/>
              <w:bottom w:val="single" w:color="C9D6D4" w:sz="4"/>
              <w:right w:val="single" w:color="C9D6D4" w:sz="4"/>
            </w:tcBorders>
            <w:shd w:fill="0E5C57" w:val="clear"/>
            <w:tcMar>
              <w:top w:type="dxa" w:w="90"/>
              <w:left w:type="dxa" w:w="130"/>
              <w:bottom w:type="dxa" w:w="90"/>
              <w:right w:type="dxa" w:w="130"/>
            </w:tcMar>
            <w:vAlign w:val="center"/>
          </w:tcPr>
          <w:p>
            <w:pPr>
              <w:jc w:val="left"/>
            </w:pPr>
            <w:r>
              <w:rPr>
                <w:rFonts w:ascii="Calibri" w:cs="Calibri" w:eastAsia="Calibri" w:hAnsi="Calibri"/>
                <w:b/>
                <w:bCs/>
                <w:color w:val="FFFFFF"/>
                <w:sz w:val="19"/>
                <w:szCs w:val="19"/>
              </w:rPr>
              <w:t xml:space="preserve">Value</w:t>
            </w:r>
          </w:p>
        </w:tc>
      </w:tr>
      <w:tr>
        <w:trPr>
          <w:cantSplit/>
        </w:trPr>
        <w:tc>
          <w:tcPr>
            <w:tcW w:type="dxa" w:w="6200"/>
            <w:tcBorders>
              <w:top w:val="single" w:color="C9D6D4" w:sz="4"/>
              <w:left w:val="single" w:color="C9D6D4" w:sz="4"/>
              <w:bottom w:val="single" w:color="C9D6D4" w:sz="4"/>
              <w:right w:val="single" w:color="C9D6D4" w:sz="4"/>
            </w:tcBorders>
            <w:tcMar>
              <w:top w:type="dxa" w:w="90"/>
              <w:left w:type="dxa" w:w="130"/>
              <w:bottom w:type="dxa" w:w="90"/>
              <w:right w:type="dxa" w:w="130"/>
            </w:tcMar>
            <w:vAlign w:val="center"/>
          </w:tcPr>
          <w:p>
            <w:pPr>
              <w:jc w:val="left"/>
            </w:pPr>
            <w:r>
              <w:rPr>
                <w:rFonts w:ascii="Calibri" w:cs="Calibri" w:eastAsia="Calibri" w:hAnsi="Calibri"/>
                <w:b w:val="false"/>
                <w:bCs w:val="false"/>
                <w:color w:val="1B2A33"/>
                <w:sz w:val="19"/>
                <w:szCs w:val="19"/>
              </w:rPr>
              <w:t xml:space="preserve">Tank capital cost</w:t>
            </w:r>
          </w:p>
        </w:tc>
        <w:tc>
          <w:tcPr>
            <w:tcW w:type="dxa" w:w="2600"/>
            <w:tcBorders>
              <w:top w:val="single" w:color="C9D6D4" w:sz="4"/>
              <w:left w:val="single" w:color="C9D6D4" w:sz="4"/>
              <w:bottom w:val="single" w:color="C9D6D4" w:sz="4"/>
              <w:right w:val="single" w:color="C9D6D4" w:sz="4"/>
            </w:tcBorders>
            <w:tcMar>
              <w:top w:type="dxa" w:w="90"/>
              <w:left w:type="dxa" w:w="130"/>
              <w:bottom w:type="dxa" w:w="90"/>
              <w:right w:type="dxa" w:w="130"/>
            </w:tcMar>
            <w:vAlign w:val="center"/>
          </w:tcPr>
          <w:p>
            <w:pPr>
              <w:jc w:val="left"/>
            </w:pPr>
            <w:r>
              <w:rPr>
                <w:rFonts w:ascii="Calibri" w:cs="Calibri" w:eastAsia="Calibri" w:hAnsi="Calibri"/>
                <w:b w:val="false"/>
                <w:bCs w:val="false"/>
                <w:color w:val="1B2A33"/>
                <w:sz w:val="19"/>
                <w:szCs w:val="19"/>
              </w:rPr>
              <w:t xml:space="preserve">PKR 85,000</w:t>
            </w:r>
          </w:p>
        </w:tc>
      </w:tr>
      <w:tr>
        <w:trPr>
          <w:cantSplit/>
        </w:trPr>
        <w:tc>
          <w:tcPr>
            <w:tcW w:type="dxa" w:w="6200"/>
            <w:tcBorders>
              <w:top w:val="single" w:color="C9D6D4" w:sz="4"/>
              <w:left w:val="single" w:color="C9D6D4" w:sz="4"/>
              <w:bottom w:val="single" w:color="C9D6D4" w:sz="4"/>
              <w:right w:val="single" w:color="C9D6D4" w:sz="4"/>
            </w:tcBorders>
            <w:tcMar>
              <w:top w:type="dxa" w:w="90"/>
              <w:left w:type="dxa" w:w="130"/>
              <w:bottom w:type="dxa" w:w="90"/>
              <w:right w:type="dxa" w:w="130"/>
            </w:tcMar>
            <w:vAlign w:val="center"/>
          </w:tcPr>
          <w:p>
            <w:pPr>
              <w:jc w:val="left"/>
            </w:pPr>
            <w:r>
              <w:rPr>
                <w:rFonts w:ascii="Calibri" w:cs="Calibri" w:eastAsia="Calibri" w:hAnsi="Calibri"/>
                <w:b w:val="false"/>
                <w:bCs w:val="false"/>
                <w:color w:val="1B2A33"/>
                <w:sz w:val="19"/>
                <w:szCs w:val="19"/>
              </w:rPr>
              <w:t xml:space="preserve">Installation (gutters, downpipes, filter, plumbing, labour)</w:t>
            </w:r>
          </w:p>
        </w:tc>
        <w:tc>
          <w:tcPr>
            <w:tcW w:type="dxa" w:w="2600"/>
            <w:tcBorders>
              <w:top w:val="single" w:color="C9D6D4" w:sz="4"/>
              <w:left w:val="single" w:color="C9D6D4" w:sz="4"/>
              <w:bottom w:val="single" w:color="C9D6D4" w:sz="4"/>
              <w:right w:val="single" w:color="C9D6D4" w:sz="4"/>
            </w:tcBorders>
            <w:tcMar>
              <w:top w:type="dxa" w:w="90"/>
              <w:left w:type="dxa" w:w="130"/>
              <w:bottom w:type="dxa" w:w="90"/>
              <w:right w:type="dxa" w:w="130"/>
            </w:tcMar>
            <w:vAlign w:val="center"/>
          </w:tcPr>
          <w:p>
            <w:pPr>
              <w:jc w:val="left"/>
            </w:pPr>
            <w:r>
              <w:rPr>
                <w:rFonts w:ascii="Calibri" w:cs="Calibri" w:eastAsia="Calibri" w:hAnsi="Calibri"/>
                <w:b w:val="false"/>
                <w:bCs w:val="false"/>
                <w:color w:val="1B2A33"/>
                <w:sz w:val="19"/>
                <w:szCs w:val="19"/>
              </w:rPr>
              <w:t xml:space="preserve">PKR 45,000</w:t>
            </w:r>
          </w:p>
        </w:tc>
      </w:tr>
      <w:tr>
        <w:trPr>
          <w:cantSplit/>
        </w:trPr>
        <w:tc>
          <w:tcPr>
            <w:tcW w:type="dxa" w:w="6200"/>
            <w:tcBorders>
              <w:top w:val="single" w:color="C9D6D4" w:sz="4"/>
              <w:left w:val="single" w:color="C9D6D4" w:sz="4"/>
              <w:bottom w:val="single" w:color="C9D6D4" w:sz="4"/>
              <w:right w:val="single" w:color="C9D6D4" w:sz="4"/>
            </w:tcBorders>
            <w:tcMar>
              <w:top w:type="dxa" w:w="90"/>
              <w:left w:type="dxa" w:w="130"/>
              <w:bottom w:type="dxa" w:w="90"/>
              <w:right w:type="dxa" w:w="130"/>
            </w:tcMar>
            <w:vAlign w:val="center"/>
          </w:tcPr>
          <w:p>
            <w:pPr>
              <w:jc w:val="left"/>
            </w:pPr>
            <w:r>
              <w:rPr>
                <w:rFonts w:ascii="Calibri" w:cs="Calibri" w:eastAsia="Calibri" w:hAnsi="Calibri"/>
                <w:b w:val="false"/>
                <w:bCs w:val="false"/>
                <w:color w:val="1B2A33"/>
                <w:sz w:val="19"/>
                <w:szCs w:val="19"/>
              </w:rPr>
              <w:t xml:space="preserve">Total capital cost (Year 0)</w:t>
            </w:r>
          </w:p>
        </w:tc>
        <w:tc>
          <w:tcPr>
            <w:tcW w:type="dxa" w:w="2600"/>
            <w:tcBorders>
              <w:top w:val="single" w:color="C9D6D4" w:sz="4"/>
              <w:left w:val="single" w:color="C9D6D4" w:sz="4"/>
              <w:bottom w:val="single" w:color="C9D6D4" w:sz="4"/>
              <w:right w:val="single" w:color="C9D6D4" w:sz="4"/>
            </w:tcBorders>
            <w:tcMar>
              <w:top w:type="dxa" w:w="90"/>
              <w:left w:type="dxa" w:w="130"/>
              <w:bottom w:type="dxa" w:w="90"/>
              <w:right w:type="dxa" w:w="130"/>
            </w:tcMar>
            <w:vAlign w:val="center"/>
          </w:tcPr>
          <w:p>
            <w:pPr>
              <w:jc w:val="left"/>
            </w:pPr>
            <w:r>
              <w:rPr>
                <w:rFonts w:ascii="Calibri" w:cs="Calibri" w:eastAsia="Calibri" w:hAnsi="Calibri"/>
                <w:b w:val="false"/>
                <w:bCs w:val="false"/>
                <w:color w:val="1B2A33"/>
                <w:sz w:val="19"/>
                <w:szCs w:val="19"/>
              </w:rPr>
              <w:t xml:space="preserve">PKR 130,000</w:t>
            </w:r>
          </w:p>
        </w:tc>
      </w:tr>
      <w:tr>
        <w:trPr>
          <w:cantSplit/>
        </w:trPr>
        <w:tc>
          <w:tcPr>
            <w:tcW w:type="dxa" w:w="6200"/>
            <w:tcBorders>
              <w:top w:val="single" w:color="C9D6D4" w:sz="4"/>
              <w:left w:val="single" w:color="C9D6D4" w:sz="4"/>
              <w:bottom w:val="single" w:color="C9D6D4" w:sz="4"/>
              <w:right w:val="single" w:color="C9D6D4" w:sz="4"/>
            </w:tcBorders>
            <w:tcMar>
              <w:top w:type="dxa" w:w="90"/>
              <w:left w:type="dxa" w:w="130"/>
              <w:bottom w:type="dxa" w:w="90"/>
              <w:right w:type="dxa" w:w="130"/>
            </w:tcMar>
            <w:vAlign w:val="center"/>
          </w:tcPr>
          <w:p>
            <w:pPr>
              <w:jc w:val="left"/>
            </w:pPr>
            <w:r>
              <w:rPr>
                <w:rFonts w:ascii="Calibri" w:cs="Calibri" w:eastAsia="Calibri" w:hAnsi="Calibri"/>
                <w:b w:val="false"/>
                <w:bCs w:val="false"/>
                <w:color w:val="1B2A33"/>
                <w:sz w:val="19"/>
                <w:szCs w:val="19"/>
              </w:rPr>
              <w:t xml:space="preserve">Annual maintenance</w:t>
            </w:r>
          </w:p>
        </w:tc>
        <w:tc>
          <w:tcPr>
            <w:tcW w:type="dxa" w:w="2600"/>
            <w:tcBorders>
              <w:top w:val="single" w:color="C9D6D4" w:sz="4"/>
              <w:left w:val="single" w:color="C9D6D4" w:sz="4"/>
              <w:bottom w:val="single" w:color="C9D6D4" w:sz="4"/>
              <w:right w:val="single" w:color="C9D6D4" w:sz="4"/>
            </w:tcBorders>
            <w:tcMar>
              <w:top w:type="dxa" w:w="90"/>
              <w:left w:type="dxa" w:w="130"/>
              <w:bottom w:type="dxa" w:w="90"/>
              <w:right w:type="dxa" w:w="130"/>
            </w:tcMar>
            <w:vAlign w:val="center"/>
          </w:tcPr>
          <w:p>
            <w:pPr>
              <w:jc w:val="left"/>
            </w:pPr>
            <w:r>
              <w:rPr>
                <w:rFonts w:ascii="Calibri" w:cs="Calibri" w:eastAsia="Calibri" w:hAnsi="Calibri"/>
                <w:b w:val="false"/>
                <w:bCs w:val="false"/>
                <w:color w:val="1B2A33"/>
                <w:sz w:val="19"/>
                <w:szCs w:val="19"/>
              </w:rPr>
              <w:t xml:space="preserve">PKR 6,000 / yr</w:t>
            </w:r>
          </w:p>
        </w:tc>
      </w:tr>
      <w:tr>
        <w:trPr>
          <w:cantSplit/>
        </w:trPr>
        <w:tc>
          <w:tcPr>
            <w:tcW w:type="dxa" w:w="6200"/>
            <w:tcBorders>
              <w:top w:val="single" w:color="C9D6D4" w:sz="4"/>
              <w:left w:val="single" w:color="C9D6D4" w:sz="4"/>
              <w:bottom w:val="single" w:color="C9D6D4" w:sz="4"/>
              <w:right w:val="single" w:color="C9D6D4" w:sz="4"/>
            </w:tcBorders>
            <w:tcMar>
              <w:top w:type="dxa" w:w="90"/>
              <w:left w:type="dxa" w:w="130"/>
              <w:bottom w:type="dxa" w:w="90"/>
              <w:right w:type="dxa" w:w="130"/>
            </w:tcMar>
            <w:vAlign w:val="center"/>
          </w:tcPr>
          <w:p>
            <w:pPr>
              <w:jc w:val="left"/>
            </w:pPr>
            <w:r>
              <w:rPr>
                <w:rFonts w:ascii="Calibri" w:cs="Calibri" w:eastAsia="Calibri" w:hAnsi="Calibri"/>
                <w:b w:val="false"/>
                <w:bCs w:val="false"/>
                <w:color w:val="1B2A33"/>
                <w:sz w:val="19"/>
                <w:szCs w:val="19"/>
              </w:rPr>
              <w:t xml:space="preserve">Annual pump energy (0.37 kW, 0.5 hr/day)</w:t>
            </w:r>
          </w:p>
        </w:tc>
        <w:tc>
          <w:tcPr>
            <w:tcW w:type="dxa" w:w="2600"/>
            <w:tcBorders>
              <w:top w:val="single" w:color="C9D6D4" w:sz="4"/>
              <w:left w:val="single" w:color="C9D6D4" w:sz="4"/>
              <w:bottom w:val="single" w:color="C9D6D4" w:sz="4"/>
              <w:right w:val="single" w:color="C9D6D4" w:sz="4"/>
            </w:tcBorders>
            <w:tcMar>
              <w:top w:type="dxa" w:w="90"/>
              <w:left w:type="dxa" w:w="130"/>
              <w:bottom w:type="dxa" w:w="90"/>
              <w:right w:type="dxa" w:w="130"/>
            </w:tcMar>
            <w:vAlign w:val="center"/>
          </w:tcPr>
          <w:p>
            <w:pPr>
              <w:jc w:val="left"/>
            </w:pPr>
            <w:r>
              <w:rPr>
                <w:rFonts w:ascii="Calibri" w:cs="Calibri" w:eastAsia="Calibri" w:hAnsi="Calibri"/>
                <w:b w:val="false"/>
                <w:bCs w:val="false"/>
                <w:color w:val="1B2A33"/>
                <w:sz w:val="19"/>
                <w:szCs w:val="19"/>
              </w:rPr>
              <w:t xml:space="preserve">PKR 3,798 / yr</w:t>
            </w:r>
          </w:p>
        </w:tc>
      </w:tr>
      <w:tr>
        <w:trPr>
          <w:cantSplit/>
        </w:trPr>
        <w:tc>
          <w:tcPr>
            <w:tcW w:type="dxa" w:w="6200"/>
            <w:tcBorders>
              <w:top w:val="single" w:color="C9D6D4" w:sz="4"/>
              <w:left w:val="single" w:color="C9D6D4" w:sz="4"/>
              <w:bottom w:val="single" w:color="C9D6D4" w:sz="4"/>
              <w:right w:val="single" w:color="C9D6D4" w:sz="4"/>
            </w:tcBorders>
            <w:tcMar>
              <w:top w:type="dxa" w:w="90"/>
              <w:left w:type="dxa" w:w="130"/>
              <w:bottom w:type="dxa" w:w="90"/>
              <w:right w:type="dxa" w:w="130"/>
            </w:tcMar>
            <w:vAlign w:val="center"/>
          </w:tcPr>
          <w:p>
            <w:pPr>
              <w:jc w:val="left"/>
            </w:pPr>
            <w:r>
              <w:rPr>
                <w:rFonts w:ascii="Calibri" w:cs="Calibri" w:eastAsia="Calibri" w:hAnsi="Calibri"/>
                <w:b w:val="false"/>
                <w:bCs w:val="false"/>
                <w:color w:val="1B2A33"/>
                <w:sz w:val="19"/>
                <w:szCs w:val="19"/>
              </w:rPr>
              <w:t xml:space="preserve">Total annual operating cost</w:t>
            </w:r>
          </w:p>
        </w:tc>
        <w:tc>
          <w:tcPr>
            <w:tcW w:type="dxa" w:w="2600"/>
            <w:tcBorders>
              <w:top w:val="single" w:color="C9D6D4" w:sz="4"/>
              <w:left w:val="single" w:color="C9D6D4" w:sz="4"/>
              <w:bottom w:val="single" w:color="C9D6D4" w:sz="4"/>
              <w:right w:val="single" w:color="C9D6D4" w:sz="4"/>
            </w:tcBorders>
            <w:tcMar>
              <w:top w:type="dxa" w:w="90"/>
              <w:left w:type="dxa" w:w="130"/>
              <w:bottom w:type="dxa" w:w="90"/>
              <w:right w:type="dxa" w:w="130"/>
            </w:tcMar>
            <w:vAlign w:val="center"/>
          </w:tcPr>
          <w:p>
            <w:pPr>
              <w:jc w:val="left"/>
            </w:pPr>
            <w:r>
              <w:rPr>
                <w:rFonts w:ascii="Calibri" w:cs="Calibri" w:eastAsia="Calibri" w:hAnsi="Calibri"/>
                <w:b w:val="false"/>
                <w:bCs w:val="false"/>
                <w:color w:val="1B2A33"/>
                <w:sz w:val="19"/>
                <w:szCs w:val="19"/>
              </w:rPr>
              <w:t xml:space="preserve">PKR 9,798 / yr</w:t>
            </w:r>
          </w:p>
        </w:tc>
      </w:tr>
    </w:tbl>
    <w:p>
      <w:pPr>
        <w:spacing w:after="160" w:line="268"/>
        <w:jc w:val="left"/>
      </w:pPr>
      <w:r>
        <w:rPr>
          <w:rFonts w:ascii="Calibri" w:cs="Calibri" w:eastAsia="Calibri" w:hAnsi="Calibri"/>
          <w:color w:val="1B2A33"/>
          <w:sz w:val="21"/>
          <w:szCs w:val="21"/>
        </w:rPr>
        <w:t xml:space="preserve">Against a water tariff of PKR 1.20 per litre, the system saves about PKR 28,256 a year in gross water bill offsets, or PKR 18,457 net of operating costs. That puts simple payback at 7.0 years.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E5C57" w:sz="26"/>
              <w:bottom w:val="none" w:color="FFFFFF" w:sz="0"/>
              <w:right w:val="none" w:color="FFFFFF" w:sz="0"/>
            </w:tcBorders>
            <w:shd w:fill="EAF3F2" w:val="clear"/>
            <w:tcMar>
              <w:top w:type="dxa" w:w="160"/>
              <w:left w:type="dxa" w:w="220"/>
              <w:bottom w:type="dxa" w:w="160"/>
              <w:right w:type="dxa" w:w="220"/>
            </w:tcMar>
          </w:tcPr>
          <w:p>
            <w:pPr>
              <w:spacing w:after="90"/>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 cy="323850"/>
                          </a:xfrm>
                          <a:prstGeom prst="rect">
                            <a:avLst/>
                          </a:prstGeom>
                        </pic:spPr>
                      </pic:pic>
                    </a:graphicData>
                  </a:graphic>
                </wp:inline>
              </w:drawing>
            </w:r>
            <w:r>
              <w:rPr>
                <w:rFonts w:ascii="Calibri" w:cs="Calibri" w:eastAsia="Calibri" w:hAnsi="Calibri"/>
                <w:b/>
                <w:bCs/>
                <w:color w:val="0E5C57"/>
                <w:sz w:val="20"/>
                <w:szCs w:val="20"/>
              </w:rPr>
              <w:t xml:space="preserve">  ECONOMICS AT A GLANCE</w:t>
            </w:r>
          </w:p>
          <w:p>
            <w:pPr>
              <w:spacing w:after="80"/>
            </w:pPr>
            <w:r>
              <w:rPr>
                <w:rFonts w:ascii="Calibri" w:cs="Calibri" w:eastAsia="Calibri" w:hAnsi="Calibri"/>
                <w:color w:val="1B2A33"/>
                <w:sz w:val="20"/>
                <w:szCs w:val="20"/>
              </w:rPr>
              <w:t xml:space="preserve">Simple payback: 7.0 years</w:t>
            </w:r>
          </w:p>
          <w:p>
            <w:pPr>
              <w:spacing w:after="80"/>
            </w:pPr>
            <w:r>
              <w:rPr>
                <w:rFonts w:ascii="Calibri" w:cs="Calibri" w:eastAsia="Calibri" w:hAnsi="Calibri"/>
                <w:color w:val="1B2A33"/>
                <w:sz w:val="20"/>
                <w:szCs w:val="20"/>
              </w:rPr>
              <w:t xml:space="preserve">Net Present Value at 12% discount, 20-year horizon: approximately PKR 7,866</w:t>
            </w:r>
          </w:p>
          <w:p>
            <w:pPr>
              <w:spacing w:after="0"/>
            </w:pPr>
            <w:r>
              <w:rPr>
                <w:rFonts w:ascii="Calibri" w:cs="Calibri" w:eastAsia="Calibri" w:hAnsi="Calibri"/>
                <w:color w:val="1B2A33"/>
                <w:sz w:val="20"/>
                <w:szCs w:val="20"/>
              </w:rPr>
              <w:t xml:space="preserve">Internal Rate of Return: approximately 13.0%</w:t>
            </w:r>
          </w:p>
        </w:tc>
      </w:tr>
    </w:tbl>
    <w:p>
      <w:pPr>
        <w:spacing w:after="160" w:line="268"/>
        <w:jc w:val="left"/>
      </w:pPr>
      <w:r>
        <w:rPr>
          <w:rFonts w:ascii="Calibri" w:cs="Calibri" w:eastAsia="Calibri" w:hAnsi="Calibri"/>
          <w:color w:val="1B2A33"/>
          <w:sz w:val="21"/>
          <w:szCs w:val="21"/>
        </w:rPr>
        <w:t xml:space="preserve">Discounting the 20-year stream of net savings against the PKR 130,000 upfront cost gives an IRR just above the 12% discount rate, so the project clears the hurdle, but only by a narrow margin. That's consistent with everything else in this report: the savings side of the equation scales with how much rainfall there is to collect, and Karachi simply doesn't offer much of it. Run the same system through the Islamabad or Lahore rainfall station and both payback and IRR improve, because there's more collectible water behind the same fixed capital cost.</w:t>
      </w:r>
    </w:p>
    <w:p>
      <w:pPr>
        <w:pStyle w:val="Heading1"/>
        <w:keepNext/>
        <w:keepLines/>
        <w:pBdr>
          <w:bottom w:val="single" w:color="0E5C57" w:sz="6" w:space="6"/>
        </w:pBdr>
        <w:spacing w:after="180" w:before="420"/>
      </w:pPr>
      <w:r>
        <w:rPr>
          <w:rFonts w:ascii="Calibri" w:cs="Calibri" w:eastAsia="Calibri" w:hAnsi="Calibri"/>
          <w:b/>
          <w:bCs/>
          <w:color w:val="1B7A72"/>
          <w:sz w:val="30"/>
          <w:szCs w:val="30"/>
        </w:rPr>
        <w:t xml:space="preserve"/>
      </w:r>
      <w:r>
        <w:rPr>
          <w:rFonts w:ascii="Calibri" w:cs="Calibri" w:eastAsia="Calibri" w:hAnsi="Calibri"/>
          <w:b/>
          <w:bCs/>
          <w:color w:val="0E5C57"/>
          <w:sz w:val="30"/>
          <w:szCs w:val="30"/>
        </w:rPr>
        <w:t xml:space="preserve">8. Limitations and Where to Take This Next</w:t>
      </w:r>
    </w:p>
    <w:p>
      <w:pPr>
        <w:spacing w:after="160" w:line="268"/>
        <w:jc w:val="left"/>
      </w:pPr>
      <w:r>
        <w:rPr>
          <w:rFonts w:ascii="Calibri" w:cs="Calibri" w:eastAsia="Calibri" w:hAnsi="Calibri"/>
          <w:color w:val="1B2A33"/>
          <w:sz w:val="21"/>
          <w:szCs w:val="21"/>
        </w:rPr>
        <w:t xml:space="preserve">No model this size gets everything right, and it's worth being upfront about where the simplifications live and what would tighten them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cantSplit/>
          <w:tblHeader/>
        </w:trPr>
        <w:tc>
          <w:tcPr>
            <w:tcW w:type="dxa" w:w="4400"/>
            <w:tcBorders>
              <w:top w:val="single" w:color="C9D6D4" w:sz="4"/>
              <w:left w:val="single" w:color="C9D6D4" w:sz="4"/>
              <w:bottom w:val="single" w:color="C9D6D4" w:sz="4"/>
              <w:right w:val="single" w:color="C9D6D4" w:sz="4"/>
            </w:tcBorders>
            <w:shd w:fill="0E5C57" w:val="clear"/>
            <w:tcMar>
              <w:top w:type="dxa" w:w="90"/>
              <w:left w:type="dxa" w:w="130"/>
              <w:bottom w:type="dxa" w:w="90"/>
              <w:right w:type="dxa" w:w="130"/>
            </w:tcMar>
            <w:vAlign w:val="center"/>
          </w:tcPr>
          <w:p>
            <w:pPr>
              <w:jc w:val="left"/>
            </w:pPr>
            <w:r>
              <w:rPr>
                <w:rFonts w:ascii="Calibri" w:cs="Calibri" w:eastAsia="Calibri" w:hAnsi="Calibri"/>
                <w:b/>
                <w:bCs/>
                <w:color w:val="FFFFFF"/>
                <w:sz w:val="19"/>
                <w:szCs w:val="19"/>
              </w:rPr>
              <w:t xml:space="preserve">Limitation</w:t>
            </w:r>
          </w:p>
        </w:tc>
        <w:tc>
          <w:tcPr>
            <w:tcW w:type="dxa" w:w="4960"/>
            <w:tcBorders>
              <w:top w:val="single" w:color="C9D6D4" w:sz="4"/>
              <w:left w:val="single" w:color="C9D6D4" w:sz="4"/>
              <w:bottom w:val="single" w:color="C9D6D4" w:sz="4"/>
              <w:right w:val="single" w:color="C9D6D4" w:sz="4"/>
            </w:tcBorders>
            <w:shd w:fill="0E5C57" w:val="clear"/>
            <w:tcMar>
              <w:top w:type="dxa" w:w="90"/>
              <w:left w:type="dxa" w:w="130"/>
              <w:bottom w:type="dxa" w:w="90"/>
              <w:right w:type="dxa" w:w="130"/>
            </w:tcMar>
            <w:vAlign w:val="center"/>
          </w:tcPr>
          <w:p>
            <w:pPr>
              <w:jc w:val="left"/>
            </w:pPr>
            <w:r>
              <w:rPr>
                <w:rFonts w:ascii="Calibri" w:cs="Calibri" w:eastAsia="Calibri" w:hAnsi="Calibri"/>
                <w:b/>
                <w:bCs/>
                <w:color w:val="FFFFFF"/>
                <w:sz w:val="19"/>
                <w:szCs w:val="19"/>
              </w:rPr>
              <w:t xml:space="preserve">Possible improvement</w:t>
            </w:r>
          </w:p>
        </w:tc>
      </w:tr>
      <w:tr>
        <w:trPr>
          <w:cantSplit/>
        </w:trPr>
        <w:tc>
          <w:tcPr>
            <w:tcW w:type="dxa" w:w="4400"/>
            <w:tcBorders>
              <w:top w:val="single" w:color="C9D6D4" w:sz="4"/>
              <w:left w:val="single" w:color="C9D6D4" w:sz="4"/>
              <w:bottom w:val="single" w:color="C9D6D4" w:sz="4"/>
              <w:right w:val="single" w:color="C9D6D4" w:sz="4"/>
            </w:tcBorders>
            <w:tcMar>
              <w:top w:type="dxa" w:w="90"/>
              <w:left w:type="dxa" w:w="130"/>
              <w:bottom w:type="dxa" w:w="90"/>
              <w:right w:type="dxa" w:w="130"/>
            </w:tcMar>
            <w:vAlign w:val="center"/>
          </w:tcPr>
          <w:p>
            <w:pPr>
              <w:jc w:val="left"/>
            </w:pPr>
            <w:r>
              <w:rPr>
                <w:rFonts w:ascii="Calibri" w:cs="Calibri" w:eastAsia="Calibri" w:hAnsi="Calibri"/>
                <w:b w:val="false"/>
                <w:bCs w:val="false"/>
                <w:color w:val="1B2A33"/>
                <w:sz w:val="19"/>
                <w:szCs w:val="19"/>
              </w:rPr>
              <w:t xml:space="preserve">Rainfall is a smoothed monthly average, not an observed daily record.</w:t>
            </w:r>
          </w:p>
        </w:tc>
        <w:tc>
          <w:tcPr>
            <w:tcW w:type="dxa" w:w="4960"/>
            <w:tcBorders>
              <w:top w:val="single" w:color="C9D6D4" w:sz="4"/>
              <w:left w:val="single" w:color="C9D6D4" w:sz="4"/>
              <w:bottom w:val="single" w:color="C9D6D4" w:sz="4"/>
              <w:right w:val="single" w:color="C9D6D4" w:sz="4"/>
            </w:tcBorders>
            <w:tcMar>
              <w:top w:type="dxa" w:w="90"/>
              <w:left w:type="dxa" w:w="130"/>
              <w:bottom w:type="dxa" w:w="90"/>
              <w:right w:type="dxa" w:w="130"/>
            </w:tcMar>
            <w:vAlign w:val="center"/>
          </w:tcPr>
          <w:p>
            <w:pPr>
              <w:jc w:val="left"/>
            </w:pPr>
            <w:r>
              <w:rPr>
                <w:rFonts w:ascii="Calibri" w:cs="Calibri" w:eastAsia="Calibri" w:hAnsi="Calibri"/>
                <w:b w:val="false"/>
                <w:bCs w:val="false"/>
                <w:color w:val="1B2A33"/>
                <w:sz w:val="19"/>
                <w:szCs w:val="19"/>
              </w:rPr>
              <w:t xml:space="preserve">Swap in real PMD daily data where available, and test multiple years to see actual variability, not just a long-run average.</w:t>
            </w:r>
          </w:p>
        </w:tc>
      </w:tr>
      <w:tr>
        <w:trPr>
          <w:cantSplit/>
        </w:trPr>
        <w:tc>
          <w:tcPr>
            <w:tcW w:type="dxa" w:w="4400"/>
            <w:tcBorders>
              <w:top w:val="single" w:color="C9D6D4" w:sz="4"/>
              <w:left w:val="single" w:color="C9D6D4" w:sz="4"/>
              <w:bottom w:val="single" w:color="C9D6D4" w:sz="4"/>
              <w:right w:val="single" w:color="C9D6D4" w:sz="4"/>
            </w:tcBorders>
            <w:tcMar>
              <w:top w:type="dxa" w:w="90"/>
              <w:left w:type="dxa" w:w="130"/>
              <w:bottom w:type="dxa" w:w="90"/>
              <w:right w:type="dxa" w:w="130"/>
            </w:tcMar>
            <w:vAlign w:val="center"/>
          </w:tcPr>
          <w:p>
            <w:pPr>
              <w:jc w:val="left"/>
            </w:pPr>
            <w:r>
              <w:rPr>
                <w:rFonts w:ascii="Calibri" w:cs="Calibri" w:eastAsia="Calibri" w:hAnsi="Calibri"/>
                <w:b w:val="false"/>
                <w:bCs w:val="false"/>
                <w:color w:val="1B2A33"/>
                <w:sz w:val="19"/>
                <w:szCs w:val="19"/>
              </w:rPr>
              <w:t xml:space="preserve">Optimization and sensitivity run on a monthly approximation for speed.</w:t>
            </w:r>
          </w:p>
        </w:tc>
        <w:tc>
          <w:tcPr>
            <w:tcW w:type="dxa" w:w="4960"/>
            <w:tcBorders>
              <w:top w:val="single" w:color="C9D6D4" w:sz="4"/>
              <w:left w:val="single" w:color="C9D6D4" w:sz="4"/>
              <w:bottom w:val="single" w:color="C9D6D4" w:sz="4"/>
              <w:right w:val="single" w:color="C9D6D4" w:sz="4"/>
            </w:tcBorders>
            <w:tcMar>
              <w:top w:type="dxa" w:w="90"/>
              <w:left w:type="dxa" w:w="130"/>
              <w:bottom w:type="dxa" w:w="90"/>
              <w:right w:type="dxa" w:w="130"/>
            </w:tcMar>
            <w:vAlign w:val="center"/>
          </w:tcPr>
          <w:p>
            <w:pPr>
              <w:jc w:val="left"/>
            </w:pPr>
            <w:r>
              <w:rPr>
                <w:rFonts w:ascii="Calibri" w:cs="Calibri" w:eastAsia="Calibri" w:hAnsi="Calibri"/>
                <w:b w:val="false"/>
                <w:bCs w:val="false"/>
                <w:color w:val="1B2A33"/>
                <w:sz w:val="19"/>
                <w:szCs w:val="19"/>
              </w:rPr>
              <w:t xml:space="preserve">Re-run Solver directly against the full daily model if computation time allows, as a final check.</w:t>
            </w:r>
          </w:p>
        </w:tc>
      </w:tr>
      <w:tr>
        <w:trPr>
          <w:cantSplit/>
        </w:trPr>
        <w:tc>
          <w:tcPr>
            <w:tcW w:type="dxa" w:w="4400"/>
            <w:tcBorders>
              <w:top w:val="single" w:color="C9D6D4" w:sz="4"/>
              <w:left w:val="single" w:color="C9D6D4" w:sz="4"/>
              <w:bottom w:val="single" w:color="C9D6D4" w:sz="4"/>
              <w:right w:val="single" w:color="C9D6D4" w:sz="4"/>
            </w:tcBorders>
            <w:tcMar>
              <w:top w:type="dxa" w:w="90"/>
              <w:left w:type="dxa" w:w="130"/>
              <w:bottom w:type="dxa" w:w="90"/>
              <w:right w:type="dxa" w:w="130"/>
            </w:tcMar>
            <w:vAlign w:val="center"/>
          </w:tcPr>
          <w:p>
            <w:pPr>
              <w:jc w:val="left"/>
            </w:pPr>
            <w:r>
              <w:rPr>
                <w:rFonts w:ascii="Calibri" w:cs="Calibri" w:eastAsia="Calibri" w:hAnsi="Calibri"/>
                <w:b w:val="false"/>
                <w:bCs w:val="false"/>
                <w:color w:val="1B2A33"/>
                <w:sz w:val="19"/>
                <w:szCs w:val="19"/>
              </w:rPr>
              <w:t xml:space="preserve">No evaporation, leakage, or partial first-flush losses beyond the fixed diversion.</w:t>
            </w:r>
          </w:p>
        </w:tc>
        <w:tc>
          <w:tcPr>
            <w:tcW w:type="dxa" w:w="4960"/>
            <w:tcBorders>
              <w:top w:val="single" w:color="C9D6D4" w:sz="4"/>
              <w:left w:val="single" w:color="C9D6D4" w:sz="4"/>
              <w:bottom w:val="single" w:color="C9D6D4" w:sz="4"/>
              <w:right w:val="single" w:color="C9D6D4" w:sz="4"/>
            </w:tcBorders>
            <w:tcMar>
              <w:top w:type="dxa" w:w="90"/>
              <w:left w:type="dxa" w:w="130"/>
              <w:bottom w:type="dxa" w:w="90"/>
              <w:right w:type="dxa" w:w="130"/>
            </w:tcMar>
            <w:vAlign w:val="center"/>
          </w:tcPr>
          <w:p>
            <w:pPr>
              <w:jc w:val="left"/>
            </w:pPr>
            <w:r>
              <w:rPr>
                <w:rFonts w:ascii="Calibri" w:cs="Calibri" w:eastAsia="Calibri" w:hAnsi="Calibri"/>
                <w:b w:val="false"/>
                <w:bCs w:val="false"/>
                <w:color w:val="1B2A33"/>
                <w:sz w:val="19"/>
                <w:szCs w:val="19"/>
              </w:rPr>
              <w:t xml:space="preserve">Add explicit loss terms if more precision is needed for a construction-ready design.</w:t>
            </w:r>
          </w:p>
        </w:tc>
      </w:tr>
      <w:tr>
        <w:trPr>
          <w:cantSplit/>
        </w:trPr>
        <w:tc>
          <w:tcPr>
            <w:tcW w:type="dxa" w:w="4400"/>
            <w:tcBorders>
              <w:top w:val="single" w:color="C9D6D4" w:sz="4"/>
              <w:left w:val="single" w:color="C9D6D4" w:sz="4"/>
              <w:bottom w:val="single" w:color="C9D6D4" w:sz="4"/>
              <w:right w:val="single" w:color="C9D6D4" w:sz="4"/>
            </w:tcBorders>
            <w:tcMar>
              <w:top w:type="dxa" w:w="90"/>
              <w:left w:type="dxa" w:w="130"/>
              <w:bottom w:type="dxa" w:w="90"/>
              <w:right w:type="dxa" w:w="130"/>
            </w:tcMar>
            <w:vAlign w:val="center"/>
          </w:tcPr>
          <w:p>
            <w:pPr>
              <w:jc w:val="left"/>
            </w:pPr>
            <w:r>
              <w:rPr>
                <w:rFonts w:ascii="Calibri" w:cs="Calibri" w:eastAsia="Calibri" w:hAnsi="Calibri"/>
                <w:b w:val="false"/>
                <w:bCs w:val="false"/>
                <w:color w:val="1B2A33"/>
                <w:sz w:val="19"/>
                <w:szCs w:val="19"/>
              </w:rPr>
              <w:t xml:space="preserve">Demand is held constant through the year.</w:t>
            </w:r>
          </w:p>
        </w:tc>
        <w:tc>
          <w:tcPr>
            <w:tcW w:type="dxa" w:w="4960"/>
            <w:tcBorders>
              <w:top w:val="single" w:color="C9D6D4" w:sz="4"/>
              <w:left w:val="single" w:color="C9D6D4" w:sz="4"/>
              <w:bottom w:val="single" w:color="C9D6D4" w:sz="4"/>
              <w:right w:val="single" w:color="C9D6D4" w:sz="4"/>
            </w:tcBorders>
            <w:tcMar>
              <w:top w:type="dxa" w:w="90"/>
              <w:left w:type="dxa" w:w="130"/>
              <w:bottom w:type="dxa" w:w="90"/>
              <w:right w:type="dxa" w:w="130"/>
            </w:tcMar>
            <w:vAlign w:val="center"/>
          </w:tcPr>
          <w:p>
            <w:pPr>
              <w:jc w:val="left"/>
            </w:pPr>
            <w:r>
              <w:rPr>
                <w:rFonts w:ascii="Calibri" w:cs="Calibri" w:eastAsia="Calibri" w:hAnsi="Calibri"/>
                <w:b w:val="false"/>
                <w:bCs w:val="false"/>
                <w:color w:val="1B2A33"/>
                <w:sz w:val="19"/>
                <w:szCs w:val="19"/>
              </w:rPr>
              <w:t xml:space="preserve">Model seasonal demand, more irrigation in dry months for example, for a tighter worst-case estimate.</w:t>
            </w:r>
          </w:p>
        </w:tc>
      </w:tr>
      <w:tr>
        <w:trPr>
          <w:cantSplit/>
        </w:trPr>
        <w:tc>
          <w:tcPr>
            <w:tcW w:type="dxa" w:w="4400"/>
            <w:tcBorders>
              <w:top w:val="single" w:color="C9D6D4" w:sz="4"/>
              <w:left w:val="single" w:color="C9D6D4" w:sz="4"/>
              <w:bottom w:val="single" w:color="C9D6D4" w:sz="4"/>
              <w:right w:val="single" w:color="C9D6D4" w:sz="4"/>
            </w:tcBorders>
            <w:tcMar>
              <w:top w:type="dxa" w:w="90"/>
              <w:left w:type="dxa" w:w="130"/>
              <w:bottom w:type="dxa" w:w="90"/>
              <w:right w:type="dxa" w:w="130"/>
            </w:tcMar>
            <w:vAlign w:val="center"/>
          </w:tcPr>
          <w:p>
            <w:pPr>
              <w:jc w:val="left"/>
            </w:pPr>
            <w:r>
              <w:rPr>
                <w:rFonts w:ascii="Calibri" w:cs="Calibri" w:eastAsia="Calibri" w:hAnsi="Calibri"/>
                <w:b w:val="false"/>
                <w:bCs w:val="false"/>
                <w:color w:val="1B2A33"/>
                <w:sz w:val="19"/>
                <w:szCs w:val="19"/>
              </w:rPr>
              <w:t xml:space="preserve">Economic inputs are estimates, with no tariff escalation or subsidy modeling.</w:t>
            </w:r>
          </w:p>
        </w:tc>
        <w:tc>
          <w:tcPr>
            <w:tcW w:type="dxa" w:w="4960"/>
            <w:tcBorders>
              <w:top w:val="single" w:color="C9D6D4" w:sz="4"/>
              <w:left w:val="single" w:color="C9D6D4" w:sz="4"/>
              <w:bottom w:val="single" w:color="C9D6D4" w:sz="4"/>
              <w:right w:val="single" w:color="C9D6D4" w:sz="4"/>
            </w:tcBorders>
            <w:tcMar>
              <w:top w:type="dxa" w:w="90"/>
              <w:left w:type="dxa" w:w="130"/>
              <w:bottom w:type="dxa" w:w="90"/>
              <w:right w:type="dxa" w:w="130"/>
            </w:tcMar>
            <w:vAlign w:val="center"/>
          </w:tcPr>
          <w:p>
            <w:pPr>
              <w:jc w:val="left"/>
            </w:pPr>
            <w:r>
              <w:rPr>
                <w:rFonts w:ascii="Calibri" w:cs="Calibri" w:eastAsia="Calibri" w:hAnsi="Calibri"/>
                <w:b w:val="false"/>
                <w:bCs w:val="false"/>
                <w:color w:val="1B2A33"/>
                <w:sz w:val="19"/>
                <w:szCs w:val="19"/>
              </w:rPr>
              <w:t xml:space="preserve">Update with real vendor quotes and check for local subsidy programs before any purchase.</w:t>
            </w:r>
          </w:p>
        </w:tc>
      </w:tr>
    </w:tbl>
    <w:p>
      <w:pPr>
        <w:spacing w:after="160" w:line="268"/>
        <w:jc w:val="left"/>
      </w:pPr>
      <w:r>
        <w:rPr>
          <w:rFonts w:ascii="Calibri" w:cs="Calibri" w:eastAsia="Calibri" w:hAnsi="Calibri"/>
          <w:color w:val="1B2A33"/>
          <w:sz w:val="21"/>
          <w:szCs w:val="21"/>
        </w:rPr>
        <w:t xml:space="preserve">Of the improvements above, greywater integration is probably the single highest-value addition, and it isn't in the table because it's less a fix to an existing limitation than a genuinely new idea. Since this report's main finding is that the system is limited by what it collects rather than by storage, adding a second, steadier supply stream from laundry and bathroom greywater would likely do more for dry-season reliability than any amount of extra tank capacity. Beyond that, a low-cost tank-level sensor (an ultrasonic or float sensor on a small microcontroller) would let the simulated storage curve be checked against what the tank is actually doing, and layering in climate projections for the monsoon would help stress-test the design against a wetter or drier future than the historical average assumes.</w:t>
      </w:r>
    </w:p>
    <w:p>
      <w:pPr>
        <w:pStyle w:val="Heading1"/>
        <w:keepNext/>
        <w:keepLines/>
        <w:pBdr>
          <w:bottom w:val="single" w:color="0E5C57" w:sz="6" w:space="6"/>
        </w:pBdr>
        <w:spacing w:after="180" w:before="420"/>
      </w:pPr>
      <w:r>
        <w:rPr>
          <w:rFonts w:ascii="Calibri" w:cs="Calibri" w:eastAsia="Calibri" w:hAnsi="Calibri"/>
          <w:b/>
          <w:bCs/>
          <w:color w:val="1B7A72"/>
          <w:sz w:val="30"/>
          <w:szCs w:val="30"/>
        </w:rPr>
        <w:t xml:space="preserve"/>
      </w:r>
      <w:r>
        <w:rPr>
          <w:rFonts w:ascii="Calibri" w:cs="Calibri" w:eastAsia="Calibri" w:hAnsi="Calibri"/>
          <w:b/>
          <w:bCs/>
          <w:color w:val="0E5C57"/>
          <w:sz w:val="30"/>
          <w:szCs w:val="30"/>
        </w:rPr>
        <w:t xml:space="preserve">9. Conclusion</w:t>
      </w:r>
    </w:p>
    <w:p>
      <w:pPr>
        <w:spacing w:after="160" w:line="268"/>
        <w:jc w:val="left"/>
      </w:pPr>
      <w:r>
        <w:rPr>
          <w:rFonts w:ascii="Calibri" w:cs="Calibri" w:eastAsia="Calibri" w:hAnsi="Calibri"/>
          <w:color w:val="1B2A33"/>
          <w:sz w:val="21"/>
          <w:szCs w:val="21"/>
        </w:rPr>
        <w:t xml:space="preserve">This project built a fully formula-driven, 365-day rainwater harvesting simulation for Karachi, covering rainfall handling, daily mass balance, tank optimization, sensitivity testing, and a full economic evaluation, all inside one auditable spreadsheet. The main finding, that the system is limited by rainfall rather than by storage, showed up independently in both the optimization sweep and the sensitivity analysis, which is exactly the kind of cross-checked result a preliminary design should aim for rather than accept from a single calculation. The base-case 5,000 L tank turned out to be oversized for this roof and demand, with 3,000 L capturing 98% of the achievable supply at a lower cost, and the system as a whole is economically viable but not by a wide margin, at roughly seven years' payback and an IRR just above the discount rate. Because the workbook lets the rainfall station change with a single dropdown, the same analysis can be re-run instantly for Lahore, Islamabad, Peshawar, or Quetta, where a wetter climate would be expected to push the system from rainfall-limited toward storage-limited and shift both the optimal tank size and the economics meaningfully, a claim the workbook is built to test directly rather than just assert.</w:t>
      </w:r>
    </w:p>
    <w:p>
      <w:pPr>
        <w:pStyle w:val="Heading1"/>
        <w:keepNext/>
        <w:keepLines/>
        <w:pBdr>
          <w:bottom w:val="single" w:color="0E5C57" w:sz="6" w:space="6"/>
        </w:pBdr>
        <w:spacing w:after="180" w:before="420"/>
      </w:pPr>
      <w:r>
        <w:rPr>
          <w:rFonts w:ascii="Calibri" w:cs="Calibri" w:eastAsia="Calibri" w:hAnsi="Calibri"/>
          <w:b/>
          <w:bCs/>
          <w:color w:val="1B7A72"/>
          <w:sz w:val="30"/>
          <w:szCs w:val="30"/>
        </w:rPr>
        <w:t xml:space="preserve"/>
      </w:r>
      <w:r>
        <w:rPr>
          <w:rFonts w:ascii="Calibri" w:cs="Calibri" w:eastAsia="Calibri" w:hAnsi="Calibri"/>
          <w:b/>
          <w:bCs/>
          <w:color w:val="0E5C57"/>
          <w:sz w:val="30"/>
          <w:szCs w:val="30"/>
        </w:rPr>
        <w:t xml:space="preserve">References</w:t>
      </w:r>
    </w:p>
    <w:p>
      <w:pPr>
        <w:spacing w:after="100"/>
      </w:pPr>
      <w:r>
        <w:rPr>
          <w:rFonts w:ascii="Calibri" w:cs="Calibri" w:eastAsia="Calibri" w:hAnsi="Calibri"/>
          <w:color w:val="1B2A33"/>
          <w:sz w:val="19"/>
          <w:szCs w:val="19"/>
        </w:rPr>
        <w:t xml:space="preserve">Weather and Climate. "Average Monthly Precipitation, Rainfall, Karachi, Pakistan." weather-and-climate.com, accessed July 2026.</w:t>
      </w:r>
    </w:p>
    <w:p>
      <w:pPr>
        <w:spacing w:after="100"/>
      </w:pPr>
      <w:r>
        <w:rPr>
          <w:rFonts w:ascii="Calibri" w:cs="Calibri" w:eastAsia="Calibri" w:hAnsi="Calibri"/>
          <w:color w:val="1B2A33"/>
          <w:sz w:val="19"/>
          <w:szCs w:val="19"/>
        </w:rPr>
        <w:t xml:space="preserve">Climates to Travel. "Karachi Climate: Weather by Month." climatestotravel.com, accessed July 2026.</w:t>
      </w:r>
    </w:p>
    <w:p>
      <w:pPr>
        <w:spacing w:after="100"/>
      </w:pPr>
      <w:r>
        <w:rPr>
          <w:rFonts w:ascii="Calibri" w:cs="Calibri" w:eastAsia="Calibri" w:hAnsi="Calibri"/>
          <w:color w:val="1B2A33"/>
          <w:sz w:val="19"/>
          <w:szCs w:val="19"/>
        </w:rPr>
        <w:t xml:space="preserve">Weather Atlas. "Climate and Monthly Weather Forecast, Karachi, Pakistan." weather-atlas.com, accessed July 2026.</w:t>
      </w:r>
    </w:p>
    <w:p>
      <w:pPr>
        <w:spacing w:after="100"/>
      </w:pPr>
      <w:r>
        <w:rPr>
          <w:rFonts w:ascii="Calibri" w:cs="Calibri" w:eastAsia="Calibri" w:hAnsi="Calibri"/>
          <w:color w:val="1B2A33"/>
          <w:sz w:val="19"/>
          <w:szCs w:val="19"/>
        </w:rPr>
        <w:t xml:space="preserve">Climate-Data.org. "Karachi Climate (Sindh, Pakistan)." en.climate-data.org, accessed July 2026.</w:t>
      </w:r>
    </w:p>
    <w:p>
      <w:pPr>
        <w:spacing w:after="100"/>
      </w:pPr>
      <w:r>
        <w:rPr>
          <w:rFonts w:ascii="Calibri" w:cs="Calibri" w:eastAsia="Calibri" w:hAnsi="Calibri"/>
          <w:color w:val="1B2A33"/>
          <w:sz w:val="19"/>
          <w:szCs w:val="19"/>
        </w:rPr>
        <w:t xml:space="preserve">British Standards Institution. BS 8515:2009+A1:2013, Rainwater Harvesting Systems Code of Practice.</w:t>
      </w:r>
    </w:p>
    <w:p>
      <w:pPr>
        <w:spacing w:after="100"/>
      </w:pPr>
      <w:r>
        <w:rPr>
          <w:rFonts w:ascii="Calibri" w:cs="Calibri" w:eastAsia="Calibri" w:hAnsi="Calibri"/>
          <w:color w:val="1B2A33"/>
          <w:sz w:val="19"/>
          <w:szCs w:val="19"/>
        </w:rPr>
        <w:t xml:space="preserve">United States Environmental Protection Agency. Rainwater Harvesting: Guidance for Homeowners.</w:t>
      </w:r>
    </w:p>
    <w:p>
      <w:pPr>
        <w:pStyle w:val="Heading1"/>
        <w:keepNext/>
        <w:keepLines/>
        <w:pBdr>
          <w:bottom w:val="single" w:color="0E5C57" w:sz="6" w:space="6"/>
        </w:pBdr>
        <w:spacing w:after="180" w:before="420"/>
      </w:pPr>
      <w:r>
        <w:rPr>
          <w:rFonts w:ascii="Calibri" w:cs="Calibri" w:eastAsia="Calibri" w:hAnsi="Calibri"/>
          <w:b/>
          <w:bCs/>
          <w:color w:val="1B7A72"/>
          <w:sz w:val="30"/>
          <w:szCs w:val="30"/>
        </w:rPr>
        <w:t xml:space="preserve"/>
      </w:r>
      <w:r>
        <w:rPr>
          <w:rFonts w:ascii="Calibri" w:cs="Calibri" w:eastAsia="Calibri" w:hAnsi="Calibri"/>
          <w:b/>
          <w:bCs/>
          <w:color w:val="0E5C57"/>
          <w:sz w:val="30"/>
          <w:szCs w:val="30"/>
        </w:rPr>
        <w:t xml:space="preserve">Appendix: Base-Case Inputs</w:t>
      </w:r>
    </w:p>
    <w:p>
      <w:pPr>
        <w:spacing w:after="160" w:line="268"/>
        <w:jc w:val="left"/>
      </w:pPr>
      <w:r>
        <w:rPr>
          <w:rFonts w:ascii="Calibri" w:cs="Calibri" w:eastAsia="Calibri" w:hAnsi="Calibri"/>
          <w:color w:val="1B2A33"/>
          <w:sz w:val="21"/>
          <w:szCs w:val="21"/>
        </w:rPr>
        <w:t xml:space="preserve">Every input below is bound to a named range on the Inputs or Rainfall Data sheet (RoofArea_m2, TankCapacity_L, DailyDemand_L, WaterTariff_PKR_L, and so on), so changing one cell propagates automatically through the entire model without touching a single formula elsewhere.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cantSplit/>
          <w:tblHeader/>
        </w:trPr>
        <w:tc>
          <w:tcPr>
            <w:tcW w:type="dxa" w:w="4400"/>
            <w:tcBorders>
              <w:top w:val="single" w:color="C9D6D4" w:sz="4"/>
              <w:left w:val="single" w:color="C9D6D4" w:sz="4"/>
              <w:bottom w:val="single" w:color="C9D6D4" w:sz="4"/>
              <w:right w:val="single" w:color="C9D6D4" w:sz="4"/>
            </w:tcBorders>
            <w:shd w:fill="0E5C57" w:val="clear"/>
            <w:tcMar>
              <w:top w:type="dxa" w:w="90"/>
              <w:left w:type="dxa" w:w="130"/>
              <w:bottom w:type="dxa" w:w="90"/>
              <w:right w:type="dxa" w:w="130"/>
            </w:tcMar>
            <w:vAlign w:val="center"/>
          </w:tcPr>
          <w:p>
            <w:pPr>
              <w:jc w:val="left"/>
            </w:pPr>
            <w:r>
              <w:rPr>
                <w:rFonts w:ascii="Calibri" w:cs="Calibri" w:eastAsia="Calibri" w:hAnsi="Calibri"/>
                <w:b/>
                <w:bCs/>
                <w:color w:val="FFFFFF"/>
                <w:sz w:val="19"/>
                <w:szCs w:val="19"/>
              </w:rPr>
              <w:t xml:space="preserve">Parameter</w:t>
            </w:r>
          </w:p>
        </w:tc>
        <w:tc>
          <w:tcPr>
            <w:tcW w:type="dxa" w:w="4960"/>
            <w:tcBorders>
              <w:top w:val="single" w:color="C9D6D4" w:sz="4"/>
              <w:left w:val="single" w:color="C9D6D4" w:sz="4"/>
              <w:bottom w:val="single" w:color="C9D6D4" w:sz="4"/>
              <w:right w:val="single" w:color="C9D6D4" w:sz="4"/>
            </w:tcBorders>
            <w:shd w:fill="0E5C57" w:val="clear"/>
            <w:tcMar>
              <w:top w:type="dxa" w:w="90"/>
              <w:left w:type="dxa" w:w="130"/>
              <w:bottom w:type="dxa" w:w="90"/>
              <w:right w:type="dxa" w:w="130"/>
            </w:tcMar>
            <w:vAlign w:val="center"/>
          </w:tcPr>
          <w:p>
            <w:pPr>
              <w:jc w:val="left"/>
            </w:pPr>
            <w:r>
              <w:rPr>
                <w:rFonts w:ascii="Calibri" w:cs="Calibri" w:eastAsia="Calibri" w:hAnsi="Calibri"/>
                <w:b/>
                <w:bCs/>
                <w:color w:val="FFFFFF"/>
                <w:sz w:val="19"/>
                <w:szCs w:val="19"/>
              </w:rPr>
              <w:t xml:space="preserve">Value</w:t>
            </w:r>
          </w:p>
        </w:tc>
      </w:tr>
      <w:tr>
        <w:trPr>
          <w:cantSplit/>
        </w:trPr>
        <w:tc>
          <w:tcPr>
            <w:tcW w:type="dxa" w:w="4400"/>
            <w:tcBorders>
              <w:top w:val="single" w:color="C9D6D4" w:sz="4"/>
              <w:left w:val="single" w:color="C9D6D4" w:sz="4"/>
              <w:bottom w:val="single" w:color="C9D6D4" w:sz="4"/>
              <w:right w:val="single" w:color="C9D6D4" w:sz="4"/>
            </w:tcBorders>
            <w:tcMar>
              <w:top w:type="dxa" w:w="90"/>
              <w:left w:type="dxa" w:w="130"/>
              <w:bottom w:type="dxa" w:w="90"/>
              <w:right w:type="dxa" w:w="130"/>
            </w:tcMar>
            <w:vAlign w:val="center"/>
          </w:tcPr>
          <w:p>
            <w:pPr>
              <w:jc w:val="left"/>
            </w:pPr>
            <w:r>
              <w:rPr>
                <w:rFonts w:ascii="Calibri" w:cs="Calibri" w:eastAsia="Calibri" w:hAnsi="Calibri"/>
                <w:b w:val="false"/>
                <w:bCs w:val="false"/>
                <w:color w:val="1B2A33"/>
                <w:sz w:val="19"/>
                <w:szCs w:val="19"/>
              </w:rPr>
              <w:t xml:space="preserve">Rainfall station</w:t>
            </w:r>
          </w:p>
        </w:tc>
        <w:tc>
          <w:tcPr>
            <w:tcW w:type="dxa" w:w="4960"/>
            <w:tcBorders>
              <w:top w:val="single" w:color="C9D6D4" w:sz="4"/>
              <w:left w:val="single" w:color="C9D6D4" w:sz="4"/>
              <w:bottom w:val="single" w:color="C9D6D4" w:sz="4"/>
              <w:right w:val="single" w:color="C9D6D4" w:sz="4"/>
            </w:tcBorders>
            <w:tcMar>
              <w:top w:type="dxa" w:w="90"/>
              <w:left w:type="dxa" w:w="130"/>
              <w:bottom w:type="dxa" w:w="90"/>
              <w:right w:type="dxa" w:w="130"/>
            </w:tcMar>
            <w:vAlign w:val="center"/>
          </w:tcPr>
          <w:p>
            <w:pPr>
              <w:jc w:val="left"/>
            </w:pPr>
            <w:r>
              <w:rPr>
                <w:rFonts w:ascii="Calibri" w:cs="Calibri" w:eastAsia="Calibri" w:hAnsi="Calibri"/>
                <w:b w:val="false"/>
                <w:bCs w:val="false"/>
                <w:color w:val="1B2A33"/>
                <w:sz w:val="19"/>
                <w:szCs w:val="19"/>
              </w:rPr>
              <w:t xml:space="preserve">Karachi</w:t>
            </w:r>
          </w:p>
        </w:tc>
      </w:tr>
      <w:tr>
        <w:trPr>
          <w:cantSplit/>
        </w:trPr>
        <w:tc>
          <w:tcPr>
            <w:tcW w:type="dxa" w:w="4400"/>
            <w:tcBorders>
              <w:top w:val="single" w:color="C9D6D4" w:sz="4"/>
              <w:left w:val="single" w:color="C9D6D4" w:sz="4"/>
              <w:bottom w:val="single" w:color="C9D6D4" w:sz="4"/>
              <w:right w:val="single" w:color="C9D6D4" w:sz="4"/>
            </w:tcBorders>
            <w:tcMar>
              <w:top w:type="dxa" w:w="90"/>
              <w:left w:type="dxa" w:w="130"/>
              <w:bottom w:type="dxa" w:w="90"/>
              <w:right w:type="dxa" w:w="130"/>
            </w:tcMar>
            <w:vAlign w:val="center"/>
          </w:tcPr>
          <w:p>
            <w:pPr>
              <w:jc w:val="left"/>
            </w:pPr>
            <w:r>
              <w:rPr>
                <w:rFonts w:ascii="Calibri" w:cs="Calibri" w:eastAsia="Calibri" w:hAnsi="Calibri"/>
                <w:b w:val="false"/>
                <w:bCs w:val="false"/>
                <w:color w:val="1B2A33"/>
                <w:sz w:val="19"/>
                <w:szCs w:val="19"/>
              </w:rPr>
              <w:t xml:space="preserve">Roof area</w:t>
            </w:r>
          </w:p>
        </w:tc>
        <w:tc>
          <w:tcPr>
            <w:tcW w:type="dxa" w:w="4960"/>
            <w:tcBorders>
              <w:top w:val="single" w:color="C9D6D4" w:sz="4"/>
              <w:left w:val="single" w:color="C9D6D4" w:sz="4"/>
              <w:bottom w:val="single" w:color="C9D6D4" w:sz="4"/>
              <w:right w:val="single" w:color="C9D6D4" w:sz="4"/>
            </w:tcBorders>
            <w:tcMar>
              <w:top w:type="dxa" w:w="90"/>
              <w:left w:type="dxa" w:w="130"/>
              <w:bottom w:type="dxa" w:w="90"/>
              <w:right w:type="dxa" w:w="130"/>
            </w:tcMar>
            <w:vAlign w:val="center"/>
          </w:tcPr>
          <w:p>
            <w:pPr>
              <w:jc w:val="left"/>
            </w:pPr>
            <w:r>
              <w:rPr>
                <w:rFonts w:ascii="Calibri" w:cs="Calibri" w:eastAsia="Calibri" w:hAnsi="Calibri"/>
                <w:b w:val="false"/>
                <w:bCs w:val="false"/>
                <w:color w:val="1B2A33"/>
                <w:sz w:val="19"/>
                <w:szCs w:val="19"/>
              </w:rPr>
              <w:t xml:space="preserve">220 m2</w:t>
            </w:r>
          </w:p>
        </w:tc>
      </w:tr>
      <w:tr>
        <w:trPr>
          <w:cantSplit/>
        </w:trPr>
        <w:tc>
          <w:tcPr>
            <w:tcW w:type="dxa" w:w="4400"/>
            <w:tcBorders>
              <w:top w:val="single" w:color="C9D6D4" w:sz="4"/>
              <w:left w:val="single" w:color="C9D6D4" w:sz="4"/>
              <w:bottom w:val="single" w:color="C9D6D4" w:sz="4"/>
              <w:right w:val="single" w:color="C9D6D4" w:sz="4"/>
            </w:tcBorders>
            <w:tcMar>
              <w:top w:type="dxa" w:w="90"/>
              <w:left w:type="dxa" w:w="130"/>
              <w:bottom w:type="dxa" w:w="90"/>
              <w:right w:type="dxa" w:w="130"/>
            </w:tcMar>
            <w:vAlign w:val="center"/>
          </w:tcPr>
          <w:p>
            <w:pPr>
              <w:jc w:val="left"/>
            </w:pPr>
            <w:r>
              <w:rPr>
                <w:rFonts w:ascii="Calibri" w:cs="Calibri" w:eastAsia="Calibri" w:hAnsi="Calibri"/>
                <w:b w:val="false"/>
                <w:bCs w:val="false"/>
                <w:color w:val="1B2A33"/>
                <w:sz w:val="19"/>
                <w:szCs w:val="19"/>
              </w:rPr>
              <w:t xml:space="preserve">Roof material / runoff coefficient</w:t>
            </w:r>
          </w:p>
        </w:tc>
        <w:tc>
          <w:tcPr>
            <w:tcW w:type="dxa" w:w="4960"/>
            <w:tcBorders>
              <w:top w:val="single" w:color="C9D6D4" w:sz="4"/>
              <w:left w:val="single" w:color="C9D6D4" w:sz="4"/>
              <w:bottom w:val="single" w:color="C9D6D4" w:sz="4"/>
              <w:right w:val="single" w:color="C9D6D4" w:sz="4"/>
            </w:tcBorders>
            <w:tcMar>
              <w:top w:type="dxa" w:w="90"/>
              <w:left w:type="dxa" w:w="130"/>
              <w:bottom w:type="dxa" w:w="90"/>
              <w:right w:type="dxa" w:w="130"/>
            </w:tcMar>
            <w:vAlign w:val="center"/>
          </w:tcPr>
          <w:p>
            <w:pPr>
              <w:jc w:val="left"/>
            </w:pPr>
            <w:r>
              <w:rPr>
                <w:rFonts w:ascii="Calibri" w:cs="Calibri" w:eastAsia="Calibri" w:hAnsi="Calibri"/>
                <w:b w:val="false"/>
                <w:bCs w:val="false"/>
                <w:color w:val="1B2A33"/>
                <w:sz w:val="19"/>
                <w:szCs w:val="19"/>
              </w:rPr>
              <w:t xml:space="preserve">Corrugated metal / 0.85</w:t>
            </w:r>
          </w:p>
        </w:tc>
      </w:tr>
      <w:tr>
        <w:trPr>
          <w:cantSplit/>
        </w:trPr>
        <w:tc>
          <w:tcPr>
            <w:tcW w:type="dxa" w:w="4400"/>
            <w:tcBorders>
              <w:top w:val="single" w:color="C9D6D4" w:sz="4"/>
              <w:left w:val="single" w:color="C9D6D4" w:sz="4"/>
              <w:bottom w:val="single" w:color="C9D6D4" w:sz="4"/>
              <w:right w:val="single" w:color="C9D6D4" w:sz="4"/>
            </w:tcBorders>
            <w:tcMar>
              <w:top w:type="dxa" w:w="90"/>
              <w:left w:type="dxa" w:w="130"/>
              <w:bottom w:type="dxa" w:w="90"/>
              <w:right w:type="dxa" w:w="130"/>
            </w:tcMar>
            <w:vAlign w:val="center"/>
          </w:tcPr>
          <w:p>
            <w:pPr>
              <w:jc w:val="left"/>
            </w:pPr>
            <w:r>
              <w:rPr>
                <w:rFonts w:ascii="Calibri" w:cs="Calibri" w:eastAsia="Calibri" w:hAnsi="Calibri"/>
                <w:b w:val="false"/>
                <w:bCs w:val="false"/>
                <w:color w:val="1B2A33"/>
                <w:sz w:val="19"/>
                <w:szCs w:val="19"/>
              </w:rPr>
              <w:t xml:space="preserve">Filter / conveyance efficiency</w:t>
            </w:r>
          </w:p>
        </w:tc>
        <w:tc>
          <w:tcPr>
            <w:tcW w:type="dxa" w:w="4960"/>
            <w:tcBorders>
              <w:top w:val="single" w:color="C9D6D4" w:sz="4"/>
              <w:left w:val="single" w:color="C9D6D4" w:sz="4"/>
              <w:bottom w:val="single" w:color="C9D6D4" w:sz="4"/>
              <w:right w:val="single" w:color="C9D6D4" w:sz="4"/>
            </w:tcBorders>
            <w:tcMar>
              <w:top w:type="dxa" w:w="90"/>
              <w:left w:type="dxa" w:w="130"/>
              <w:bottom w:type="dxa" w:w="90"/>
              <w:right w:type="dxa" w:w="130"/>
            </w:tcMar>
            <w:vAlign w:val="center"/>
          </w:tcPr>
          <w:p>
            <w:pPr>
              <w:jc w:val="left"/>
            </w:pPr>
            <w:r>
              <w:rPr>
                <w:rFonts w:ascii="Calibri" w:cs="Calibri" w:eastAsia="Calibri" w:hAnsi="Calibri"/>
                <w:b w:val="false"/>
                <w:bCs w:val="false"/>
                <w:color w:val="1B2A33"/>
                <w:sz w:val="19"/>
                <w:szCs w:val="19"/>
              </w:rPr>
              <w:t xml:space="preserve">95% / 97%</w:t>
            </w:r>
          </w:p>
        </w:tc>
      </w:tr>
      <w:tr>
        <w:trPr>
          <w:cantSplit/>
        </w:trPr>
        <w:tc>
          <w:tcPr>
            <w:tcW w:type="dxa" w:w="4400"/>
            <w:tcBorders>
              <w:top w:val="single" w:color="C9D6D4" w:sz="4"/>
              <w:left w:val="single" w:color="C9D6D4" w:sz="4"/>
              <w:bottom w:val="single" w:color="C9D6D4" w:sz="4"/>
              <w:right w:val="single" w:color="C9D6D4" w:sz="4"/>
            </w:tcBorders>
            <w:tcMar>
              <w:top w:type="dxa" w:w="90"/>
              <w:left w:type="dxa" w:w="130"/>
              <w:bottom w:type="dxa" w:w="90"/>
              <w:right w:type="dxa" w:w="130"/>
            </w:tcMar>
            <w:vAlign w:val="center"/>
          </w:tcPr>
          <w:p>
            <w:pPr>
              <w:jc w:val="left"/>
            </w:pPr>
            <w:r>
              <w:rPr>
                <w:rFonts w:ascii="Calibri" w:cs="Calibri" w:eastAsia="Calibri" w:hAnsi="Calibri"/>
                <w:b w:val="false"/>
                <w:bCs w:val="false"/>
                <w:color w:val="1B2A33"/>
                <w:sz w:val="19"/>
                <w:szCs w:val="19"/>
              </w:rPr>
              <w:t xml:space="preserve">Overall collection efficiency</w:t>
            </w:r>
          </w:p>
        </w:tc>
        <w:tc>
          <w:tcPr>
            <w:tcW w:type="dxa" w:w="4960"/>
            <w:tcBorders>
              <w:top w:val="single" w:color="C9D6D4" w:sz="4"/>
              <w:left w:val="single" w:color="C9D6D4" w:sz="4"/>
              <w:bottom w:val="single" w:color="C9D6D4" w:sz="4"/>
              <w:right w:val="single" w:color="C9D6D4" w:sz="4"/>
            </w:tcBorders>
            <w:tcMar>
              <w:top w:type="dxa" w:w="90"/>
              <w:left w:type="dxa" w:w="130"/>
              <w:bottom w:type="dxa" w:w="90"/>
              <w:right w:type="dxa" w:w="130"/>
            </w:tcMar>
            <w:vAlign w:val="center"/>
          </w:tcPr>
          <w:p>
            <w:pPr>
              <w:jc w:val="left"/>
            </w:pPr>
            <w:r>
              <w:rPr>
                <w:rFonts w:ascii="Calibri" w:cs="Calibri" w:eastAsia="Calibri" w:hAnsi="Calibri"/>
                <w:b w:val="false"/>
                <w:bCs w:val="false"/>
                <w:color w:val="1B2A33"/>
                <w:sz w:val="19"/>
                <w:szCs w:val="19"/>
              </w:rPr>
              <w:t xml:space="preserve">78.3%</w:t>
            </w:r>
          </w:p>
        </w:tc>
      </w:tr>
      <w:tr>
        <w:trPr>
          <w:cantSplit/>
        </w:trPr>
        <w:tc>
          <w:tcPr>
            <w:tcW w:type="dxa" w:w="4400"/>
            <w:tcBorders>
              <w:top w:val="single" w:color="C9D6D4" w:sz="4"/>
              <w:left w:val="single" w:color="C9D6D4" w:sz="4"/>
              <w:bottom w:val="single" w:color="C9D6D4" w:sz="4"/>
              <w:right w:val="single" w:color="C9D6D4" w:sz="4"/>
            </w:tcBorders>
            <w:tcMar>
              <w:top w:type="dxa" w:w="90"/>
              <w:left w:type="dxa" w:w="130"/>
              <w:bottom w:type="dxa" w:w="90"/>
              <w:right w:type="dxa" w:w="130"/>
            </w:tcMar>
            <w:vAlign w:val="center"/>
          </w:tcPr>
          <w:p>
            <w:pPr>
              <w:jc w:val="left"/>
            </w:pPr>
            <w:r>
              <w:rPr>
                <w:rFonts w:ascii="Calibri" w:cs="Calibri" w:eastAsia="Calibri" w:hAnsi="Calibri"/>
                <w:b w:val="false"/>
                <w:bCs w:val="false"/>
                <w:color w:val="1B2A33"/>
                <w:sz w:val="19"/>
                <w:szCs w:val="19"/>
              </w:rPr>
              <w:t xml:space="preserve">Tank capacity / dead storage</w:t>
            </w:r>
          </w:p>
        </w:tc>
        <w:tc>
          <w:tcPr>
            <w:tcW w:type="dxa" w:w="4960"/>
            <w:tcBorders>
              <w:top w:val="single" w:color="C9D6D4" w:sz="4"/>
              <w:left w:val="single" w:color="C9D6D4" w:sz="4"/>
              <w:bottom w:val="single" w:color="C9D6D4" w:sz="4"/>
              <w:right w:val="single" w:color="C9D6D4" w:sz="4"/>
            </w:tcBorders>
            <w:tcMar>
              <w:top w:type="dxa" w:w="90"/>
              <w:left w:type="dxa" w:w="130"/>
              <w:bottom w:type="dxa" w:w="90"/>
              <w:right w:type="dxa" w:w="130"/>
            </w:tcMar>
            <w:vAlign w:val="center"/>
          </w:tcPr>
          <w:p>
            <w:pPr>
              <w:jc w:val="left"/>
            </w:pPr>
            <w:r>
              <w:rPr>
                <w:rFonts w:ascii="Calibri" w:cs="Calibri" w:eastAsia="Calibri" w:hAnsi="Calibri"/>
                <w:b w:val="false"/>
                <w:bCs w:val="false"/>
                <w:color w:val="1B2A33"/>
                <w:sz w:val="19"/>
                <w:szCs w:val="19"/>
              </w:rPr>
              <w:t xml:space="preserve">5,000 L / 200 L</w:t>
            </w:r>
          </w:p>
        </w:tc>
      </w:tr>
      <w:tr>
        <w:trPr>
          <w:cantSplit/>
        </w:trPr>
        <w:tc>
          <w:tcPr>
            <w:tcW w:type="dxa" w:w="4400"/>
            <w:tcBorders>
              <w:top w:val="single" w:color="C9D6D4" w:sz="4"/>
              <w:left w:val="single" w:color="C9D6D4" w:sz="4"/>
              <w:bottom w:val="single" w:color="C9D6D4" w:sz="4"/>
              <w:right w:val="single" w:color="C9D6D4" w:sz="4"/>
            </w:tcBorders>
            <w:tcMar>
              <w:top w:type="dxa" w:w="90"/>
              <w:left w:type="dxa" w:w="130"/>
              <w:bottom w:type="dxa" w:w="90"/>
              <w:right w:type="dxa" w:w="130"/>
            </w:tcMar>
            <w:vAlign w:val="center"/>
          </w:tcPr>
          <w:p>
            <w:pPr>
              <w:jc w:val="left"/>
            </w:pPr>
            <w:r>
              <w:rPr>
                <w:rFonts w:ascii="Calibri" w:cs="Calibri" w:eastAsia="Calibri" w:hAnsi="Calibri"/>
                <w:b w:val="false"/>
                <w:bCs w:val="false"/>
                <w:color w:val="1B2A33"/>
                <w:sz w:val="19"/>
                <w:szCs w:val="19"/>
              </w:rPr>
              <w:t xml:space="preserve">Occupants / per-capita demand</w:t>
            </w:r>
          </w:p>
        </w:tc>
        <w:tc>
          <w:tcPr>
            <w:tcW w:type="dxa" w:w="4960"/>
            <w:tcBorders>
              <w:top w:val="single" w:color="C9D6D4" w:sz="4"/>
              <w:left w:val="single" w:color="C9D6D4" w:sz="4"/>
              <w:bottom w:val="single" w:color="C9D6D4" w:sz="4"/>
              <w:right w:val="single" w:color="C9D6D4" w:sz="4"/>
            </w:tcBorders>
            <w:tcMar>
              <w:top w:type="dxa" w:w="90"/>
              <w:left w:type="dxa" w:w="130"/>
              <w:bottom w:type="dxa" w:w="90"/>
              <w:right w:type="dxa" w:w="130"/>
            </w:tcMar>
            <w:vAlign w:val="center"/>
          </w:tcPr>
          <w:p>
            <w:pPr>
              <w:jc w:val="left"/>
            </w:pPr>
            <w:r>
              <w:rPr>
                <w:rFonts w:ascii="Calibri" w:cs="Calibri" w:eastAsia="Calibri" w:hAnsi="Calibri"/>
                <w:b w:val="false"/>
                <w:bCs w:val="false"/>
                <w:color w:val="1B2A33"/>
                <w:sz w:val="19"/>
                <w:szCs w:val="19"/>
              </w:rPr>
              <w:t xml:space="preserve">6 people / 45 L per day</w:t>
            </w:r>
          </w:p>
        </w:tc>
      </w:tr>
      <w:tr>
        <w:trPr>
          <w:cantSplit/>
        </w:trPr>
        <w:tc>
          <w:tcPr>
            <w:tcW w:type="dxa" w:w="4400"/>
            <w:tcBorders>
              <w:top w:val="single" w:color="C9D6D4" w:sz="4"/>
              <w:left w:val="single" w:color="C9D6D4" w:sz="4"/>
              <w:bottom w:val="single" w:color="C9D6D4" w:sz="4"/>
              <w:right w:val="single" w:color="C9D6D4" w:sz="4"/>
            </w:tcBorders>
            <w:tcMar>
              <w:top w:type="dxa" w:w="90"/>
              <w:left w:type="dxa" w:w="130"/>
              <w:bottom w:type="dxa" w:w="90"/>
              <w:right w:type="dxa" w:w="130"/>
            </w:tcMar>
            <w:vAlign w:val="center"/>
          </w:tcPr>
          <w:p>
            <w:pPr>
              <w:jc w:val="left"/>
            </w:pPr>
            <w:r>
              <w:rPr>
                <w:rFonts w:ascii="Calibri" w:cs="Calibri" w:eastAsia="Calibri" w:hAnsi="Calibri"/>
                <w:b w:val="false"/>
                <w:bCs w:val="false"/>
                <w:color w:val="1B2A33"/>
                <w:sz w:val="19"/>
                <w:szCs w:val="19"/>
              </w:rPr>
              <w:t xml:space="preserve">Total daily demand</w:t>
            </w:r>
          </w:p>
        </w:tc>
        <w:tc>
          <w:tcPr>
            <w:tcW w:type="dxa" w:w="4960"/>
            <w:tcBorders>
              <w:top w:val="single" w:color="C9D6D4" w:sz="4"/>
              <w:left w:val="single" w:color="C9D6D4" w:sz="4"/>
              <w:bottom w:val="single" w:color="C9D6D4" w:sz="4"/>
              <w:right w:val="single" w:color="C9D6D4" w:sz="4"/>
            </w:tcBorders>
            <w:tcMar>
              <w:top w:type="dxa" w:w="90"/>
              <w:left w:type="dxa" w:w="130"/>
              <w:bottom w:type="dxa" w:w="90"/>
              <w:right w:type="dxa" w:w="130"/>
            </w:tcMar>
            <w:vAlign w:val="center"/>
          </w:tcPr>
          <w:p>
            <w:pPr>
              <w:jc w:val="left"/>
            </w:pPr>
            <w:r>
              <w:rPr>
                <w:rFonts w:ascii="Calibri" w:cs="Calibri" w:eastAsia="Calibri" w:hAnsi="Calibri"/>
                <w:b w:val="false"/>
                <w:bCs w:val="false"/>
                <w:color w:val="1B2A33"/>
                <w:sz w:val="19"/>
                <w:szCs w:val="19"/>
              </w:rPr>
              <w:t xml:space="preserve">270 L per day</w:t>
            </w:r>
          </w:p>
        </w:tc>
      </w:tr>
      <w:tr>
        <w:trPr>
          <w:cantSplit/>
        </w:trPr>
        <w:tc>
          <w:tcPr>
            <w:tcW w:type="dxa" w:w="4400"/>
            <w:tcBorders>
              <w:top w:val="single" w:color="C9D6D4" w:sz="4"/>
              <w:left w:val="single" w:color="C9D6D4" w:sz="4"/>
              <w:bottom w:val="single" w:color="C9D6D4" w:sz="4"/>
              <w:right w:val="single" w:color="C9D6D4" w:sz="4"/>
            </w:tcBorders>
            <w:tcMar>
              <w:top w:type="dxa" w:w="90"/>
              <w:left w:type="dxa" w:w="130"/>
              <w:bottom w:type="dxa" w:w="90"/>
              <w:right w:type="dxa" w:w="130"/>
            </w:tcMar>
            <w:vAlign w:val="center"/>
          </w:tcPr>
          <w:p>
            <w:pPr>
              <w:jc w:val="left"/>
            </w:pPr>
            <w:r>
              <w:rPr>
                <w:rFonts w:ascii="Calibri" w:cs="Calibri" w:eastAsia="Calibri" w:hAnsi="Calibri"/>
                <w:b w:val="false"/>
                <w:bCs w:val="false"/>
                <w:color w:val="1B2A33"/>
                <w:sz w:val="19"/>
                <w:szCs w:val="19"/>
              </w:rPr>
              <w:t xml:space="preserve">Water tariff</w:t>
            </w:r>
          </w:p>
        </w:tc>
        <w:tc>
          <w:tcPr>
            <w:tcW w:type="dxa" w:w="4960"/>
            <w:tcBorders>
              <w:top w:val="single" w:color="C9D6D4" w:sz="4"/>
              <w:left w:val="single" w:color="C9D6D4" w:sz="4"/>
              <w:bottom w:val="single" w:color="C9D6D4" w:sz="4"/>
              <w:right w:val="single" w:color="C9D6D4" w:sz="4"/>
            </w:tcBorders>
            <w:tcMar>
              <w:top w:type="dxa" w:w="90"/>
              <w:left w:type="dxa" w:w="130"/>
              <w:bottom w:type="dxa" w:w="90"/>
              <w:right w:type="dxa" w:w="130"/>
            </w:tcMar>
            <w:vAlign w:val="center"/>
          </w:tcPr>
          <w:p>
            <w:pPr>
              <w:jc w:val="left"/>
            </w:pPr>
            <w:r>
              <w:rPr>
                <w:rFonts w:ascii="Calibri" w:cs="Calibri" w:eastAsia="Calibri" w:hAnsi="Calibri"/>
                <w:b w:val="false"/>
                <w:bCs w:val="false"/>
                <w:color w:val="1B2A33"/>
                <w:sz w:val="19"/>
                <w:szCs w:val="19"/>
              </w:rPr>
              <w:t xml:space="preserve">PKR 1.20 per litre</w:t>
            </w:r>
          </w:p>
        </w:tc>
      </w:tr>
      <w:tr>
        <w:trPr>
          <w:cantSplit/>
        </w:trPr>
        <w:tc>
          <w:tcPr>
            <w:tcW w:type="dxa" w:w="4400"/>
            <w:tcBorders>
              <w:top w:val="single" w:color="C9D6D4" w:sz="4"/>
              <w:left w:val="single" w:color="C9D6D4" w:sz="4"/>
              <w:bottom w:val="single" w:color="C9D6D4" w:sz="4"/>
              <w:right w:val="single" w:color="C9D6D4" w:sz="4"/>
            </w:tcBorders>
            <w:tcMar>
              <w:top w:type="dxa" w:w="90"/>
              <w:left w:type="dxa" w:w="130"/>
              <w:bottom w:type="dxa" w:w="90"/>
              <w:right w:type="dxa" w:w="130"/>
            </w:tcMar>
            <w:vAlign w:val="center"/>
          </w:tcPr>
          <w:p>
            <w:pPr>
              <w:jc w:val="left"/>
            </w:pPr>
            <w:r>
              <w:rPr>
                <w:rFonts w:ascii="Calibri" w:cs="Calibri" w:eastAsia="Calibri" w:hAnsi="Calibri"/>
                <w:b w:val="false"/>
                <w:bCs w:val="false"/>
                <w:color w:val="1B2A33"/>
                <w:sz w:val="19"/>
                <w:szCs w:val="19"/>
              </w:rPr>
              <w:t xml:space="preserve">Discount rate / project life</w:t>
            </w:r>
          </w:p>
        </w:tc>
        <w:tc>
          <w:tcPr>
            <w:tcW w:type="dxa" w:w="4960"/>
            <w:tcBorders>
              <w:top w:val="single" w:color="C9D6D4" w:sz="4"/>
              <w:left w:val="single" w:color="C9D6D4" w:sz="4"/>
              <w:bottom w:val="single" w:color="C9D6D4" w:sz="4"/>
              <w:right w:val="single" w:color="C9D6D4" w:sz="4"/>
            </w:tcBorders>
            <w:tcMar>
              <w:top w:type="dxa" w:w="90"/>
              <w:left w:type="dxa" w:w="130"/>
              <w:bottom w:type="dxa" w:w="90"/>
              <w:right w:type="dxa" w:w="130"/>
            </w:tcMar>
            <w:vAlign w:val="center"/>
          </w:tcPr>
          <w:p>
            <w:pPr>
              <w:jc w:val="left"/>
            </w:pPr>
            <w:r>
              <w:rPr>
                <w:rFonts w:ascii="Calibri" w:cs="Calibri" w:eastAsia="Calibri" w:hAnsi="Calibri"/>
                <w:b w:val="false"/>
                <w:bCs w:val="false"/>
                <w:color w:val="1B2A33"/>
                <w:sz w:val="19"/>
                <w:szCs w:val="19"/>
              </w:rPr>
              <w:t xml:space="preserve">12% / 20 years</w:t>
            </w:r>
          </w:p>
        </w:tc>
      </w:tr>
    </w:tbl>
    <w:sectPr>
      <w:headerReference w:type="default" r:id="rId7"/>
      <w:headerReference w:type="first" r:id="rId8"/>
      <w:footerReference w:type="default" r:id="rId9"/>
      <w:footerReference w:type="first" r:id="rId10"/>
      <w:pgSz w:w="12240" w:h="15840" w:orient="portrait"/>
      <w:pgMar w:top="1080" w:right="1350" w:bottom="1080" w:left="135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6D4" w:sz="5" w:space="6"/>
      </w:pBdr>
      <w:tabs>
        <w:tab w:val="right" w:pos="9026"/>
      </w:tabs>
    </w:pPr>
    <w:r>
      <w:rPr>
        <w:rFonts w:ascii="Calibri" w:cs="Calibri" w:eastAsia="Calibri" w:hAnsi="Calibri"/>
        <w:i/>
        <w:iCs/>
        <w:color w:val="3C4F5C"/>
        <w:sz w:val="14"/>
        <w:szCs w:val="14"/>
      </w:rPr>
      <w:t xml:space="preserve">Rooftop Rainwater Harvesting, Karachi</w:t>
    </w:r>
    <w:r>
      <w:rPr>
        <w:rFonts w:ascii="Calibri" w:cs="Calibri" w:eastAsia="Calibri" w:hAnsi="Calibri"/>
        <w:color w:val="3C4F5C"/>
        <w:sz w:val="14"/>
        <w:szCs w:val="14"/>
      </w:rPr>
      <w:t xml:space="preserve">	Page </w:t>
    </w:r>
    <w:r>
      <w:rPr>
        <w:rFonts w:ascii="Calibri" w:cs="Calibri" w:eastAsia="Calibri" w:hAnsi="Calibri"/>
        <w:color w:val="3C4F5C"/>
        <w:sz w:val="14"/>
        <w:szCs w:val="14"/>
      </w:rPr>
      <w:fldChar w:fldCharType="begin"/>
      <w:instrText xml:space="preserve">PAGE</w:instrText>
      <w:fldChar w:fldCharType="separate"/>
      <w:fldChar w:fldCharType="end"/>
    </w:r>
    <w:r>
      <w:rPr>
        <w:rFonts w:ascii="Calibri" w:cs="Calibri" w:eastAsia="Calibri" w:hAnsi="Calibri"/>
        <w:color w:val="3C4F5C"/>
        <w:sz w:val="14"/>
        <w:szCs w:val="14"/>
      </w:rPr>
      <w:t xml:space="preserve"> of </w:t>
    </w:r>
    <w:r>
      <w:rPr>
        <w:rFonts w:ascii="Calibri" w:cs="Calibri" w:eastAsia="Calibri" w:hAnsi="Calibri"/>
        <w:color w:val="3C4F5C"/>
        <w:sz w:val="14"/>
        <w:szCs w:val="14"/>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E5C57" w:sz="5" w:space="6"/>
      </w:pBdr>
      <w:tabs>
        <w:tab w:val="right" w:pos="9026"/>
      </w:tabs>
    </w:pPr>
    <w:r>
      <w:rPr>
        <w:rFonts w:ascii="Calibri" w:cs="Calibri" w:eastAsia="Calibri" w:hAnsi="Calibri"/>
        <w:b/>
        <w:bCs/>
        <w:color w:val="3C4F5C"/>
        <w:sz w:val="14"/>
        <w:szCs w:val="14"/>
      </w:rPr>
      <w:t xml:space="preserve">ROOFTOP RAINWATER HARVESTING SYSTEM</w:t>
    </w:r>
    <w:r>
      <w:rPr>
        <w:rFonts w:ascii="Calibri" w:cs="Calibri" w:eastAsia="Calibri" w:hAnsi="Calibri"/>
        <w:i/>
        <w:iCs/>
        <w:color w:val="1B7A72"/>
        <w:sz w:val="14"/>
        <w:szCs w:val="14"/>
      </w:rPr>
      <w:t xml:space="preserve">	Design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A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5180763b3f79f6e5fd2fa7e00e6db30fa08c124f.png"/><Relationship Id="rId12" Type="http://schemas.openxmlformats.org/officeDocument/2006/relationships/image" Target="media/cdc4e45e165f8e38a96d94522b69cf893370f4ce.png"/><Relationship Id="rId13" Type="http://schemas.openxmlformats.org/officeDocument/2006/relationships/image" Target="media/681b7c6e064be3c5a751ffaf096721c678cce48c.png"/><Relationship Id="rId14" Type="http://schemas.openxmlformats.org/officeDocument/2006/relationships/image" Target="media/ad6be439a6a979692f0d03732a52557794497113.png"/><Relationship Id="rId15" Type="http://schemas.openxmlformats.org/officeDocument/2006/relationships/image" Target="media/c1a07bc9c9ed7ceb5367bc0535569cfbf7ce1f02.png"/><Relationship Id="rId16" Type="http://schemas.openxmlformats.org/officeDocument/2006/relationships/image" Target="media/83bcacfa0add666fb7b16d09ffc9f5ebee1d21bc.png"/><Relationship Id="rId17" Type="http://schemas.openxmlformats.org/officeDocument/2006/relationships/image" Target="media/09da9a973aeead12fe4b425be67d43c031e74f1d.png"/><Relationship Id="rId18" Type="http://schemas.openxmlformats.org/officeDocument/2006/relationships/image" Target="media/66209fcaf4ef45e9541f3693db38d0e0f78e82a2.png"/><Relationship Id="rId19" Type="http://schemas.openxmlformats.org/officeDocument/2006/relationships/image" Target="media/5fbbd8ddc9b3a780bf4d15f28e71aa0ab4b89e82.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2026-07-26T07:20:43.622Z</dcterms:created>
  <dcterms:modified xsi:type="dcterms:W3CDTF">2026-07-26T07:20:43.637Z</dcterms:modified>
</cp:coreProperties>
</file>

<file path=docProps/custom.xml><?xml version="1.0" encoding="utf-8"?>
<Properties xmlns="http://schemas.openxmlformats.org/officeDocument/2006/custom-properties" xmlns:vt="http://schemas.openxmlformats.org/officeDocument/2006/docPropsVTypes"/>
</file>