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016A" w14:textId="77777777" w:rsidR="00922C02" w:rsidRPr="00DC3BF6" w:rsidRDefault="00922C02" w:rsidP="00871347">
      <w:pPr>
        <w:jc w:val="center"/>
        <w:rPr>
          <w:b/>
          <w:sz w:val="32"/>
        </w:rPr>
      </w:pPr>
      <w:r w:rsidRPr="00DC3BF6">
        <w:rPr>
          <w:b/>
          <w:sz w:val="32"/>
          <w:highlight w:val="yellow"/>
        </w:rPr>
        <w:t>TASK 01</w:t>
      </w:r>
    </w:p>
    <w:p w14:paraId="2B17F5AF" w14:textId="1B4693A4" w:rsidR="00696482" w:rsidRPr="00696482" w:rsidRDefault="00922C02" w:rsidP="00696482">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T</w:t>
      </w:r>
      <w:r w:rsidR="00871347">
        <w:rPr>
          <w:rFonts w:ascii="Times New Roman" w:eastAsia="Times New Roman" w:hAnsi="Times New Roman" w:cs="Times New Roman"/>
          <w:b/>
          <w:bCs/>
          <w:sz w:val="32"/>
          <w:szCs w:val="36"/>
        </w:rPr>
        <w:t>ask: My Data Collection Blueprint</w:t>
      </w:r>
      <w:r w:rsidR="007C3185">
        <w:rPr>
          <w:rFonts w:ascii="Times New Roman" w:eastAsia="Times New Roman" w:hAnsi="Times New Roman" w:cs="Times New Roman"/>
          <w:b/>
          <w:bCs/>
          <w:sz w:val="32"/>
          <w:szCs w:val="36"/>
        </w:rPr>
        <w:t xml:space="preserve"> (Group</w:t>
      </w:r>
      <w:r w:rsidRPr="00922C02">
        <w:rPr>
          <w:rFonts w:ascii="Times New Roman" w:eastAsia="Times New Roman" w:hAnsi="Times New Roman" w:cs="Times New Roman"/>
          <w:b/>
          <w:bCs/>
          <w:sz w:val="32"/>
          <w:szCs w:val="36"/>
        </w:rPr>
        <w:t xml:space="preserve"> Submission)</w:t>
      </w:r>
    </w:p>
    <w:p w14:paraId="5138FF82" w14:textId="77777777" w:rsidR="00696482" w:rsidRPr="00696482" w:rsidRDefault="00696482" w:rsidP="00696482">
      <w:pPr>
        <w:spacing w:before="100" w:beforeAutospacing="1" w:after="100" w:afterAutospacing="1" w:line="240" w:lineRule="auto"/>
        <w:jc w:val="center"/>
        <w:rPr>
          <w:rFonts w:ascii="Times New Roman" w:eastAsia="Times New Roman" w:hAnsi="Times New Roman" w:cs="Times New Roman"/>
          <w:b/>
          <w:bCs/>
          <w:szCs w:val="24"/>
        </w:rPr>
      </w:pPr>
      <w:r w:rsidRPr="00696482">
        <w:rPr>
          <w:rFonts w:ascii="Times New Roman" w:eastAsia="Times New Roman" w:hAnsi="Times New Roman" w:cs="Times New Roman"/>
          <w:b/>
          <w:bCs/>
          <w:szCs w:val="24"/>
        </w:rPr>
        <w:t>Data Collection Blueprint</w:t>
      </w:r>
    </w:p>
    <w:p w14:paraId="12AEFC44"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1. Research Title</w:t>
      </w:r>
    </w:p>
    <w:p w14:paraId="5E106E9B"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highlight w:val="yellow"/>
        </w:rPr>
        <w:t>DETERMINANTS OF FINANCIAL PERFORMANCE IN ISLAMIC BANKING IN PAKISTAN</w:t>
      </w:r>
    </w:p>
    <w:p w14:paraId="37700919"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2. Research Category</w:t>
      </w:r>
    </w:p>
    <w:p w14:paraId="6019E749"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Quantitative</w:t>
      </w:r>
    </w:p>
    <w:p w14:paraId="5CCAC83D"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Qualitative</w:t>
      </w:r>
    </w:p>
    <w:p w14:paraId="6A70BB80"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Mixed</w:t>
      </w:r>
    </w:p>
    <w:p w14:paraId="01D61A8F"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3. Research Approach</w:t>
      </w:r>
    </w:p>
    <w:p w14:paraId="0DC5997F"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Deductive (Theory – observation)</w:t>
      </w:r>
    </w:p>
    <w:p w14:paraId="709E63CB"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Inductive (Observation – Theory)</w:t>
      </w:r>
    </w:p>
    <w:p w14:paraId="07675E9B"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4. Type of Data</w:t>
      </w:r>
    </w:p>
    <w:p w14:paraId="23A51D87"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Primary</w:t>
      </w:r>
    </w:p>
    <w:p w14:paraId="106A86E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Secondary</w:t>
      </w:r>
    </w:p>
    <w:p w14:paraId="61C5407A"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Both</w:t>
      </w:r>
    </w:p>
    <w:p w14:paraId="674760E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5. Research Strategy</w:t>
      </w:r>
    </w:p>
    <w:p w14:paraId="385CB2C4"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Survey</w:t>
      </w:r>
    </w:p>
    <w:p w14:paraId="5742DBEC"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Interview</w:t>
      </w:r>
    </w:p>
    <w:p w14:paraId="3AFBDAF4"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Case Study</w:t>
      </w:r>
    </w:p>
    <w:p w14:paraId="6B0BA3E5"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Grounded Theory</w:t>
      </w:r>
    </w:p>
    <w:p w14:paraId="389B7F8E"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Action Research</w:t>
      </w:r>
    </w:p>
    <w:p w14:paraId="40792BB3"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Other: Quantitative Archival Strategy (Longitudinal Panel Data Study)</w:t>
      </w:r>
    </w:p>
    <w:p w14:paraId="038E45F3"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lastRenderedPageBreak/>
        <w:t>6. Choices</w:t>
      </w:r>
    </w:p>
    <w:p w14:paraId="041E3F8A"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Mono Method</w:t>
      </w:r>
    </w:p>
    <w:p w14:paraId="177856D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Mixed Method</w:t>
      </w:r>
    </w:p>
    <w:p w14:paraId="7EA766EA"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7. Data Collection Sources</w:t>
      </w:r>
    </w:p>
    <w:p w14:paraId="77241AC9" w14:textId="77777777" w:rsidR="00696482" w:rsidRPr="00696482" w:rsidRDefault="00696482" w:rsidP="00696482">
      <w:pPr>
        <w:numPr>
          <w:ilvl w:val="0"/>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Who will provide the data?</w:t>
      </w:r>
      <w:r w:rsidRPr="00696482">
        <w:rPr>
          <w:rFonts w:ascii="Times New Roman" w:eastAsia="Times New Roman" w:hAnsi="Times New Roman" w:cs="Times New Roman"/>
          <w:szCs w:val="24"/>
        </w:rPr>
        <w:t xml:space="preserve"> Data will be extracted directly from the official portals of the State Bank of Pakistan (SBP), the Pakistan Stock Exchange (PSX), the World Bank database, and the audited financial statements published by the selected Islamic banks.</w:t>
      </w:r>
    </w:p>
    <w:p w14:paraId="3F2493EB" w14:textId="77777777" w:rsidR="00696482" w:rsidRPr="00696482" w:rsidRDefault="00696482" w:rsidP="00696482">
      <w:pPr>
        <w:numPr>
          <w:ilvl w:val="0"/>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Data collection method:</w:t>
      </w:r>
      <w:r w:rsidRPr="00696482">
        <w:rPr>
          <w:rFonts w:ascii="Times New Roman" w:eastAsia="Times New Roman" w:hAnsi="Times New Roman" w:cs="Times New Roman"/>
          <w:szCs w:val="24"/>
        </w:rPr>
        <w:t xml:space="preserve"> Secondary data extraction.</w:t>
      </w:r>
    </w:p>
    <w:p w14:paraId="38AA90E1" w14:textId="17CCAB7D" w:rsidR="00696482" w:rsidRPr="00696482" w:rsidRDefault="00696482" w:rsidP="00696482">
      <w:pPr>
        <w:numPr>
          <w:ilvl w:val="0"/>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From where will secondary data be taken? Mention 3-4 credible sources from literature:</w:t>
      </w:r>
      <w:r w:rsidRPr="00696482">
        <w:rPr>
          <w:rFonts w:ascii="Times New Roman" w:eastAsia="Times New Roman" w:hAnsi="Times New Roman" w:cs="Times New Roman"/>
          <w:szCs w:val="24"/>
        </w:rPr>
        <w:t xml:space="preserve"> </w:t>
      </w:r>
    </w:p>
    <w:p w14:paraId="794B84CB" w14:textId="1B1CBDD0"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1. SBP Financial Statement Analysis of the Financial Sector &amp; Islamic Banking Bulletins.</w:t>
      </w:r>
    </w:p>
    <w:p w14:paraId="61326B90"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2. World Bank Development Indicators (WDI) for macroeconomic data (Real GDP).</w:t>
      </w:r>
    </w:p>
    <w:p w14:paraId="66554B0D"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3. Audited Annual Financial Reports of the sampled banks.</w:t>
      </w:r>
    </w:p>
    <w:p w14:paraId="712D2675"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i/>
          <w:iCs/>
          <w:szCs w:val="24"/>
        </w:rPr>
        <w:t>Literature Justification:</w:t>
      </w:r>
      <w:r w:rsidRPr="00696482">
        <w:rPr>
          <w:rFonts w:ascii="Times New Roman" w:eastAsia="Times New Roman" w:hAnsi="Times New Roman" w:cs="Times New Roman"/>
          <w:szCs w:val="24"/>
        </w:rPr>
        <w:t xml:space="preserve"> This data collection method is strongly supported by recent empirical literature on Pakistani Islamic banks, specifically:</w:t>
      </w:r>
    </w:p>
    <w:p w14:paraId="6C29568E" w14:textId="77777777" w:rsidR="00696482" w:rsidRPr="00696482" w:rsidRDefault="00696482" w:rsidP="00696482">
      <w:pPr>
        <w:numPr>
          <w:ilvl w:val="1"/>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Khan, Muzammil, and Munawar (2023) - Used SBP and audited reports for ROA and NPF analysis.</w:t>
      </w:r>
    </w:p>
    <w:p w14:paraId="08EA6FC3" w14:textId="77777777" w:rsidR="00696482" w:rsidRPr="00696482" w:rsidRDefault="00696482" w:rsidP="00696482">
      <w:pPr>
        <w:numPr>
          <w:ilvl w:val="1"/>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Siddiqui, Khan, and Abbas (2024) - Utilized panel data from SBP for profitability determinants.</w:t>
      </w:r>
    </w:p>
    <w:p w14:paraId="24CE4E27" w14:textId="77777777" w:rsidR="00696482" w:rsidRPr="00696482" w:rsidRDefault="00696482" w:rsidP="00696482">
      <w:pPr>
        <w:numPr>
          <w:ilvl w:val="1"/>
          <w:numId w:val="13"/>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Habib-</w:t>
      </w:r>
      <w:proofErr w:type="spellStart"/>
      <w:r w:rsidRPr="00696482">
        <w:rPr>
          <w:rFonts w:ascii="Times New Roman" w:eastAsia="Times New Roman" w:hAnsi="Times New Roman" w:cs="Times New Roman"/>
          <w:szCs w:val="24"/>
        </w:rPr>
        <w:t>ur</w:t>
      </w:r>
      <w:proofErr w:type="spellEnd"/>
      <w:r w:rsidRPr="00696482">
        <w:rPr>
          <w:rFonts w:ascii="Times New Roman" w:eastAsia="Times New Roman" w:hAnsi="Times New Roman" w:cs="Times New Roman"/>
          <w:szCs w:val="24"/>
        </w:rPr>
        <w:t>-Rahman et al. (2020) - Used World Bank WDI for macroeconomic variables.</w:t>
      </w:r>
    </w:p>
    <w:p w14:paraId="1998FE7E"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8. Target Population</w:t>
      </w:r>
    </w:p>
    <w:p w14:paraId="1D67F6D3" w14:textId="77777777" w:rsidR="00696482" w:rsidRPr="00696482" w:rsidRDefault="00696482" w:rsidP="00696482">
      <w:pPr>
        <w:numPr>
          <w:ilvl w:val="0"/>
          <w:numId w:val="14"/>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Target Population = (Who) + (Where) + (Relevant Characteristic)</w:t>
      </w:r>
    </w:p>
    <w:p w14:paraId="3874C855" w14:textId="79E5AF65"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Islamic Banks (who) operating in Pakistan (where) under the strict regulatory framework of the State Bank of Pakistan (characteristic).</w:t>
      </w:r>
    </w:p>
    <w:p w14:paraId="733629E3" w14:textId="77777777" w:rsidR="00696482" w:rsidRPr="00696482" w:rsidRDefault="00696482" w:rsidP="00696482">
      <w:pPr>
        <w:numPr>
          <w:ilvl w:val="0"/>
          <w:numId w:val="14"/>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Inclusion criteria:</w:t>
      </w:r>
      <w:r w:rsidRPr="00696482">
        <w:rPr>
          <w:rFonts w:ascii="Times New Roman" w:eastAsia="Times New Roman" w:hAnsi="Times New Roman" w:cs="Times New Roman"/>
          <w:szCs w:val="24"/>
        </w:rPr>
        <w:t xml:space="preserve"> Only standalone, full-fledged Islamic banks listed on the PSX. Islamic windows of conventional banks and Non-Bank Financial Institutions (NBFIs) are strictly excluded to maintain homogeneity in capital structure and operational costs.</w:t>
      </w:r>
    </w:p>
    <w:p w14:paraId="7FF1CE77"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9. Sample Size (Tentative)</w:t>
      </w:r>
    </w:p>
    <w:p w14:paraId="7A8AA5BC" w14:textId="77777777" w:rsidR="00696482" w:rsidRPr="00696482" w:rsidRDefault="00696482" w:rsidP="00696482">
      <w:pPr>
        <w:numPr>
          <w:ilvl w:val="0"/>
          <w:numId w:val="15"/>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Sample Size:</w:t>
      </w:r>
      <w:r w:rsidRPr="00696482">
        <w:rPr>
          <w:rFonts w:ascii="Times New Roman" w:eastAsia="Times New Roman" w:hAnsi="Times New Roman" w:cs="Times New Roman"/>
          <w:szCs w:val="24"/>
        </w:rPr>
        <w:t xml:space="preserve"> 4 Banks (Meezan Bank, </w:t>
      </w:r>
      <w:proofErr w:type="spellStart"/>
      <w:r w:rsidRPr="00696482">
        <w:rPr>
          <w:rFonts w:ascii="Times New Roman" w:eastAsia="Times New Roman" w:hAnsi="Times New Roman" w:cs="Times New Roman"/>
          <w:szCs w:val="24"/>
        </w:rPr>
        <w:t>BankIslami</w:t>
      </w:r>
      <w:proofErr w:type="spellEnd"/>
      <w:r w:rsidRPr="00696482">
        <w:rPr>
          <w:rFonts w:ascii="Times New Roman" w:eastAsia="Times New Roman" w:hAnsi="Times New Roman" w:cs="Times New Roman"/>
          <w:szCs w:val="24"/>
        </w:rPr>
        <w:t>, Al Baraka Bank, Dubai Islamic Bank).</w:t>
      </w:r>
    </w:p>
    <w:p w14:paraId="34051CE7" w14:textId="77777777" w:rsidR="00696482" w:rsidRPr="00696482" w:rsidRDefault="00696482" w:rsidP="00696482">
      <w:pPr>
        <w:numPr>
          <w:ilvl w:val="0"/>
          <w:numId w:val="15"/>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Sampling Technique:</w:t>
      </w:r>
      <w:r w:rsidRPr="00696482">
        <w:rPr>
          <w:rFonts w:ascii="Times New Roman" w:eastAsia="Times New Roman" w:hAnsi="Times New Roman" w:cs="Times New Roman"/>
          <w:szCs w:val="24"/>
        </w:rPr>
        <w:t xml:space="preserve"> Non-Probability (Purposive Sampling).</w:t>
      </w:r>
    </w:p>
    <w:p w14:paraId="43328A48" w14:textId="77777777" w:rsidR="00696482" w:rsidRPr="00696482" w:rsidRDefault="00696482" w:rsidP="00696482">
      <w:pPr>
        <w:numPr>
          <w:ilvl w:val="0"/>
          <w:numId w:val="15"/>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Justification:</w:t>
      </w:r>
      <w:r w:rsidRPr="00696482">
        <w:rPr>
          <w:rFonts w:ascii="Times New Roman" w:eastAsia="Times New Roman" w:hAnsi="Times New Roman" w:cs="Times New Roman"/>
          <w:szCs w:val="24"/>
        </w:rPr>
        <w:t xml:space="preserve"> The 5% rule of thumb does not apply to macro-level banking sector studies. Purposive sampling is used to select all major full-fledged Islamic banks that have a complete and continuous 16-year data history (2010–2025) available. This yields 64 firm-year observations, which is statistically significant for panel data regression.</w:t>
      </w:r>
    </w:p>
    <w:p w14:paraId="04EFC720"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lastRenderedPageBreak/>
        <w:t>10. Data Collection Instrument</w:t>
      </w:r>
    </w:p>
    <w:p w14:paraId="7DB6B75D"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Quantitative (Structured Data Extraction Matrix in Microsoft Excel)</w:t>
      </w:r>
    </w:p>
    <w:p w14:paraId="65A5797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Qualitative</w:t>
      </w:r>
    </w:p>
    <w:p w14:paraId="183104A0"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Mixed</w:t>
      </w:r>
    </w:p>
    <w:p w14:paraId="2B8B2B6B"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11. Variables</w:t>
      </w:r>
    </w:p>
    <w:p w14:paraId="150D71AE" w14:textId="77777777" w:rsidR="00696482" w:rsidRPr="00696482" w:rsidRDefault="00696482" w:rsidP="00696482">
      <w:pPr>
        <w:numPr>
          <w:ilvl w:val="0"/>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Dependent Variable (DV):</w:t>
      </w:r>
      <w:r w:rsidRPr="00696482">
        <w:rPr>
          <w:rFonts w:ascii="Times New Roman" w:eastAsia="Times New Roman" w:hAnsi="Times New Roman" w:cs="Times New Roman"/>
          <w:szCs w:val="24"/>
        </w:rPr>
        <w:t xml:space="preserve"> Financial Performance (Proxied by Return on Assets: Net Income / Total Assets)</w:t>
      </w:r>
    </w:p>
    <w:p w14:paraId="3FCED077" w14:textId="77777777" w:rsidR="00696482" w:rsidRPr="00696482" w:rsidRDefault="00696482" w:rsidP="00696482">
      <w:pPr>
        <w:numPr>
          <w:ilvl w:val="0"/>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Independent Variables (IV):</w:t>
      </w:r>
    </w:p>
    <w:p w14:paraId="7C203E2B" w14:textId="77777777" w:rsidR="00696482" w:rsidRPr="00696482" w:rsidRDefault="00696482" w:rsidP="00696482">
      <w:pPr>
        <w:numPr>
          <w:ilvl w:val="1"/>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Capital Adequacy (Proxied by CAR: Regulatory Capital / Risk-Weighted Assets)</w:t>
      </w:r>
    </w:p>
    <w:p w14:paraId="7BFDE8C2" w14:textId="77777777" w:rsidR="00696482" w:rsidRPr="00696482" w:rsidRDefault="00696482" w:rsidP="00696482">
      <w:pPr>
        <w:numPr>
          <w:ilvl w:val="1"/>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Credit Risk (Proxied by NPF Ratio: Non-Performing Financing / Gross Financing)</w:t>
      </w:r>
    </w:p>
    <w:p w14:paraId="56D76578" w14:textId="77777777" w:rsidR="00696482" w:rsidRPr="00696482" w:rsidRDefault="00696482" w:rsidP="00696482">
      <w:pPr>
        <w:numPr>
          <w:ilvl w:val="1"/>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Cost Efficiency (Proxied by Cost-to-Income Ratio: Operating Expenses / Operating Income)</w:t>
      </w:r>
    </w:p>
    <w:p w14:paraId="205C8456" w14:textId="77777777" w:rsidR="00696482" w:rsidRPr="00696482" w:rsidRDefault="00696482" w:rsidP="00696482">
      <w:pPr>
        <w:numPr>
          <w:ilvl w:val="1"/>
          <w:numId w:val="16"/>
        </w:num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Macroeconomic Environment (Proxied by Real GDP Growth: Annual percentage change)</w:t>
      </w:r>
    </w:p>
    <w:p w14:paraId="184DA59F"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12. Time Horizon</w:t>
      </w:r>
    </w:p>
    <w:p w14:paraId="75D77816"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Cross sectional</w:t>
      </w:r>
    </w:p>
    <w:p w14:paraId="6626CE17"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Time-series</w:t>
      </w:r>
    </w:p>
    <w:p w14:paraId="79BD29FC"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Panel or longitudinal (Observations collected over a 16-year continuous period, from 2010 to 2025, for multiple entities).</w:t>
      </w:r>
    </w:p>
    <w:p w14:paraId="69009C6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13. Econometric Model</w:t>
      </w:r>
    </w:p>
    <w:p w14:paraId="577C54E9"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Regression (Panel Data Regression using OLS, Fixed Effects, or Random Effects based on diagnostic testing)</w:t>
      </w:r>
    </w:p>
    <w:p w14:paraId="57D24B68"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Other</w:t>
      </w:r>
    </w:p>
    <w:p w14:paraId="39A3A9AD"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t>14. Data Analysis Technique</w:t>
      </w:r>
    </w:p>
    <w:p w14:paraId="56B123F8"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highlight w:val="yellow"/>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STATA</w:t>
      </w:r>
    </w:p>
    <w:p w14:paraId="64BDBDEE"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highlight w:val="yellow"/>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E-Views</w:t>
      </w:r>
    </w:p>
    <w:p w14:paraId="5E2C2F52"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highlight w:val="yellow"/>
        </w:rPr>
        <w:t>☑</w:t>
      </w:r>
      <w:r w:rsidRPr="00696482">
        <w:rPr>
          <w:rFonts w:ascii="Times New Roman" w:eastAsia="Times New Roman" w:hAnsi="Times New Roman" w:cs="Times New Roman"/>
          <w:szCs w:val="24"/>
          <w:highlight w:val="yellow"/>
        </w:rPr>
        <w:t xml:space="preserve"> Excel</w:t>
      </w:r>
    </w:p>
    <w:p w14:paraId="60205127"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PLS –SEM</w:t>
      </w:r>
    </w:p>
    <w:p w14:paraId="52D62261"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Segoe UI Symbol" w:eastAsia="Times New Roman" w:hAnsi="Segoe UI Symbol" w:cs="Segoe UI Symbol"/>
          <w:szCs w:val="24"/>
        </w:rPr>
        <w:t>☐</w:t>
      </w:r>
      <w:r w:rsidRPr="00696482">
        <w:rPr>
          <w:rFonts w:ascii="Times New Roman" w:eastAsia="Times New Roman" w:hAnsi="Times New Roman" w:cs="Times New Roman"/>
          <w:szCs w:val="24"/>
        </w:rPr>
        <w:t xml:space="preserve"> N-Vivo</w:t>
      </w:r>
    </w:p>
    <w:p w14:paraId="7BF1BB93"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b/>
          <w:bCs/>
          <w:szCs w:val="24"/>
        </w:rPr>
        <w:lastRenderedPageBreak/>
        <w:t>15. Ethical Considerations</w:t>
      </w:r>
    </w:p>
    <w:p w14:paraId="03B5FC87"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r w:rsidRPr="00696482">
        <w:rPr>
          <w:rFonts w:ascii="Times New Roman" w:eastAsia="Times New Roman" w:hAnsi="Times New Roman" w:cs="Times New Roman"/>
          <w:szCs w:val="24"/>
        </w:rPr>
        <w:t>The study relies entirely on publicly available, legally mandated, and independently audited financial statements and official macroeconomic indicators. This ensures complete transparency, objectivity, and eliminates confidentiality or consent issues associated with primary data.</w:t>
      </w:r>
    </w:p>
    <w:p w14:paraId="01E22C9D" w14:textId="77777777" w:rsidR="00696482" w:rsidRPr="00696482" w:rsidRDefault="00696482" w:rsidP="00696482">
      <w:pPr>
        <w:spacing w:before="100" w:beforeAutospacing="1" w:after="100" w:afterAutospacing="1" w:line="240" w:lineRule="auto"/>
        <w:rPr>
          <w:rFonts w:ascii="Times New Roman" w:eastAsia="Times New Roman" w:hAnsi="Times New Roman" w:cs="Times New Roman"/>
          <w:szCs w:val="24"/>
        </w:rPr>
      </w:pPr>
    </w:p>
    <w:sectPr w:rsidR="00696482" w:rsidRPr="00696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D1E"/>
    <w:multiLevelType w:val="hybridMultilevel"/>
    <w:tmpl w:val="2CBCA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DF086C"/>
    <w:multiLevelType w:val="multilevel"/>
    <w:tmpl w:val="A554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A4EAC"/>
    <w:multiLevelType w:val="multilevel"/>
    <w:tmpl w:val="A49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60F57"/>
    <w:multiLevelType w:val="multilevel"/>
    <w:tmpl w:val="7916A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3730"/>
    <w:multiLevelType w:val="hybridMultilevel"/>
    <w:tmpl w:val="BEE63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E6B79"/>
    <w:multiLevelType w:val="multilevel"/>
    <w:tmpl w:val="C1B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765AC"/>
    <w:multiLevelType w:val="hybridMultilevel"/>
    <w:tmpl w:val="A1C2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082886"/>
    <w:multiLevelType w:val="multilevel"/>
    <w:tmpl w:val="AEE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70199"/>
    <w:multiLevelType w:val="multilevel"/>
    <w:tmpl w:val="DA4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81458"/>
    <w:multiLevelType w:val="hybridMultilevel"/>
    <w:tmpl w:val="5470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D0514"/>
    <w:multiLevelType w:val="hybridMultilevel"/>
    <w:tmpl w:val="DDEA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64530D"/>
    <w:multiLevelType w:val="hybridMultilevel"/>
    <w:tmpl w:val="CBB6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DB61EA"/>
    <w:multiLevelType w:val="multilevel"/>
    <w:tmpl w:val="3B6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15BBA"/>
    <w:multiLevelType w:val="hybridMultilevel"/>
    <w:tmpl w:val="63DC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B7F6E"/>
    <w:multiLevelType w:val="multilevel"/>
    <w:tmpl w:val="F83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E3DF4"/>
    <w:multiLevelType w:val="multilevel"/>
    <w:tmpl w:val="091CF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819123">
    <w:abstractNumId w:val="8"/>
  </w:num>
  <w:num w:numId="2" w16cid:durableId="758990211">
    <w:abstractNumId w:val="12"/>
  </w:num>
  <w:num w:numId="3" w16cid:durableId="1496457802">
    <w:abstractNumId w:val="0"/>
  </w:num>
  <w:num w:numId="4" w16cid:durableId="2053461076">
    <w:abstractNumId w:val="11"/>
  </w:num>
  <w:num w:numId="5" w16cid:durableId="568227851">
    <w:abstractNumId w:val="4"/>
  </w:num>
  <w:num w:numId="6" w16cid:durableId="1940605627">
    <w:abstractNumId w:val="6"/>
  </w:num>
  <w:num w:numId="7" w16cid:durableId="250285262">
    <w:abstractNumId w:val="13"/>
  </w:num>
  <w:num w:numId="8" w16cid:durableId="271668376">
    <w:abstractNumId w:val="9"/>
  </w:num>
  <w:num w:numId="9" w16cid:durableId="278031340">
    <w:abstractNumId w:val="10"/>
  </w:num>
  <w:num w:numId="10" w16cid:durableId="349571897">
    <w:abstractNumId w:val="14"/>
  </w:num>
  <w:num w:numId="11" w16cid:durableId="267662326">
    <w:abstractNumId w:val="5"/>
  </w:num>
  <w:num w:numId="12" w16cid:durableId="1079251118">
    <w:abstractNumId w:val="1"/>
  </w:num>
  <w:num w:numId="13" w16cid:durableId="1215585157">
    <w:abstractNumId w:val="3"/>
  </w:num>
  <w:num w:numId="14" w16cid:durableId="125051579">
    <w:abstractNumId w:val="7"/>
  </w:num>
  <w:num w:numId="15" w16cid:durableId="1891916455">
    <w:abstractNumId w:val="2"/>
  </w:num>
  <w:num w:numId="16" w16cid:durableId="82529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5FE"/>
    <w:rsid w:val="00015F4B"/>
    <w:rsid w:val="00022F59"/>
    <w:rsid w:val="00032D74"/>
    <w:rsid w:val="00040BF3"/>
    <w:rsid w:val="000714CF"/>
    <w:rsid w:val="0008374B"/>
    <w:rsid w:val="000C56E8"/>
    <w:rsid w:val="00115D62"/>
    <w:rsid w:val="001A1843"/>
    <w:rsid w:val="002532B4"/>
    <w:rsid w:val="00256B66"/>
    <w:rsid w:val="002A2FE7"/>
    <w:rsid w:val="002E01FC"/>
    <w:rsid w:val="003403E9"/>
    <w:rsid w:val="0034538D"/>
    <w:rsid w:val="00382CF6"/>
    <w:rsid w:val="003A4D8D"/>
    <w:rsid w:val="003C7D4E"/>
    <w:rsid w:val="00420BFE"/>
    <w:rsid w:val="0044784A"/>
    <w:rsid w:val="00450674"/>
    <w:rsid w:val="00471401"/>
    <w:rsid w:val="004C2234"/>
    <w:rsid w:val="004D368B"/>
    <w:rsid w:val="00527AD4"/>
    <w:rsid w:val="005465FE"/>
    <w:rsid w:val="00561CB1"/>
    <w:rsid w:val="005B1D15"/>
    <w:rsid w:val="005C48A9"/>
    <w:rsid w:val="005E3531"/>
    <w:rsid w:val="005F5F74"/>
    <w:rsid w:val="00611462"/>
    <w:rsid w:val="006215F7"/>
    <w:rsid w:val="006638E1"/>
    <w:rsid w:val="00666267"/>
    <w:rsid w:val="00696482"/>
    <w:rsid w:val="006D2670"/>
    <w:rsid w:val="006E09E6"/>
    <w:rsid w:val="007A0B38"/>
    <w:rsid w:val="007B7347"/>
    <w:rsid w:val="007C3185"/>
    <w:rsid w:val="007E665E"/>
    <w:rsid w:val="007F12C8"/>
    <w:rsid w:val="00861474"/>
    <w:rsid w:val="00871347"/>
    <w:rsid w:val="008F5CA6"/>
    <w:rsid w:val="00922C02"/>
    <w:rsid w:val="00923E53"/>
    <w:rsid w:val="00942E0B"/>
    <w:rsid w:val="009B6E77"/>
    <w:rsid w:val="009C3304"/>
    <w:rsid w:val="009C6C12"/>
    <w:rsid w:val="00A13338"/>
    <w:rsid w:val="00A815A0"/>
    <w:rsid w:val="00AB4840"/>
    <w:rsid w:val="00AE2C68"/>
    <w:rsid w:val="00B32589"/>
    <w:rsid w:val="00B83133"/>
    <w:rsid w:val="00B906D8"/>
    <w:rsid w:val="00B97B61"/>
    <w:rsid w:val="00BD5002"/>
    <w:rsid w:val="00C42E94"/>
    <w:rsid w:val="00C478B6"/>
    <w:rsid w:val="00C62D46"/>
    <w:rsid w:val="00C75CFC"/>
    <w:rsid w:val="00CB0DF1"/>
    <w:rsid w:val="00D62BF7"/>
    <w:rsid w:val="00D9012E"/>
    <w:rsid w:val="00DB0AAA"/>
    <w:rsid w:val="00DB2598"/>
    <w:rsid w:val="00DC3BF6"/>
    <w:rsid w:val="00E36790"/>
    <w:rsid w:val="00E77656"/>
    <w:rsid w:val="00ED3BD1"/>
    <w:rsid w:val="00F5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73BA"/>
  <w15:chartTrackingRefBased/>
  <w15:docId w15:val="{0CBEAC7C-982D-4CB7-945C-AD505251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CFC"/>
    <w:pPr>
      <w:ind w:left="720"/>
      <w:contextualSpacing/>
    </w:pPr>
  </w:style>
  <w:style w:type="paragraph" w:styleId="NormalWeb">
    <w:name w:val="Normal (Web)"/>
    <w:basedOn w:val="Normal"/>
    <w:uiPriority w:val="99"/>
    <w:unhideWhenUsed/>
    <w:rsid w:val="00A133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37">
      <w:bodyDiv w:val="1"/>
      <w:marLeft w:val="0"/>
      <w:marRight w:val="0"/>
      <w:marTop w:val="0"/>
      <w:marBottom w:val="0"/>
      <w:divBdr>
        <w:top w:val="none" w:sz="0" w:space="0" w:color="auto"/>
        <w:left w:val="none" w:sz="0" w:space="0" w:color="auto"/>
        <w:bottom w:val="none" w:sz="0" w:space="0" w:color="auto"/>
        <w:right w:val="none" w:sz="0" w:space="0" w:color="auto"/>
      </w:divBdr>
    </w:div>
    <w:div w:id="189536348">
      <w:bodyDiv w:val="1"/>
      <w:marLeft w:val="0"/>
      <w:marRight w:val="0"/>
      <w:marTop w:val="0"/>
      <w:marBottom w:val="0"/>
      <w:divBdr>
        <w:top w:val="none" w:sz="0" w:space="0" w:color="auto"/>
        <w:left w:val="none" w:sz="0" w:space="0" w:color="auto"/>
        <w:bottom w:val="none" w:sz="0" w:space="0" w:color="auto"/>
        <w:right w:val="none" w:sz="0" w:space="0" w:color="auto"/>
      </w:divBdr>
      <w:divsChild>
        <w:div w:id="10061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80862">
      <w:bodyDiv w:val="1"/>
      <w:marLeft w:val="0"/>
      <w:marRight w:val="0"/>
      <w:marTop w:val="0"/>
      <w:marBottom w:val="0"/>
      <w:divBdr>
        <w:top w:val="none" w:sz="0" w:space="0" w:color="auto"/>
        <w:left w:val="none" w:sz="0" w:space="0" w:color="auto"/>
        <w:bottom w:val="none" w:sz="0" w:space="0" w:color="auto"/>
        <w:right w:val="none" w:sz="0" w:space="0" w:color="auto"/>
      </w:divBdr>
    </w:div>
    <w:div w:id="5772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Umair Solangi</cp:lastModifiedBy>
  <cp:revision>4</cp:revision>
  <dcterms:created xsi:type="dcterms:W3CDTF">2026-03-02T17:11:00Z</dcterms:created>
  <dcterms:modified xsi:type="dcterms:W3CDTF">2026-03-10T09:34:00Z</dcterms:modified>
</cp:coreProperties>
</file>