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3E37" w:rsidRDefault="00CC3E37" w:rsidP="00CC3E37">
      <w:pPr>
        <w:rPr>
          <w:lang w:val="fo-FO"/>
        </w:rPr>
      </w:pPr>
      <w:r w:rsidRPr="00F914A3">
        <w:rPr>
          <w:lang w:val="sv-SE"/>
        </w:rPr>
        <w:t xml:space="preserve">Afgørelsen om at bruge Java og RMI er sandsynligvis taget pga. </w:t>
      </w:r>
      <w:r>
        <w:rPr>
          <w:lang w:val="sv-SE"/>
        </w:rPr>
        <w:t>virksomheden i forvejen anvender</w:t>
      </w:r>
      <w:r>
        <w:rPr>
          <w:lang w:val="fo-FO"/>
        </w:rPr>
        <w:t xml:space="preserve"> Java, og dens medarbejdere har kompetence til at udvikle i Java. Derfor er denne beslutning en Excecutive decision. </w:t>
      </w:r>
    </w:p>
    <w:p w:rsidR="00CC3E37" w:rsidRDefault="00CC3E37" w:rsidP="00CC3E37">
      <w:pPr>
        <w:rPr>
          <w:lang w:val="fo-FO"/>
        </w:rPr>
      </w:pPr>
      <w:r>
        <w:rPr>
          <w:lang w:val="fo-FO"/>
        </w:rPr>
        <w:t xml:space="preserve">Det er besluttet at bruge metoderne fra Bass et al. Denne beslutning er igen en beslutning som må forventes bygger på at arkitekten har gode erfaringer med denne metode. Med andre ord er det tvivlsomt om man ville nå væsentligt andre kvaliteter hvis man havde brugt andre metoder. Denne beslutning er også en Excecutive decision. </w:t>
      </w:r>
    </w:p>
    <w:p w:rsidR="00CC3E37" w:rsidRDefault="00CC3E37" w:rsidP="00CC3E37">
      <w:pPr>
        <w:rPr>
          <w:lang w:val="fo-FO"/>
        </w:rPr>
      </w:pPr>
      <w:r>
        <w:rPr>
          <w:lang w:val="fo-FO"/>
        </w:rPr>
        <w:t xml:space="preserve">Afgørelsen om at altid programmere mod et interface er en (structural) Existence decision, hvor det er fastlagt at man altid skal følge et bestemt programmeringsmønster. </w:t>
      </w:r>
    </w:p>
    <w:p w:rsidR="00CC3E37" w:rsidRPr="00F914A3" w:rsidRDefault="00CC3E37" w:rsidP="00CC3E37">
      <w:pPr>
        <w:rPr>
          <w:lang w:val="fo-FO"/>
        </w:rPr>
      </w:pPr>
      <w:r>
        <w:rPr>
          <w:lang w:val="fo-FO"/>
        </w:rPr>
        <w:t>Den sidste afgørelse om at der ikke må være nogen nodes som enten er server eller client, er en Non-existence afgørelse, som er det omvendte af en Existence decision. Denne afgørelse kunne altså omskrives til følgende Existence afgørelse: “alle nodes skal være både klient og server”.</w:t>
      </w:r>
    </w:p>
    <w:p w:rsidR="00CC3E37" w:rsidRPr="006D4B00" w:rsidRDefault="00CC3E37" w:rsidP="00CC3E37">
      <w:pPr>
        <w:rPr>
          <w:b/>
          <w:lang w:val="en-US"/>
        </w:rPr>
      </w:pPr>
      <w:r w:rsidRPr="00F914A3">
        <w:rPr>
          <w:b/>
          <w:lang w:val="sv-SE"/>
        </w:rPr>
        <w:t xml:space="preserve"> </w:t>
      </w:r>
      <w:r>
        <w:rPr>
          <w:b/>
          <w:lang w:val="en-US"/>
        </w:rPr>
        <w:t>“</w:t>
      </w:r>
      <w:r w:rsidRPr="006D4B00">
        <w:rPr>
          <w:b/>
          <w:lang w:val="en-US"/>
        </w:rPr>
        <w:t>Using one of the decisions as an illustration, use the template of Tyree and Akerman (2005) to document it (as far as possible)</w:t>
      </w:r>
      <w:r>
        <w:rPr>
          <w:b/>
          <w:lang w:val="en-US"/>
        </w:rPr>
        <w:t>”:</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ook w:val="04A0"/>
      </w:tblPr>
      <w:tblGrid>
        <w:gridCol w:w="2988"/>
        <w:gridCol w:w="2700"/>
      </w:tblGrid>
      <w:tr w:rsidR="00CC3E37" w:rsidRPr="00E31761" w:rsidTr="00E971F0">
        <w:tc>
          <w:tcPr>
            <w:tcW w:w="2988" w:type="dxa"/>
            <w:tcBorders>
              <w:top w:val="single" w:sz="12" w:space="0" w:color="000000"/>
              <w:bottom w:val="single" w:sz="12" w:space="0" w:color="000000"/>
            </w:tcBorders>
            <w:shd w:val="clear" w:color="auto" w:fill="C2D69B"/>
          </w:tcPr>
          <w:p w:rsidR="00CC3E37" w:rsidRPr="00E31761" w:rsidRDefault="00CC3E37" w:rsidP="00E971F0">
            <w:pPr>
              <w:spacing w:after="0" w:line="240" w:lineRule="auto"/>
              <w:rPr>
                <w:b/>
                <w:bCs/>
                <w:color w:val="5F497A"/>
                <w:sz w:val="16"/>
                <w:szCs w:val="16"/>
              </w:rPr>
            </w:pPr>
          </w:p>
        </w:tc>
        <w:tc>
          <w:tcPr>
            <w:tcW w:w="2700" w:type="dxa"/>
            <w:tcBorders>
              <w:top w:val="single" w:sz="12" w:space="0" w:color="000000"/>
              <w:bottom w:val="single" w:sz="12" w:space="0" w:color="000000"/>
            </w:tcBorders>
            <w:shd w:val="clear" w:color="auto" w:fill="C2D69B"/>
          </w:tcPr>
          <w:p w:rsidR="00CC3E37" w:rsidRPr="00E31761" w:rsidRDefault="00CC3E37" w:rsidP="00E971F0">
            <w:pPr>
              <w:spacing w:after="0" w:line="240" w:lineRule="auto"/>
              <w:rPr>
                <w:b/>
                <w:bCs/>
                <w:color w:val="5F497A"/>
                <w:sz w:val="16"/>
                <w:szCs w:val="16"/>
              </w:rPr>
            </w:pPr>
          </w:p>
        </w:tc>
      </w:tr>
      <w:tr w:rsidR="00CC3E37" w:rsidRPr="008E0406" w:rsidTr="00E971F0">
        <w:tc>
          <w:tcPr>
            <w:tcW w:w="2988" w:type="dxa"/>
            <w:tcBorders>
              <w:top w:val="single" w:sz="12" w:space="0" w:color="000000"/>
            </w:tcBorders>
          </w:tcPr>
          <w:p w:rsidR="00CC3E37" w:rsidRPr="00E31761" w:rsidRDefault="00CC3E37" w:rsidP="00E971F0">
            <w:pPr>
              <w:spacing w:after="0" w:line="240" w:lineRule="auto"/>
              <w:rPr>
                <w:bCs/>
                <w:color w:val="5F497A"/>
                <w:sz w:val="16"/>
                <w:szCs w:val="16"/>
              </w:rPr>
            </w:pPr>
            <w:r>
              <w:rPr>
                <w:bCs/>
                <w:color w:val="5F497A"/>
                <w:sz w:val="16"/>
                <w:szCs w:val="16"/>
              </w:rPr>
              <w:t>Issue</w:t>
            </w:r>
          </w:p>
        </w:tc>
        <w:tc>
          <w:tcPr>
            <w:tcW w:w="2700" w:type="dxa"/>
            <w:tcBorders>
              <w:top w:val="single" w:sz="12" w:space="0" w:color="000000"/>
            </w:tcBorders>
          </w:tcPr>
          <w:p w:rsidR="00CC3E37" w:rsidRPr="00E31761" w:rsidRDefault="00CC3E37" w:rsidP="00E971F0">
            <w:pPr>
              <w:spacing w:after="0" w:line="240" w:lineRule="auto"/>
              <w:rPr>
                <w:bCs/>
                <w:color w:val="5F497A"/>
                <w:sz w:val="16"/>
                <w:szCs w:val="16"/>
              </w:rPr>
            </w:pPr>
            <w:r>
              <w:rPr>
                <w:bCs/>
                <w:color w:val="5F497A"/>
                <w:sz w:val="16"/>
                <w:szCs w:val="16"/>
              </w:rPr>
              <w:t>Omkostningerne ved ændringer i et system kan let blive store.</w:t>
            </w:r>
          </w:p>
        </w:tc>
      </w:tr>
      <w:tr w:rsidR="00CC3E37" w:rsidRPr="00EE7E2F" w:rsidTr="00E971F0">
        <w:tc>
          <w:tcPr>
            <w:tcW w:w="2988" w:type="dxa"/>
          </w:tcPr>
          <w:p w:rsidR="00CC3E37" w:rsidRPr="00E31761" w:rsidRDefault="00CC3E37" w:rsidP="00E971F0">
            <w:pPr>
              <w:spacing w:after="0" w:line="240" w:lineRule="auto"/>
              <w:rPr>
                <w:bCs/>
                <w:color w:val="5F497A"/>
                <w:sz w:val="16"/>
                <w:szCs w:val="16"/>
              </w:rPr>
            </w:pPr>
            <w:r>
              <w:rPr>
                <w:bCs/>
                <w:color w:val="5F497A"/>
                <w:sz w:val="16"/>
                <w:szCs w:val="16"/>
              </w:rPr>
              <w:t>Decision</w:t>
            </w:r>
          </w:p>
        </w:tc>
        <w:tc>
          <w:tcPr>
            <w:tcW w:w="2700" w:type="dxa"/>
          </w:tcPr>
          <w:p w:rsidR="00CC3E37" w:rsidRPr="00EE7E2F" w:rsidRDefault="00CC3E37" w:rsidP="00E971F0">
            <w:pPr>
              <w:spacing w:after="0" w:line="240" w:lineRule="auto"/>
              <w:rPr>
                <w:bCs/>
                <w:color w:val="5F497A"/>
                <w:sz w:val="16"/>
                <w:szCs w:val="16"/>
              </w:rPr>
            </w:pPr>
            <w:r>
              <w:rPr>
                <w:bCs/>
                <w:color w:val="5F497A"/>
                <w:sz w:val="16"/>
                <w:szCs w:val="16"/>
              </w:rPr>
              <w:t xml:space="preserve">Der skal altid programmeres op mod et interface, hvor det er muligt. </w:t>
            </w:r>
          </w:p>
        </w:tc>
      </w:tr>
      <w:tr w:rsidR="00CC3E37" w:rsidRPr="00EE7E2F" w:rsidTr="00E971F0">
        <w:tc>
          <w:tcPr>
            <w:tcW w:w="2988" w:type="dxa"/>
          </w:tcPr>
          <w:p w:rsidR="00CC3E37" w:rsidRPr="00E31761" w:rsidRDefault="00CC3E37" w:rsidP="00E971F0">
            <w:pPr>
              <w:spacing w:after="0" w:line="240" w:lineRule="auto"/>
              <w:rPr>
                <w:bCs/>
                <w:color w:val="5F497A"/>
                <w:sz w:val="16"/>
                <w:szCs w:val="16"/>
              </w:rPr>
            </w:pPr>
            <w:r>
              <w:rPr>
                <w:bCs/>
                <w:color w:val="5F497A"/>
                <w:sz w:val="16"/>
                <w:szCs w:val="16"/>
              </w:rPr>
              <w:t>Status</w:t>
            </w:r>
          </w:p>
        </w:tc>
        <w:tc>
          <w:tcPr>
            <w:tcW w:w="2700" w:type="dxa"/>
          </w:tcPr>
          <w:p w:rsidR="00CC3E37" w:rsidRPr="00E31761" w:rsidRDefault="00CC3E37" w:rsidP="00E971F0">
            <w:pPr>
              <w:spacing w:after="0" w:line="240" w:lineRule="auto"/>
              <w:rPr>
                <w:bCs/>
                <w:color w:val="5F497A"/>
                <w:sz w:val="16"/>
                <w:szCs w:val="16"/>
              </w:rPr>
            </w:pPr>
            <w:r>
              <w:rPr>
                <w:bCs/>
                <w:color w:val="5F497A"/>
                <w:sz w:val="16"/>
                <w:szCs w:val="16"/>
              </w:rPr>
              <w:t>Vedtaget.</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Grouping</w:t>
            </w:r>
          </w:p>
        </w:tc>
        <w:tc>
          <w:tcPr>
            <w:tcW w:w="2700" w:type="dxa"/>
          </w:tcPr>
          <w:p w:rsidR="00CC3E37" w:rsidRDefault="00CC3E37" w:rsidP="00E971F0">
            <w:pPr>
              <w:spacing w:after="0" w:line="240" w:lineRule="auto"/>
              <w:rPr>
                <w:bCs/>
                <w:color w:val="5F497A"/>
                <w:sz w:val="16"/>
                <w:szCs w:val="16"/>
              </w:rPr>
            </w:pPr>
            <w:r>
              <w:rPr>
                <w:bCs/>
                <w:color w:val="5F497A"/>
                <w:sz w:val="16"/>
                <w:szCs w:val="16"/>
              </w:rPr>
              <w:t>Modifiability</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Assumptions</w:t>
            </w:r>
          </w:p>
        </w:tc>
        <w:tc>
          <w:tcPr>
            <w:tcW w:w="2700" w:type="dxa"/>
          </w:tcPr>
          <w:p w:rsidR="00CC3E37" w:rsidRDefault="00CC3E37" w:rsidP="00E971F0">
            <w:pPr>
              <w:spacing w:after="0" w:line="240" w:lineRule="auto"/>
              <w:rPr>
                <w:bCs/>
                <w:color w:val="5F497A"/>
                <w:sz w:val="16"/>
                <w:szCs w:val="16"/>
              </w:rPr>
            </w:pPr>
            <w:r>
              <w:rPr>
                <w:bCs/>
                <w:color w:val="5F497A"/>
                <w:sz w:val="16"/>
                <w:szCs w:val="16"/>
              </w:rPr>
              <w:t xml:space="preserve">Det må ikke tage væsentligt længere tid at programmere op mod interfaces i forhold til direkte mod objekterne. </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Constraints</w:t>
            </w:r>
          </w:p>
        </w:tc>
        <w:tc>
          <w:tcPr>
            <w:tcW w:w="2700" w:type="dxa"/>
          </w:tcPr>
          <w:p w:rsidR="00CC3E37" w:rsidRDefault="00CC3E37" w:rsidP="00E971F0">
            <w:pPr>
              <w:spacing w:after="0" w:line="240" w:lineRule="auto"/>
              <w:rPr>
                <w:bCs/>
                <w:color w:val="5F497A"/>
                <w:sz w:val="16"/>
                <w:szCs w:val="16"/>
              </w:rPr>
            </w:pPr>
            <w:r>
              <w:rPr>
                <w:bCs/>
                <w:color w:val="5F497A"/>
                <w:sz w:val="16"/>
                <w:szCs w:val="16"/>
              </w:rPr>
              <w:t>Ingen</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Positions</w:t>
            </w:r>
          </w:p>
        </w:tc>
        <w:tc>
          <w:tcPr>
            <w:tcW w:w="2700" w:type="dxa"/>
          </w:tcPr>
          <w:p w:rsidR="00CC3E37" w:rsidRDefault="00CC3E37" w:rsidP="00E971F0">
            <w:pPr>
              <w:spacing w:after="0" w:line="240" w:lineRule="auto"/>
              <w:rPr>
                <w:bCs/>
                <w:color w:val="5F497A"/>
                <w:sz w:val="16"/>
                <w:szCs w:val="16"/>
              </w:rPr>
            </w:pPr>
            <w:r>
              <w:rPr>
                <w:bCs/>
                <w:color w:val="5F497A"/>
                <w:sz w:val="16"/>
                <w:szCs w:val="16"/>
              </w:rPr>
              <w:t>Programmere direkte op mod klasser.</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Argument</w:t>
            </w:r>
          </w:p>
        </w:tc>
        <w:tc>
          <w:tcPr>
            <w:tcW w:w="2700" w:type="dxa"/>
          </w:tcPr>
          <w:p w:rsidR="00CC3E37" w:rsidRDefault="00CC3E37" w:rsidP="00E971F0">
            <w:pPr>
              <w:spacing w:after="0" w:line="240" w:lineRule="auto"/>
              <w:rPr>
                <w:bCs/>
                <w:color w:val="5F497A"/>
                <w:sz w:val="16"/>
                <w:szCs w:val="16"/>
              </w:rPr>
            </w:pPr>
            <w:r>
              <w:rPr>
                <w:bCs/>
                <w:color w:val="5F497A"/>
                <w:sz w:val="16"/>
                <w:szCs w:val="16"/>
              </w:rPr>
              <w:t>Kunne undlade at bruge interfaces, og programmere direkte op mod klasser, men ved at bruge interfaces får vi en løsere kobling mellem klasserne.</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Implications</w:t>
            </w:r>
          </w:p>
        </w:tc>
        <w:tc>
          <w:tcPr>
            <w:tcW w:w="2700" w:type="dxa"/>
          </w:tcPr>
          <w:p w:rsidR="00CC3E37" w:rsidRDefault="00CC3E37" w:rsidP="00E971F0">
            <w:pPr>
              <w:spacing w:after="0" w:line="240" w:lineRule="auto"/>
              <w:rPr>
                <w:bCs/>
                <w:color w:val="5F497A"/>
                <w:sz w:val="16"/>
                <w:szCs w:val="16"/>
              </w:rPr>
            </w:pPr>
            <w:r>
              <w:rPr>
                <w:bCs/>
                <w:color w:val="5F497A"/>
                <w:sz w:val="16"/>
                <w:szCs w:val="16"/>
              </w:rPr>
              <w:t xml:space="preserve">Det kan have en inflydelse på COTS produkter og eventuelle frameworks hvis disse benytter sig af reflection. </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Ralated decisions</w:t>
            </w:r>
          </w:p>
        </w:tc>
        <w:tc>
          <w:tcPr>
            <w:tcW w:w="2700" w:type="dxa"/>
          </w:tcPr>
          <w:p w:rsidR="00CC3E37" w:rsidRDefault="00CC3E37" w:rsidP="00E971F0">
            <w:pPr>
              <w:spacing w:after="0" w:line="240" w:lineRule="auto"/>
              <w:rPr>
                <w:bCs/>
                <w:color w:val="5F497A"/>
                <w:sz w:val="16"/>
                <w:szCs w:val="16"/>
              </w:rPr>
            </w:pPr>
            <w:r>
              <w:rPr>
                <w:bCs/>
                <w:color w:val="5F497A"/>
                <w:sz w:val="16"/>
                <w:szCs w:val="16"/>
              </w:rPr>
              <w:t>Ingen</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Related requirements</w:t>
            </w:r>
          </w:p>
        </w:tc>
        <w:tc>
          <w:tcPr>
            <w:tcW w:w="2700" w:type="dxa"/>
          </w:tcPr>
          <w:p w:rsidR="00CC3E37" w:rsidRDefault="00CC3E37" w:rsidP="00E971F0">
            <w:pPr>
              <w:spacing w:after="0" w:line="240" w:lineRule="auto"/>
              <w:rPr>
                <w:bCs/>
                <w:color w:val="5F497A"/>
                <w:sz w:val="16"/>
                <w:szCs w:val="16"/>
              </w:rPr>
            </w:pPr>
            <w:r>
              <w:rPr>
                <w:bCs/>
                <w:color w:val="5F497A"/>
                <w:sz w:val="16"/>
                <w:szCs w:val="16"/>
              </w:rPr>
              <w:t>Ingen</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Related artifacts</w:t>
            </w:r>
          </w:p>
        </w:tc>
        <w:tc>
          <w:tcPr>
            <w:tcW w:w="2700" w:type="dxa"/>
          </w:tcPr>
          <w:p w:rsidR="00CC3E37" w:rsidRDefault="00CC3E37" w:rsidP="00E971F0">
            <w:pPr>
              <w:spacing w:after="0" w:line="240" w:lineRule="auto"/>
              <w:rPr>
                <w:bCs/>
                <w:color w:val="5F497A"/>
                <w:sz w:val="16"/>
                <w:szCs w:val="16"/>
              </w:rPr>
            </w:pPr>
            <w:r>
              <w:rPr>
                <w:bCs/>
                <w:color w:val="5F497A"/>
                <w:sz w:val="16"/>
                <w:szCs w:val="16"/>
              </w:rPr>
              <w:t>Ingen</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Related principles</w:t>
            </w:r>
          </w:p>
        </w:tc>
        <w:tc>
          <w:tcPr>
            <w:tcW w:w="2700" w:type="dxa"/>
          </w:tcPr>
          <w:p w:rsidR="00CC3E37" w:rsidRDefault="00CC3E37" w:rsidP="00E971F0">
            <w:pPr>
              <w:spacing w:after="0" w:line="240" w:lineRule="auto"/>
              <w:rPr>
                <w:bCs/>
                <w:color w:val="5F497A"/>
                <w:sz w:val="16"/>
                <w:szCs w:val="16"/>
              </w:rPr>
            </w:pPr>
            <w:r>
              <w:rPr>
                <w:bCs/>
                <w:color w:val="5F497A"/>
                <w:sz w:val="16"/>
                <w:szCs w:val="16"/>
              </w:rPr>
              <w:t xml:space="preserve">Høj modificerbarhed uden stort performancetab. </w:t>
            </w:r>
          </w:p>
        </w:tc>
      </w:tr>
      <w:tr w:rsidR="00CC3E37" w:rsidRPr="00EE7E2F" w:rsidTr="00E971F0">
        <w:tc>
          <w:tcPr>
            <w:tcW w:w="2988" w:type="dxa"/>
          </w:tcPr>
          <w:p w:rsidR="00CC3E37" w:rsidRDefault="00CC3E37" w:rsidP="00E971F0">
            <w:pPr>
              <w:spacing w:after="0" w:line="240" w:lineRule="auto"/>
              <w:rPr>
                <w:bCs/>
                <w:color w:val="5F497A"/>
                <w:sz w:val="16"/>
                <w:szCs w:val="16"/>
              </w:rPr>
            </w:pPr>
            <w:r>
              <w:rPr>
                <w:bCs/>
                <w:color w:val="5F497A"/>
                <w:sz w:val="16"/>
                <w:szCs w:val="16"/>
              </w:rPr>
              <w:t>Notes</w:t>
            </w:r>
          </w:p>
        </w:tc>
        <w:tc>
          <w:tcPr>
            <w:tcW w:w="2700" w:type="dxa"/>
          </w:tcPr>
          <w:p w:rsidR="00CC3E37" w:rsidRDefault="00CC3E37" w:rsidP="00E971F0">
            <w:pPr>
              <w:spacing w:after="0" w:line="240" w:lineRule="auto"/>
              <w:rPr>
                <w:bCs/>
                <w:color w:val="5F497A"/>
                <w:sz w:val="16"/>
                <w:szCs w:val="16"/>
              </w:rPr>
            </w:pPr>
            <w:r>
              <w:rPr>
                <w:bCs/>
                <w:color w:val="5F497A"/>
                <w:sz w:val="16"/>
                <w:szCs w:val="16"/>
              </w:rPr>
              <w:t>Ingen</w:t>
            </w:r>
          </w:p>
        </w:tc>
      </w:tr>
    </w:tbl>
    <w:p w:rsidR="00207F77" w:rsidRDefault="00207F77"/>
    <w:sectPr w:rsidR="00207F77" w:rsidSect="00207F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defaultTabStop w:val="720"/>
  <w:characterSpacingControl w:val="doNotCompress"/>
  <w:compat/>
  <w:rsids>
    <w:rsidRoot w:val="00CC3E37"/>
    <w:rsid w:val="00107E6E"/>
    <w:rsid w:val="00116D03"/>
    <w:rsid w:val="00207F77"/>
    <w:rsid w:val="00447E04"/>
    <w:rsid w:val="004A2231"/>
    <w:rsid w:val="00670F2B"/>
    <w:rsid w:val="00CC3E37"/>
  </w:rsids>
  <m:mathPr>
    <m:mathFont m:val="Cambria Math"/>
    <m:brkBin m:val="before"/>
    <m:brkBinSub m:val="--"/>
    <m:smallFrac m:val="off"/>
    <m:dispDef/>
    <m:lMargin m:val="0"/>
    <m:rMargin m:val="0"/>
    <m:defJc m:val="centerGroup"/>
    <m:wrapIndent m:val="1440"/>
    <m:intLim m:val="subSup"/>
    <m:naryLim m:val="undOvr"/>
  </m:mathPr>
  <w:themeFontLang w:val="fo-F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o-F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E37"/>
    <w:rPr>
      <w:rFonts w:ascii="Calibri" w:eastAsia="Calibri" w:hAnsi="Calibri" w:cs="Times New Roman"/>
      <w:lang w:val="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584</TotalTime>
  <Pages>1</Pages>
  <Words>291</Words>
  <Characters>1665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Marjus Nielsen</dc:creator>
  <cp:lastModifiedBy>Marjus Nielsen</cp:lastModifiedBy>
  <cp:revision>2</cp:revision>
  <dcterms:created xsi:type="dcterms:W3CDTF">2008-05-26T20:46:00Z</dcterms:created>
  <dcterms:modified xsi:type="dcterms:W3CDTF">2008-05-27T09:21:00Z</dcterms:modified>
</cp:coreProperties>
</file>