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40841cb31ee3600e801e009bb9ac88b0241203c"/>
    <w:p>
      <w:pPr>
        <w:pStyle w:val="Heading1"/>
      </w:pPr>
      <w:r>
        <w:t xml:space="preserve">Food Delivery Platform – Project Documentation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project is a</w:t>
      </w:r>
      <w:r>
        <w:t xml:space="preserve"> </w:t>
      </w:r>
      <w:r>
        <w:rPr>
          <w:b/>
          <w:bCs/>
        </w:rPr>
        <w:t xml:space="preserve">production-grade Food Delivery Platform</w:t>
      </w:r>
      <w:r>
        <w:t xml:space="preserve"> </w:t>
      </w:r>
      <w:r>
        <w:t xml:space="preserve">built using a</w:t>
      </w:r>
      <w:r>
        <w:t xml:space="preserve"> </w:t>
      </w:r>
      <w:r>
        <w:rPr>
          <w:b/>
          <w:bCs/>
        </w:rPr>
        <w:t xml:space="preserve">microservices architecture</w:t>
      </w:r>
      <w:r>
        <w:t xml:space="preserve">. It is designed to demonstrate real-world backend engineering practices such as resilience, observability, security, scalability, and event-driven communication.</w:t>
      </w:r>
    </w:p>
    <w:p>
      <w:pPr>
        <w:pStyle w:val="BodyText"/>
      </w:pPr>
      <w:r>
        <w:t xml:space="preserve">The system supports two major personas: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(Customer)</w:t>
      </w:r>
      <w:r>
        <w:t xml:space="preserve"> </w:t>
      </w:r>
      <w:r>
        <w:t xml:space="preserve">– browses restaurants, places orders, tracks delivery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– manages restaurants and menus via a secured control plane</w:t>
      </w:r>
    </w:p>
    <w:p>
      <w:r>
        <w:pict>
          <v:rect style="width:0;height:1.5pt" o:hralign="center" o:hrstd="t" o:hr="t"/>
        </w:pict>
      </w:r>
    </w:p>
    <w:bookmarkEnd w:id="20"/>
    <w:bookmarkStart w:id="23" w:name="architecture"/>
    <w:p>
      <w:pPr>
        <w:pStyle w:val="Heading2"/>
      </w:pPr>
      <w:r>
        <w:t xml:space="preserve">2. Architecture</w:t>
      </w:r>
    </w:p>
    <w:bookmarkStart w:id="21" w:name="high-level-architecture"/>
    <w:p>
      <w:pPr>
        <w:pStyle w:val="Heading3"/>
      </w:pPr>
      <w:r>
        <w:t xml:space="preserve">2.1 High-Level Architecture</w:t>
      </w:r>
    </w:p>
    <w:p>
      <w:pPr>
        <w:pStyle w:val="Compact"/>
        <w:numPr>
          <w:ilvl w:val="0"/>
          <w:numId w:val="1001"/>
        </w:numPr>
      </w:pPr>
      <w:r>
        <w:t xml:space="preserve">Microservices-based architecture</w:t>
      </w:r>
    </w:p>
    <w:p>
      <w:pPr>
        <w:pStyle w:val="Compact"/>
        <w:numPr>
          <w:ilvl w:val="0"/>
          <w:numId w:val="1001"/>
        </w:numPr>
      </w:pPr>
      <w:r>
        <w:t xml:space="preserve">Services communicate via</w:t>
      </w:r>
      <w:r>
        <w:t xml:space="preserve"> </w:t>
      </w:r>
      <w:r>
        <w:rPr>
          <w:b/>
          <w:bCs/>
        </w:rPr>
        <w:t xml:space="preserve">REST</w:t>
      </w:r>
      <w:r>
        <w:t xml:space="preserve"> </w:t>
      </w:r>
      <w:r>
        <w:t xml:space="preserve">(synchronous) and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(asynchronous)</w:t>
      </w:r>
    </w:p>
    <w:p>
      <w:pPr>
        <w:pStyle w:val="Compact"/>
        <w:numPr>
          <w:ilvl w:val="0"/>
          <w:numId w:val="1001"/>
        </w:numPr>
      </w:pPr>
      <w:r>
        <w:t xml:space="preserve">Each service has its own database (Database-per-service pattern)</w:t>
      </w:r>
    </w:p>
    <w:bookmarkEnd w:id="21"/>
    <w:bookmarkStart w:id="22" w:name="core-services"/>
    <w:p>
      <w:pPr>
        <w:pStyle w:val="Heading3"/>
      </w:pPr>
      <w:r>
        <w:t xml:space="preserve">2.2 Core Services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 Service</w:t>
      </w:r>
      <w:r>
        <w:t xml:space="preserve"> </w:t>
      </w:r>
      <w:r>
        <w:t xml:space="preserve">– authentication, JWT issuance, role-based access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Restaurant Service</w:t>
      </w:r>
      <w:r>
        <w:t xml:space="preserve"> </w:t>
      </w:r>
      <w:r>
        <w:t xml:space="preserve">– restaurant &amp; menu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Order Service</w:t>
      </w:r>
      <w:r>
        <w:t xml:space="preserve"> </w:t>
      </w:r>
      <w:r>
        <w:t xml:space="preserve">– order creation &amp; lifecycle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 Service</w:t>
      </w:r>
      <w:r>
        <w:t xml:space="preserve"> </w:t>
      </w:r>
      <w:r>
        <w:t xml:space="preserve">– payment initiation &amp; verification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Delivery Service</w:t>
      </w:r>
      <w:r>
        <w:t xml:space="preserve"> </w:t>
      </w:r>
      <w:r>
        <w:t xml:space="preserve">– order delivery tracking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ecurity-authorization"/>
    <w:p>
      <w:pPr>
        <w:pStyle w:val="Heading2"/>
      </w:pPr>
      <w:r>
        <w:t xml:space="preserve">3. Security &amp; Authorization</w:t>
      </w:r>
    </w:p>
    <w:bookmarkStart w:id="24" w:name="authentication"/>
    <w:p>
      <w:pPr>
        <w:pStyle w:val="Heading3"/>
      </w:pPr>
      <w:r>
        <w:t xml:space="preserve">3.1 Authentication</w:t>
      </w:r>
    </w:p>
    <w:p>
      <w:pPr>
        <w:pStyle w:val="Compact"/>
        <w:numPr>
          <w:ilvl w:val="0"/>
          <w:numId w:val="1003"/>
        </w:numPr>
      </w:pPr>
      <w:r>
        <w:t xml:space="preserve">JWT-based authentication</w:t>
      </w:r>
    </w:p>
    <w:p>
      <w:pPr>
        <w:pStyle w:val="Compact"/>
        <w:numPr>
          <w:ilvl w:val="0"/>
          <w:numId w:val="1003"/>
        </w:numPr>
      </w:pPr>
      <w:r>
        <w:t xml:space="preserve">Token stored client-side and attached to each request</w:t>
      </w:r>
    </w:p>
    <w:bookmarkEnd w:id="24"/>
    <w:bookmarkStart w:id="25" w:name="authorization"/>
    <w:p>
      <w:pPr>
        <w:pStyle w:val="Heading3"/>
      </w:pPr>
      <w:r>
        <w:t xml:space="preserve">3.2 Authorization</w:t>
      </w:r>
    </w:p>
    <w:p>
      <w:pPr>
        <w:pStyle w:val="Compact"/>
        <w:numPr>
          <w:ilvl w:val="0"/>
          <w:numId w:val="1004"/>
        </w:numPr>
      </w:pPr>
      <w:r>
        <w:t xml:space="preserve">Role-based access control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Admin APIs are protected and inaccessible to normal users</w:t>
      </w:r>
    </w:p>
    <w:p>
      <w:pPr>
        <w:pStyle w:val="Compact"/>
        <w:numPr>
          <w:ilvl w:val="0"/>
          <w:numId w:val="1004"/>
        </w:numPr>
      </w:pPr>
      <w:r>
        <w:t xml:space="preserve">Admin users are explicitly blocked from customer flows like placing orders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admin-dashboard-control-plane"/>
    <w:p>
      <w:pPr>
        <w:pStyle w:val="Heading2"/>
      </w:pPr>
      <w:r>
        <w:t xml:space="preserve">4. Admin Dashboard (Control Plane)</w:t>
      </w:r>
    </w:p>
    <w:p>
      <w:pPr>
        <w:pStyle w:val="FirstParagraph"/>
      </w:pPr>
      <w:r>
        <w:t xml:space="preserve">The Admin Dashboard acts as a</w:t>
      </w:r>
      <w:r>
        <w:t xml:space="preserve"> </w:t>
      </w:r>
      <w:r>
        <w:rPr>
          <w:b/>
          <w:bCs/>
        </w:rPr>
        <w:t xml:space="preserve">privileged control plane</w:t>
      </w:r>
      <w:r>
        <w:t xml:space="preserve"> </w:t>
      </w:r>
      <w:r>
        <w:t xml:space="preserve">for operational management.</w:t>
      </w:r>
    </w:p>
    <w:bookmarkStart w:id="27" w:name="responsibilities"/>
    <w:p>
      <w:pPr>
        <w:pStyle w:val="Heading3"/>
      </w:pPr>
      <w:r>
        <w:t xml:space="preserve">4.1 Responsibilities</w:t>
      </w:r>
    </w:p>
    <w:p>
      <w:pPr>
        <w:pStyle w:val="Compact"/>
        <w:numPr>
          <w:ilvl w:val="0"/>
          <w:numId w:val="1005"/>
        </w:numPr>
      </w:pPr>
      <w:r>
        <w:t xml:space="preserve">Restaurant lifecycle management</w:t>
      </w:r>
    </w:p>
    <w:p>
      <w:pPr>
        <w:pStyle w:val="Compact"/>
        <w:numPr>
          <w:ilvl w:val="0"/>
          <w:numId w:val="1005"/>
        </w:numPr>
      </w:pPr>
      <w:r>
        <w:t xml:space="preserve">Menu management per restaurant</w:t>
      </w:r>
    </w:p>
    <w:p>
      <w:pPr>
        <w:pStyle w:val="Compact"/>
        <w:numPr>
          <w:ilvl w:val="0"/>
          <w:numId w:val="1005"/>
        </w:numPr>
      </w:pPr>
      <w:r>
        <w:t xml:space="preserve">Image uploads for restaurants and menu items</w:t>
      </w:r>
    </w:p>
    <w:bookmarkEnd w:id="27"/>
    <w:bookmarkStart w:id="28" w:name="capabilities"/>
    <w:p>
      <w:pPr>
        <w:pStyle w:val="Heading3"/>
      </w:pPr>
      <w:r>
        <w:t xml:space="preserve">4.2 Capabilities</w:t>
      </w:r>
    </w:p>
    <w:p>
      <w:pPr>
        <w:pStyle w:val="Compact"/>
        <w:numPr>
          <w:ilvl w:val="0"/>
          <w:numId w:val="1006"/>
        </w:numPr>
      </w:pPr>
      <w:r>
        <w:t xml:space="preserve">Add / delete restaurants</w:t>
      </w:r>
    </w:p>
    <w:p>
      <w:pPr>
        <w:pStyle w:val="Compact"/>
        <w:numPr>
          <w:ilvl w:val="0"/>
          <w:numId w:val="1006"/>
        </w:numPr>
      </w:pPr>
      <w:r>
        <w:t xml:space="preserve">Upload &amp; update restaurant images</w:t>
      </w:r>
    </w:p>
    <w:p>
      <w:pPr>
        <w:pStyle w:val="Compact"/>
        <w:numPr>
          <w:ilvl w:val="0"/>
          <w:numId w:val="1006"/>
        </w:numPr>
      </w:pPr>
      <w:r>
        <w:t xml:space="preserve">Add / update / delete menu items</w:t>
      </w:r>
    </w:p>
    <w:p>
      <w:pPr>
        <w:pStyle w:val="Compact"/>
        <w:numPr>
          <w:ilvl w:val="0"/>
          <w:numId w:val="1006"/>
        </w:numPr>
      </w:pPr>
      <w:r>
        <w:t xml:space="preserve">Update menu prices and availability</w:t>
      </w:r>
    </w:p>
    <w:bookmarkEnd w:id="28"/>
    <w:bookmarkStart w:id="29" w:name="security-boundary"/>
    <w:p>
      <w:pPr>
        <w:pStyle w:val="Heading3"/>
      </w:pPr>
      <w:r>
        <w:t xml:space="preserve">4.3 Security Boundary</w:t>
      </w:r>
    </w:p>
    <w:p>
      <w:pPr>
        <w:pStyle w:val="Compact"/>
        <w:numPr>
          <w:ilvl w:val="0"/>
          <w:numId w:val="1007"/>
        </w:numPr>
      </w:pPr>
      <w:r>
        <w:t xml:space="preserve">Admin APIs are protected via JWT role validation</w:t>
      </w:r>
    </w:p>
    <w:p>
      <w:pPr>
        <w:pStyle w:val="Compact"/>
        <w:numPr>
          <w:ilvl w:val="0"/>
          <w:numId w:val="1007"/>
        </w:numPr>
      </w:pPr>
      <w:r>
        <w:t xml:space="preserve">Clear separation between admin operations and customer operations</w:t>
      </w:r>
    </w:p>
    <w:p>
      <w:pPr>
        <w:pStyle w:val="FirstParagraph"/>
      </w:pPr>
      <w:r>
        <w:t xml:space="preserve">This ensures</w:t>
      </w:r>
      <w:r>
        <w:t xml:space="preserve"> </w:t>
      </w:r>
      <w:r>
        <w:rPr>
          <w:b/>
          <w:bCs/>
        </w:rPr>
        <w:t xml:space="preserve">least-privilege access</w:t>
      </w:r>
      <w:r>
        <w:t xml:space="preserve"> </w:t>
      </w:r>
      <w:r>
        <w:t xml:space="preserve">and prevents misuse of elevated permissions.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rder-flow"/>
    <w:p>
      <w:pPr>
        <w:pStyle w:val="Heading2"/>
      </w:pPr>
      <w:r>
        <w:t xml:space="preserve">5. Order Flow</w:t>
      </w:r>
    </w:p>
    <w:p>
      <w:pPr>
        <w:pStyle w:val="Compact"/>
        <w:numPr>
          <w:ilvl w:val="0"/>
          <w:numId w:val="1008"/>
        </w:numPr>
      </w:pPr>
      <w:r>
        <w:t xml:space="preserve">User browses restaurants</w:t>
      </w:r>
    </w:p>
    <w:p>
      <w:pPr>
        <w:pStyle w:val="Compact"/>
        <w:numPr>
          <w:ilvl w:val="0"/>
          <w:numId w:val="1008"/>
        </w:numPr>
      </w:pPr>
      <w:r>
        <w:t xml:space="preserve">User selects menu items and builds a cart</w:t>
      </w:r>
    </w:p>
    <w:p>
      <w:pPr>
        <w:pStyle w:val="Compact"/>
        <w:numPr>
          <w:ilvl w:val="0"/>
          <w:numId w:val="1008"/>
        </w:numPr>
      </w:pPr>
      <w:r>
        <w:t xml:space="preserve">User places an order</w:t>
      </w:r>
    </w:p>
    <w:p>
      <w:pPr>
        <w:pStyle w:val="Compact"/>
        <w:numPr>
          <w:ilvl w:val="0"/>
          <w:numId w:val="1008"/>
        </w:numPr>
      </w:pPr>
      <w:r>
        <w:t xml:space="preserve">Order Service persists order and emits events</w:t>
      </w:r>
    </w:p>
    <w:p>
      <w:pPr>
        <w:pStyle w:val="Compact"/>
        <w:numPr>
          <w:ilvl w:val="0"/>
          <w:numId w:val="1008"/>
        </w:numPr>
      </w:pPr>
      <w:r>
        <w:t xml:space="preserve">Payment Service processes payment</w:t>
      </w:r>
    </w:p>
    <w:p>
      <w:pPr>
        <w:pStyle w:val="Compact"/>
        <w:numPr>
          <w:ilvl w:val="0"/>
          <w:numId w:val="1008"/>
        </w:numPr>
      </w:pPr>
      <w:r>
        <w:t xml:space="preserve">Delivery Service tracks delivery state</w:t>
      </w:r>
    </w:p>
    <w:p>
      <w:pPr>
        <w:pStyle w:val="FirstParagraph"/>
      </w:pPr>
      <w:r>
        <w:t xml:space="preserve">Order state transitions are</w:t>
      </w:r>
      <w:r>
        <w:t xml:space="preserve"> </w:t>
      </w:r>
      <w:r>
        <w:rPr>
          <w:b/>
          <w:bCs/>
        </w:rPr>
        <w:t xml:space="preserve">event-driven</w:t>
      </w:r>
      <w:r>
        <w:t xml:space="preserve"> </w:t>
      </w:r>
      <w:r>
        <w:t xml:space="preserve">using Kafka.</w:t>
      </w:r>
    </w:p>
    <w:p>
      <w:r>
        <w:pict>
          <v:rect style="width:0;height:1.5pt" o:hralign="center" o:hrstd="t" o:hr="t"/>
        </w:pict>
      </w:r>
    </w:p>
    <w:bookmarkEnd w:id="31"/>
    <w:bookmarkStart w:id="35" w:name="event-driven-architecture-kafka"/>
    <w:p>
      <w:pPr>
        <w:pStyle w:val="Heading2"/>
      </w:pPr>
      <w:r>
        <w:t xml:space="preserve">6. Event-Driven Architecture (Kafka)</w:t>
      </w:r>
    </w:p>
    <w:bookmarkStart w:id="32" w:name="why-kafka"/>
    <w:p>
      <w:pPr>
        <w:pStyle w:val="Heading3"/>
      </w:pPr>
      <w:r>
        <w:t xml:space="preserve">6.1 Why Kafka</w:t>
      </w:r>
    </w:p>
    <w:p>
      <w:pPr>
        <w:pStyle w:val="Compact"/>
        <w:numPr>
          <w:ilvl w:val="0"/>
          <w:numId w:val="1009"/>
        </w:numPr>
      </w:pPr>
      <w:r>
        <w:t xml:space="preserve">Decouples services</w:t>
      </w:r>
    </w:p>
    <w:p>
      <w:pPr>
        <w:pStyle w:val="Compact"/>
        <w:numPr>
          <w:ilvl w:val="0"/>
          <w:numId w:val="1009"/>
        </w:numPr>
      </w:pPr>
      <w:r>
        <w:t xml:space="preserve">Enables asynchronous communication</w:t>
      </w:r>
    </w:p>
    <w:p>
      <w:pPr>
        <w:pStyle w:val="Compact"/>
        <w:numPr>
          <w:ilvl w:val="0"/>
          <w:numId w:val="1009"/>
        </w:numPr>
      </w:pPr>
      <w:r>
        <w:t xml:space="preserve">Improves scalability and resilience</w:t>
      </w:r>
    </w:p>
    <w:bookmarkEnd w:id="32"/>
    <w:bookmarkStart w:id="33" w:name="events-used"/>
    <w:p>
      <w:pPr>
        <w:pStyle w:val="Heading3"/>
      </w:pPr>
      <w:r>
        <w:t xml:space="preserve">6.2 Events Used</w:t>
      </w:r>
    </w:p>
    <w:p>
      <w:pPr>
        <w:pStyle w:val="Compact"/>
        <w:numPr>
          <w:ilvl w:val="0"/>
          <w:numId w:val="1010"/>
        </w:numPr>
      </w:pPr>
      <w:r>
        <w:t xml:space="preserve">OrderCreated</w:t>
      </w:r>
    </w:p>
    <w:p>
      <w:pPr>
        <w:pStyle w:val="Compact"/>
        <w:numPr>
          <w:ilvl w:val="0"/>
          <w:numId w:val="1010"/>
        </w:numPr>
      </w:pPr>
      <w:r>
        <w:t xml:space="preserve">PaymentCompleted / PaymentFailed</w:t>
      </w:r>
    </w:p>
    <w:p>
      <w:pPr>
        <w:pStyle w:val="Compact"/>
        <w:numPr>
          <w:ilvl w:val="0"/>
          <w:numId w:val="1010"/>
        </w:numPr>
      </w:pPr>
      <w:r>
        <w:t xml:space="preserve">DeliveryStatusUpdated</w:t>
      </w:r>
    </w:p>
    <w:bookmarkEnd w:id="33"/>
    <w:bookmarkStart w:id="34" w:name="dead-letter-queue-dlq"/>
    <w:p>
      <w:pPr>
        <w:pStyle w:val="Heading3"/>
      </w:pPr>
      <w:r>
        <w:t xml:space="preserve">6.3 Dead Letter Queue (DLQ)</w:t>
      </w:r>
    </w:p>
    <w:p>
      <w:pPr>
        <w:pStyle w:val="Compact"/>
        <w:numPr>
          <w:ilvl w:val="0"/>
          <w:numId w:val="1011"/>
        </w:numPr>
      </w:pPr>
      <w:r>
        <w:t xml:space="preserve">Failed events are routed to a DLQ</w:t>
      </w:r>
    </w:p>
    <w:p>
      <w:pPr>
        <w:pStyle w:val="Compact"/>
        <w:numPr>
          <w:ilvl w:val="0"/>
          <w:numId w:val="1011"/>
        </w:numPr>
      </w:pPr>
      <w:r>
        <w:t xml:space="preserve">Prevents consumer crashes due to bad messages</w:t>
      </w:r>
    </w:p>
    <w:p>
      <w:pPr>
        <w:pStyle w:val="Compact"/>
        <w:numPr>
          <w:ilvl w:val="0"/>
          <w:numId w:val="1011"/>
        </w:numPr>
      </w:pPr>
      <w:r>
        <w:t xml:space="preserve">Enables later reprocessing and debugging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reliability-resilience"/>
    <w:p>
      <w:pPr>
        <w:pStyle w:val="Heading2"/>
      </w:pPr>
      <w:r>
        <w:t xml:space="preserve">7. Reliability &amp; Resilience</w:t>
      </w:r>
    </w:p>
    <w:bookmarkStart w:id="36" w:name="idempotency"/>
    <w:p>
      <w:pPr>
        <w:pStyle w:val="Heading3"/>
      </w:pPr>
      <w:r>
        <w:t xml:space="preserve">7.1 Idempotency</w:t>
      </w:r>
    </w:p>
    <w:p>
      <w:pPr>
        <w:pStyle w:val="Compact"/>
        <w:numPr>
          <w:ilvl w:val="0"/>
          <w:numId w:val="1012"/>
        </w:numPr>
      </w:pPr>
      <w:r>
        <w:t xml:space="preserve">Order creation APIs are idempotent</w:t>
      </w:r>
    </w:p>
    <w:p>
      <w:pPr>
        <w:pStyle w:val="Compact"/>
        <w:numPr>
          <w:ilvl w:val="0"/>
          <w:numId w:val="1012"/>
        </w:numPr>
      </w:pPr>
      <w:r>
        <w:t xml:space="preserve">Prevents duplicate orders during retries</w:t>
      </w:r>
    </w:p>
    <w:bookmarkEnd w:id="36"/>
    <w:bookmarkStart w:id="37" w:name="error-handling"/>
    <w:p>
      <w:pPr>
        <w:pStyle w:val="Heading3"/>
      </w:pPr>
      <w:r>
        <w:t xml:space="preserve">7.2 Error Handling</w:t>
      </w:r>
    </w:p>
    <w:p>
      <w:pPr>
        <w:pStyle w:val="Compact"/>
        <w:numPr>
          <w:ilvl w:val="0"/>
          <w:numId w:val="1013"/>
        </w:numPr>
      </w:pPr>
      <w:r>
        <w:t xml:space="preserve">Centralized exception handling</w:t>
      </w:r>
    </w:p>
    <w:p>
      <w:pPr>
        <w:pStyle w:val="Compact"/>
        <w:numPr>
          <w:ilvl w:val="0"/>
          <w:numId w:val="1013"/>
        </w:numPr>
      </w:pPr>
      <w:r>
        <w:t xml:space="preserve">Meaningful HTTP error responses</w:t>
      </w:r>
    </w:p>
    <w:bookmarkEnd w:id="37"/>
    <w:bookmarkStart w:id="38" w:name="retries-failure-handling"/>
    <w:p>
      <w:pPr>
        <w:pStyle w:val="Heading3"/>
      </w:pPr>
      <w:r>
        <w:t xml:space="preserve">7.3 Retries &amp; Failure Handling</w:t>
      </w:r>
    </w:p>
    <w:p>
      <w:pPr>
        <w:pStyle w:val="Compact"/>
        <w:numPr>
          <w:ilvl w:val="0"/>
          <w:numId w:val="1014"/>
        </w:numPr>
      </w:pPr>
      <w:r>
        <w:t xml:space="preserve">Controlled retries in async flows</w:t>
      </w:r>
    </w:p>
    <w:p>
      <w:pPr>
        <w:pStyle w:val="Compact"/>
        <w:numPr>
          <w:ilvl w:val="0"/>
          <w:numId w:val="1014"/>
        </w:numPr>
      </w:pPr>
      <w:r>
        <w:t xml:space="preserve">Failed messages moved to DLQ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aching-strategy"/>
    <w:p>
      <w:pPr>
        <w:pStyle w:val="Heading2"/>
      </w:pPr>
      <w:r>
        <w:t xml:space="preserve">8. Caching Strategy</w:t>
      </w:r>
    </w:p>
    <w:bookmarkStart w:id="40" w:name="redis-caffeine"/>
    <w:p>
      <w:pPr>
        <w:pStyle w:val="Heading3"/>
      </w:pPr>
      <w:r>
        <w:t xml:space="preserve">8.1 Redis &amp; Caffeine</w:t>
      </w:r>
    </w:p>
    <w:p>
      <w:pPr>
        <w:pStyle w:val="Compact"/>
        <w:numPr>
          <w:ilvl w:val="0"/>
          <w:numId w:val="1015"/>
        </w:numPr>
      </w:pPr>
      <w:r>
        <w:t xml:space="preserve">Redis used for distributed caching</w:t>
      </w:r>
    </w:p>
    <w:p>
      <w:pPr>
        <w:pStyle w:val="Compact"/>
        <w:numPr>
          <w:ilvl w:val="0"/>
          <w:numId w:val="1015"/>
        </w:numPr>
      </w:pPr>
      <w:r>
        <w:t xml:space="preserve">Caffeine used for in-memory caching</w:t>
      </w:r>
    </w:p>
    <w:bookmarkEnd w:id="40"/>
    <w:bookmarkStart w:id="41" w:name="use-cases"/>
    <w:p>
      <w:pPr>
        <w:pStyle w:val="Heading3"/>
      </w:pPr>
      <w:r>
        <w:t xml:space="preserve">8.2 Use Cases</w:t>
      </w:r>
    </w:p>
    <w:p>
      <w:pPr>
        <w:pStyle w:val="Compact"/>
        <w:numPr>
          <w:ilvl w:val="0"/>
          <w:numId w:val="1016"/>
        </w:numPr>
      </w:pPr>
      <w:r>
        <w:t xml:space="preserve">Restaurant listings</w:t>
      </w:r>
    </w:p>
    <w:p>
      <w:pPr>
        <w:pStyle w:val="Compact"/>
        <w:numPr>
          <w:ilvl w:val="0"/>
          <w:numId w:val="1016"/>
        </w:numPr>
      </w:pPr>
      <w:r>
        <w:t xml:space="preserve">Menu data</w:t>
      </w:r>
    </w:p>
    <w:p>
      <w:pPr>
        <w:pStyle w:val="FirstParagraph"/>
      </w:pPr>
      <w:r>
        <w:t xml:space="preserve">This reduces database load and improves response times.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observability"/>
    <w:p>
      <w:pPr>
        <w:pStyle w:val="Heading2"/>
      </w:pPr>
      <w:r>
        <w:t xml:space="preserve">9. Observability</w:t>
      </w:r>
    </w:p>
    <w:bookmarkStart w:id="43" w:name="logging"/>
    <w:p>
      <w:pPr>
        <w:pStyle w:val="Heading3"/>
      </w:pPr>
      <w:r>
        <w:t xml:space="preserve">9.1 Logging</w:t>
      </w:r>
    </w:p>
    <w:p>
      <w:pPr>
        <w:pStyle w:val="Compact"/>
        <w:numPr>
          <w:ilvl w:val="0"/>
          <w:numId w:val="1017"/>
        </w:numPr>
      </w:pPr>
      <w:r>
        <w:t xml:space="preserve">Structured logging across services</w:t>
      </w:r>
    </w:p>
    <w:p>
      <w:pPr>
        <w:pStyle w:val="Compact"/>
        <w:numPr>
          <w:ilvl w:val="0"/>
          <w:numId w:val="1017"/>
        </w:numPr>
      </w:pPr>
      <w:r>
        <w:t xml:space="preserve">Correlation IDs for request tracing</w:t>
      </w:r>
    </w:p>
    <w:bookmarkEnd w:id="43"/>
    <w:bookmarkStart w:id="44" w:name="metrics"/>
    <w:p>
      <w:pPr>
        <w:pStyle w:val="Heading3"/>
      </w:pPr>
      <w:r>
        <w:t xml:space="preserve">9.2 Metrics</w:t>
      </w:r>
    </w:p>
    <w:p>
      <w:pPr>
        <w:pStyle w:val="Compact"/>
        <w:numPr>
          <w:ilvl w:val="0"/>
          <w:numId w:val="1018"/>
        </w:numPr>
      </w:pPr>
      <w:r>
        <w:t xml:space="preserve">Prometheus used for metrics collection</w:t>
      </w:r>
    </w:p>
    <w:p>
      <w:pPr>
        <w:pStyle w:val="Compact"/>
        <w:numPr>
          <w:ilvl w:val="0"/>
          <w:numId w:val="1018"/>
        </w:numPr>
      </w:pPr>
      <w:r>
        <w:t xml:space="preserve">Grafana dashboards for visualization</w:t>
      </w:r>
    </w:p>
    <w:bookmarkEnd w:id="44"/>
    <w:bookmarkStart w:id="45" w:name="tracing"/>
    <w:p>
      <w:pPr>
        <w:pStyle w:val="Heading3"/>
      </w:pPr>
      <w:r>
        <w:t xml:space="preserve">9.3 Tracing</w:t>
      </w:r>
    </w:p>
    <w:p>
      <w:pPr>
        <w:pStyle w:val="Compact"/>
        <w:numPr>
          <w:ilvl w:val="0"/>
          <w:numId w:val="1019"/>
        </w:numPr>
      </w:pPr>
      <w:r>
        <w:t xml:space="preserve">Request tracing across service boundaries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eployment"/>
    <w:p>
      <w:pPr>
        <w:pStyle w:val="Heading2"/>
      </w:pPr>
      <w:r>
        <w:t xml:space="preserve">10. Deployment</w:t>
      </w:r>
    </w:p>
    <w:bookmarkStart w:id="47" w:name="docker"/>
    <w:p>
      <w:pPr>
        <w:pStyle w:val="Heading3"/>
      </w:pPr>
      <w:r>
        <w:t xml:space="preserve">10.1 Docker</w:t>
      </w:r>
    </w:p>
    <w:p>
      <w:pPr>
        <w:pStyle w:val="Compact"/>
        <w:numPr>
          <w:ilvl w:val="0"/>
          <w:numId w:val="1020"/>
        </w:numPr>
      </w:pPr>
      <w:r>
        <w:t xml:space="preserve">Each service containerized</w:t>
      </w:r>
    </w:p>
    <w:p>
      <w:pPr>
        <w:pStyle w:val="Compact"/>
        <w:numPr>
          <w:ilvl w:val="0"/>
          <w:numId w:val="1020"/>
        </w:numPr>
      </w:pPr>
      <w:r>
        <w:t xml:space="preserve">Docker Compose used for local orchestration</w:t>
      </w:r>
    </w:p>
    <w:bookmarkEnd w:id="47"/>
    <w:bookmarkStart w:id="48" w:name="local-setup"/>
    <w:p>
      <w:pPr>
        <w:pStyle w:val="Heading3"/>
      </w:pPr>
      <w:r>
        <w:t xml:space="preserve">10.2 Local Setup</w:t>
      </w:r>
    </w:p>
    <w:p>
      <w:pPr>
        <w:pStyle w:val="Compact"/>
        <w:numPr>
          <w:ilvl w:val="0"/>
          <w:numId w:val="1021"/>
        </w:numPr>
      </w:pPr>
      <w:r>
        <w:t xml:space="preserve">Single command startup via Docker Compose</w:t>
      </w:r>
    </w:p>
    <w:p>
      <w:pPr>
        <w:pStyle w:val="Compact"/>
        <w:numPr>
          <w:ilvl w:val="0"/>
          <w:numId w:val="1021"/>
        </w:numPr>
      </w:pPr>
      <w:r>
        <w:t xml:space="preserve">Services discoverable via internal networking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why-this-project-is-production-grade"/>
    <w:p>
      <w:pPr>
        <w:pStyle w:val="Heading2"/>
      </w:pPr>
      <w:r>
        <w:t xml:space="preserve">11. Why This Project Is Production-Grade</w:t>
      </w:r>
    </w:p>
    <w:p>
      <w:pPr>
        <w:pStyle w:val="Compact"/>
        <w:numPr>
          <w:ilvl w:val="0"/>
          <w:numId w:val="1022"/>
        </w:numPr>
      </w:pPr>
      <w:r>
        <w:t xml:space="preserve">Clear separation of concerns</w:t>
      </w:r>
    </w:p>
    <w:p>
      <w:pPr>
        <w:pStyle w:val="Compact"/>
        <w:numPr>
          <w:ilvl w:val="0"/>
          <w:numId w:val="1022"/>
        </w:numPr>
      </w:pPr>
      <w:r>
        <w:t xml:space="preserve">Event-driven design</w:t>
      </w:r>
    </w:p>
    <w:p>
      <w:pPr>
        <w:pStyle w:val="Compact"/>
        <w:numPr>
          <w:ilvl w:val="0"/>
          <w:numId w:val="1022"/>
        </w:numPr>
      </w:pPr>
      <w:r>
        <w:t xml:space="preserve">Strong security boundaries</w:t>
      </w:r>
    </w:p>
    <w:p>
      <w:pPr>
        <w:pStyle w:val="Compact"/>
        <w:numPr>
          <w:ilvl w:val="0"/>
          <w:numId w:val="1022"/>
        </w:numPr>
      </w:pPr>
      <w:r>
        <w:t xml:space="preserve">Observability built-in</w:t>
      </w:r>
    </w:p>
    <w:p>
      <w:pPr>
        <w:pStyle w:val="Compact"/>
        <w:numPr>
          <w:ilvl w:val="0"/>
          <w:numId w:val="1022"/>
        </w:numPr>
      </w:pPr>
      <w:r>
        <w:t xml:space="preserve">Failure handling via DLQ</w:t>
      </w:r>
    </w:p>
    <w:p>
      <w:pPr>
        <w:pStyle w:val="Compact"/>
        <w:numPr>
          <w:ilvl w:val="0"/>
          <w:numId w:val="1022"/>
        </w:numPr>
      </w:pPr>
      <w:r>
        <w:t xml:space="preserve">Scalable and extensible architecture</w:t>
      </w:r>
    </w:p>
    <w:p>
      <w:r>
        <w:pict>
          <v:rect style="width:0;height:1.5pt" o:hralign="center" o:hrstd="t" o:hr="t"/>
        </w:pict>
      </w:r>
    </w:p>
    <w:bookmarkEnd w:id="50"/>
    <w:bookmarkStart w:id="51" w:name="future-enhancements-optional"/>
    <w:p>
      <w:pPr>
        <w:pStyle w:val="Heading2"/>
      </w:pPr>
      <w:r>
        <w:t xml:space="preserve">12. Future Enhancements (Optional)</w:t>
      </w:r>
    </w:p>
    <w:p>
      <w:pPr>
        <w:pStyle w:val="Compact"/>
        <w:numPr>
          <w:ilvl w:val="0"/>
          <w:numId w:val="1023"/>
        </w:numPr>
      </w:pPr>
      <w:r>
        <w:t xml:space="preserve">Forgot password flow</w:t>
      </w:r>
    </w:p>
    <w:p>
      <w:pPr>
        <w:pStyle w:val="Compact"/>
        <w:numPr>
          <w:ilvl w:val="0"/>
          <w:numId w:val="1023"/>
        </w:numPr>
      </w:pPr>
      <w:r>
        <w:t xml:space="preserve">Cart replacement confirmation</w:t>
      </w:r>
    </w:p>
    <w:p>
      <w:pPr>
        <w:pStyle w:val="Compact"/>
        <w:numPr>
          <w:ilvl w:val="0"/>
          <w:numId w:val="1023"/>
        </w:numPr>
      </w:pPr>
      <w:r>
        <w:t xml:space="preserve">Admin audit logs</w:t>
      </w:r>
    </w:p>
    <w:p>
      <w:pPr>
        <w:pStyle w:val="Compact"/>
        <w:numPr>
          <w:ilvl w:val="0"/>
          <w:numId w:val="1023"/>
        </w:numPr>
      </w:pPr>
      <w:r>
        <w:t xml:space="preserve">Canary deployments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project is designed to reflect real-world backend engineering challenges and solutions.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2026-01-11T13:02:38Z</dcterms:created>
  <dcterms:modified xsi:type="dcterms:W3CDTF">2026-01-11T13:02:38Z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