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0A3663"/>
          <w:sz w:val="44"/>
        </w:rPr>
        <w:t>SIH 2026 — Problem Statement PS146</w:t>
      </w:r>
    </w:p>
    <w:p>
      <w:pPr>
        <w:spacing w:after="280"/>
      </w:pPr>
      <w:r>
        <w:rPr>
          <w:rFonts w:ascii="Calibri" w:hAnsi="Calibri"/>
          <w:i/>
          <w:color w:val="4A5568"/>
          <w:sz w:val="26"/>
        </w:rPr>
        <w:t>AI-Powered Monitoring &amp; Analysis of Bitcoin Transaction Traffic</w:t>
        <w:br/>
        <w:t>Comprehensive Problem Analysis, Technical Architecture &amp; Strategic Execution Plan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0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sz w:val="20"/>
              </w:rPr>
              <w:t>Deployment Target</w:t>
            </w:r>
          </w:p>
        </w:tc>
        <w:tc>
          <w:tcPr>
            <w:tcW w:type="dxa" w:w="4968"/>
            <w:shd w:fill="FAFA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Ubuntu 24.04 LTS (Offline / Air-Gapped Linux &amp; WSL2)</w:t>
            </w:r>
          </w:p>
        </w:tc>
      </w:tr>
      <w:tr>
        <w:tc>
          <w:tcPr>
            <w:tcW w:type="dxa" w:w="4968"/>
            <w:shd w:fill="F0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sz w:val="20"/>
              </w:rPr>
              <w:t>Dataset Specification</w:t>
            </w:r>
          </w:p>
        </w:tc>
        <w:tc>
          <w:tcPr>
            <w:tcW w:type="dxa" w:w="4968"/>
            <w:shd w:fill="FAFA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v2.0 Finalized (82,078 Transactions, Dual-Layer On-Chain + P2P Telemetry)</w:t>
            </w:r>
          </w:p>
        </w:tc>
      </w:tr>
      <w:tr>
        <w:tc>
          <w:tcPr>
            <w:tcW w:type="dxa" w:w="4968"/>
            <w:shd w:fill="F0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sz w:val="20"/>
              </w:rPr>
              <w:t>Primary Storage Strategy</w:t>
            </w:r>
          </w:p>
        </w:tc>
        <w:tc>
          <w:tcPr>
            <w:tcW w:type="dxa" w:w="4968"/>
            <w:shd w:fill="FAFA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In-Memory Pandas DataFrames (High-Performance Zero-DB startup, Postgres fallback)</w:t>
            </w:r>
          </w:p>
        </w:tc>
      </w:tr>
      <w:tr>
        <w:tc>
          <w:tcPr>
            <w:tcW w:type="dxa" w:w="4968"/>
            <w:shd w:fill="F0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sz w:val="20"/>
              </w:rPr>
              <w:t>Graph &amp; ML Engine</w:t>
            </w:r>
          </w:p>
        </w:tc>
        <w:tc>
          <w:tcPr>
            <w:tcW w:type="dxa" w:w="4968"/>
            <w:shd w:fill="FAFA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NetworkX Heterogeneous Graph + XGBoost/LightGBM with TreeSHAP Explainability</w:t>
            </w:r>
          </w:p>
        </w:tc>
      </w:tr>
    </w:tbl>
    <w:p>
      <w:pPr>
        <w:spacing w:after="160"/>
      </w:pPr>
    </w:p>
    <w:p>
      <w:pPr>
        <w:pStyle w:val="Heading1"/>
        <w:spacing w:before="280" w:after="120"/>
      </w:pPr>
      <w:r>
        <w:rPr>
          <w:color w:val="0A3663"/>
        </w:rPr>
        <w:t>1. Detailed Explanation of Problem Statement PS146</w:t>
      </w:r>
    </w:p>
    <w:p>
      <w:pPr>
        <w:spacing w:after="120"/>
      </w:pPr>
      <w:r>
        <w:t>Problem Statement PS146 addresses a critical capability gap in law enforcement and financial intelligence operations: detecting, tracking, and reconstructing illicit cryptocurrency money flows across the Bitcoin blockchain. Traditional blockchain forensic tools rely solely on post-confirmation ledger heuristics (clustering heuristics, address tags), which are often defeated by modern evasion techniques such as peeling chains, multi-hop layering, CoinJoin mixing services, and rapid cross-jurisdiction routing.</w:t>
      </w:r>
    </w:p>
    <w:p>
      <w:pPr>
        <w:spacing w:after="200"/>
      </w:pPr>
      <w:r>
        <w:t>The core innovation of PS146 lies in Dual-Layer Fusion Forensics: combining on-chain financial accounting with pre-block peer-to-peer (P2P) network broadcast metadata. When an entity broadcasts a Bitcoin transaction, it propagates across the P2P gossip network prior to being mined into a block. By capturing the origin relay IP, Autonomous System Number (ASN), ISP infrastructure type, and propagation latency delta (timestamp - relay_timestamp), the forensic platform can identify criminal syndicates utilizing bulletproof hosting, Tor exit nodes, or VPN gateways even when on-chain amounts are obfuscated.</w:t>
      </w:r>
    </w:p>
    <w:p>
      <w:pPr>
        <w:pStyle w:val="Heading2"/>
      </w:pPr>
      <w:r>
        <w:t>Core Objectives of the System:</w:t>
      </w:r>
    </w:p>
    <w:p>
      <w:pPr>
        <w:pStyle w:val="ListBullet"/>
        <w:spacing w:after="60"/>
      </w:pPr>
      <w:r>
        <w:rPr>
          <w:b/>
          <w:color w:val="1B365D"/>
        </w:rPr>
        <w:t xml:space="preserve">Ingest Dual-Layer Telemetry: </w:t>
      </w:r>
      <w:r>
        <w:t>Synchronously merge UTXO ledger transactions with network relay broadcast telemetry on txid without data loss.</w:t>
      </w:r>
    </w:p>
    <w:p>
      <w:pPr>
        <w:pStyle w:val="ListBullet"/>
        <w:spacing w:after="60"/>
      </w:pPr>
      <w:r>
        <w:rPr>
          <w:b/>
          <w:color w:val="1B365D"/>
        </w:rPr>
        <w:t xml:space="preserve">Multi-Entity Graph Construction: </w:t>
      </w:r>
      <w:r>
        <w:t>Model relationships as a heterogeneous graph containing Wallet, Transaction, and IP nodes interconnected by SENT, RECEIVED, and BROADCAST edges.</w:t>
      </w:r>
    </w:p>
    <w:p>
      <w:pPr>
        <w:pStyle w:val="ListBullet"/>
        <w:spacing w:after="60"/>
      </w:pPr>
      <w:r>
        <w:rPr>
          <w:b/>
          <w:color w:val="1B365D"/>
        </w:rPr>
        <w:t xml:space="preserve">Algorithmic Typology Detection: </w:t>
      </w:r>
      <w:r>
        <w:t>Isolate distinct laundering typologies including peeling chains (change reuse), layering (fan-out/fan-in reconvergence), mixing pools (CoinJoin equal-value rounds), and ransomware campaigns.</w:t>
      </w:r>
    </w:p>
    <w:p>
      <w:pPr>
        <w:pStyle w:val="ListBullet"/>
        <w:spacing w:after="60"/>
      </w:pPr>
      <w:r>
        <w:rPr>
          <w:b/>
          <w:color w:val="1B365D"/>
        </w:rPr>
        <w:t xml:space="preserve">Real Machine Learning Classification: </w:t>
      </w:r>
      <w:r>
        <w:t>Train predictive models that output calibrated illicit risk probabilities without artificial label leakage.</w:t>
      </w:r>
    </w:p>
    <w:p>
      <w:pPr>
        <w:pStyle w:val="ListBullet"/>
        <w:spacing w:after="60"/>
      </w:pPr>
      <w:r>
        <w:rPr>
          <w:b/>
          <w:color w:val="1B365D"/>
        </w:rPr>
        <w:t xml:space="preserve">Explainable Forensic Intelligence (XAI): </w:t>
      </w:r>
      <w:r>
        <w:t>Generate court-ready, human-readable explanations powered by SHAP feature attributions detailing exactly why a candidate structure was flagged.</w:t>
      </w:r>
    </w:p>
    <w:p>
      <w:pPr>
        <w:pStyle w:val="ListBullet"/>
        <w:spacing w:after="60"/>
      </w:pPr>
      <w:r>
        <w:rPr>
          <w:b/>
          <w:color w:val="1B365D"/>
        </w:rPr>
        <w:t xml:space="preserve">100% Offline Air-Gapped Operation: </w:t>
      </w:r>
      <w:r>
        <w:t>Deliver an air-gapped, zero-cloud system capable of running in law enforcement sensitive environments on native Linux / WSL2.</w:t>
      </w:r>
    </w:p>
    <w:p>
      <w:pPr>
        <w:spacing w:after="120"/>
      </w:pPr>
    </w:p>
    <w:p>
      <w:pPr>
        <w:pStyle w:val="Heading1"/>
        <w:spacing w:before="280" w:after="120"/>
      </w:pPr>
      <w:r>
        <w:rPr>
          <w:color w:val="0A3663"/>
        </w:rPr>
        <w:t>2. Key Architectural Pillars &amp; Crucial Requirements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0A3663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Domain / Rule</w:t>
            </w:r>
          </w:p>
        </w:tc>
        <w:tc>
          <w:tcPr>
            <w:tcW w:type="dxa" w:w="3312"/>
            <w:shd w:fill="0A3663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Specification &amp; Requirement</w:t>
            </w:r>
          </w:p>
        </w:tc>
        <w:tc>
          <w:tcPr>
            <w:tcW w:type="dxa" w:w="3312"/>
            <w:shd w:fill="0A3663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Critical Detail</w:t>
            </w:r>
          </w:p>
        </w:tc>
      </w:tr>
      <w:tr>
        <w:tc>
          <w:tcPr>
            <w:tcW w:type="dxa" w:w="3312"/>
            <w:shd w:fill="F7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Zero Label Leakage Invariant</w:t>
            </w:r>
          </w:p>
        </w:tc>
        <w:tc>
          <w:tcPr>
            <w:tcW w:type="dxa" w:w="3312"/>
            <w:shd w:fill="F7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is_illicit &amp; pattern_type strictly EXCLUDED from features &amp; heuristics</w:t>
            </w:r>
          </w:p>
        </w:tc>
        <w:tc>
          <w:tcPr>
            <w:tcW w:type="dxa" w:w="3312"/>
            <w:shd w:fill="F7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Mandatory system rule. Ground-truth labels flow ONLY to offline evaluation scripts. Automated assertions prevent leakage.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Dataset Schema (v2.0)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82,078 transactions across 17,613 scenario groups (15/15 integrity PASS)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Multi-I/O array columns (input_addresses, etc.) parsed via json.loads(). 30 hard-negative exchange clusters planted.</w:t>
            </w:r>
          </w:p>
        </w:tc>
      </w:tr>
      <w:tr>
        <w:tc>
          <w:tcPr>
            <w:tcW w:type="dxa" w:w="3312"/>
            <w:shd w:fill="F7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Storage Architecture</w:t>
            </w:r>
          </w:p>
        </w:tc>
        <w:tc>
          <w:tcPr>
            <w:tcW w:type="dxa" w:w="3312"/>
            <w:shd w:fill="F7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In-Memory Pandas DataFrames (Server startup load)</w:t>
            </w:r>
          </w:p>
        </w:tc>
        <w:tc>
          <w:tcPr>
            <w:tcW w:type="dxa" w:w="3312"/>
            <w:shd w:fill="F7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Zero external DB dependencies required for hackathon runtime. PostgreSQL maintained strictly as a standby fallback.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Graph Modeling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NetworkX heterogeneous graph (Wallet, Transaction, IP)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No Neo4j setup overhead. NetworkX computes degree metrics, centrality, and shortest-path trace traversal in-memory.</w:t>
            </w:r>
          </w:p>
        </w:tc>
      </w:tr>
      <w:tr>
        <w:tc>
          <w:tcPr>
            <w:tcW w:type="dxa" w:w="3312"/>
            <w:shd w:fill="F7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Offline Linux Safety</w:t>
            </w:r>
          </w:p>
        </w:tc>
        <w:tc>
          <w:tcPr>
            <w:tcW w:type="dxa" w:w="3312"/>
            <w:shd w:fill="F7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Air-gapped runnability, POSIX pathing, LF line endings</w:t>
            </w:r>
          </w:p>
        </w:tc>
        <w:tc>
          <w:tcPr>
            <w:tcW w:type="dxa" w:w="3312"/>
            <w:shd w:fill="F7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Zero runtime CDN calls (Google Fonts bundled locally). pathlib.Path used exclusively for cross-platform Linux safety.</w:t>
            </w:r>
          </w:p>
        </w:tc>
      </w:tr>
    </w:tbl>
    <w:p>
      <w:pPr>
        <w:spacing w:after="160"/>
      </w:pPr>
    </w:p>
    <w:p>
      <w:pPr>
        <w:pStyle w:val="Heading1"/>
        <w:spacing w:before="280" w:after="120"/>
      </w:pPr>
      <w:r>
        <w:rPr>
          <w:color w:val="0A3663"/>
        </w:rPr>
        <w:t>3. Strategic Roadmap &amp; Phased Execution Plan</w:t>
      </w:r>
    </w:p>
    <w:p>
      <w:pPr>
        <w:pStyle w:val="Heading2"/>
        <w:spacing w:before="200" w:after="80"/>
      </w:pPr>
      <w:r>
        <w:t>Phase 1: Environment &amp; Repository Hardening (Immediate)</w:t>
      </w:r>
    </w:p>
    <w:p>
      <w:pPr>
        <w:pStyle w:val="ListBullet"/>
        <w:spacing w:after="40"/>
      </w:pPr>
      <w:r>
        <w:t>Configure repository .gitattributes with `* text=auto eol=lf` to prevent line-ending corruption.</w:t>
      </w:r>
    </w:p>
    <w:p>
      <w:pPr>
        <w:pStyle w:val="ListBullet"/>
        <w:spacing w:after="40"/>
      </w:pPr>
      <w:r>
        <w:t>Sanitize documentation markdown links from Windows absolute `file:///c:/...` to clean relative paths.</w:t>
      </w:r>
    </w:p>
    <w:p>
      <w:pPr>
        <w:pStyle w:val="ListBullet"/>
        <w:spacing w:after="40"/>
      </w:pPr>
      <w:r>
        <w:t>Scaffold `/backend/app/` structure: `core/`, `models/`, `api/`, `services/`, and `ingestion/`.</w:t>
      </w:r>
    </w:p>
    <w:p>
      <w:pPr>
        <w:pStyle w:val="ListBullet"/>
        <w:spacing w:after="40"/>
      </w:pPr>
      <w:r>
        <w:t>Create `backend/requirements.txt` and launch baseline FastAPI app on `localhost:8000` with `/health` route.</w:t>
      </w:r>
    </w:p>
    <w:p>
      <w:pPr>
        <w:pStyle w:val="Heading2"/>
        <w:spacing w:before="200" w:after="80"/>
      </w:pPr>
      <w:r>
        <w:t>Phase 2: In-Memory Data Ingestion Engine</w:t>
      </w:r>
    </w:p>
    <w:p>
      <w:pPr>
        <w:pStyle w:val="ListBullet"/>
        <w:spacing w:after="40"/>
      </w:pPr>
      <w:r>
        <w:t>Implement `loader.py` using `pathlib.Path` to load `blockchain_transactions.csv` + `network_metadata.csv`.</w:t>
      </w:r>
    </w:p>
    <w:p>
      <w:pPr>
        <w:pStyle w:val="ListBullet"/>
        <w:spacing w:after="40"/>
      </w:pPr>
      <w:r>
        <w:t>Implement `parser.py` to deserialize JSON multi-I/O array columns and compute `propagation_delta_ms`.</w:t>
      </w:r>
    </w:p>
    <w:p>
      <w:pPr>
        <w:pStyle w:val="ListBullet"/>
        <w:spacing w:after="40"/>
      </w:pPr>
      <w:r>
        <w:t>Enforce startup validation asserting 82,078 loaded rows and zero join orphans on `txid`.</w:t>
      </w:r>
    </w:p>
    <w:p>
      <w:pPr>
        <w:pStyle w:val="ListBullet"/>
        <w:spacing w:after="40"/>
      </w:pPr>
      <w:r>
        <w:t>Hold master DataFrames in global application state for instant sub-millisecond retrieval.</w:t>
      </w:r>
    </w:p>
    <w:p>
      <w:pPr>
        <w:pStyle w:val="Heading2"/>
        <w:spacing w:before="200" w:after="80"/>
      </w:pPr>
      <w:r>
        <w:t>Phase 3: Response Schemas &amp; Core API Endpoints</w:t>
      </w:r>
    </w:p>
    <w:p>
      <w:pPr>
        <w:pStyle w:val="ListBullet"/>
        <w:spacing w:after="40"/>
      </w:pPr>
      <w:r>
        <w:t>Implement Pydantic response models in `schemas.py` matching `API_CONTRACT.md` exactly.</w:t>
      </w:r>
    </w:p>
    <w:p>
      <w:pPr>
        <w:pStyle w:val="ListBullet"/>
        <w:spacing w:after="40"/>
      </w:pPr>
      <w:r>
        <w:t>Build `GET /entity/{address}` computing real balances, tx counts, and exchange flags from CSV data.</w:t>
      </w:r>
    </w:p>
    <w:p>
      <w:pPr>
        <w:pStyle w:val="ListBullet"/>
        <w:spacing w:after="40"/>
      </w:pPr>
      <w:r>
        <w:t>Build `GET /transaction/{txid}` serving full dual-layer ledger + P2P network telemetry.</w:t>
      </w:r>
    </w:p>
    <w:p>
      <w:pPr>
        <w:pStyle w:val="ListBullet"/>
        <w:spacing w:after="40"/>
      </w:pPr>
      <w:r>
        <w:t>Build `GET /graph/{scenario_id}` exporting heterogeneous Wallet, Transaction, and IP nodes/edges.</w:t>
      </w:r>
    </w:p>
    <w:p>
      <w:pPr>
        <w:pStyle w:val="ListBullet"/>
        <w:spacing w:after="40"/>
      </w:pPr>
      <w:r>
        <w:t>Build `GET /trace?src=&amp;dst=` running BFS pathfinding over transaction transfer chains.</w:t>
      </w:r>
    </w:p>
    <w:p>
      <w:pPr>
        <w:pStyle w:val="Heading2"/>
        <w:spacing w:before="200" w:after="80"/>
      </w:pPr>
      <w:r>
        <w:t>Phase 4: Graph Engine &amp; Typology Detectors (NetworkX)</w:t>
      </w:r>
    </w:p>
    <w:p>
      <w:pPr>
        <w:pStyle w:val="ListBullet"/>
        <w:spacing w:after="40"/>
      </w:pPr>
      <w:r>
        <w:t>Construct in-memory NetworkX directed graph from parsed ingestion DataFrames.</w:t>
      </w:r>
    </w:p>
    <w:p>
      <w:pPr>
        <w:pStyle w:val="ListBullet"/>
        <w:spacing w:after="40"/>
      </w:pPr>
      <w:r>
        <w:t>Implement topological heuristic for peeling chain traversal (change output reuse across &gt;=3 hops).</w:t>
      </w:r>
    </w:p>
    <w:p>
      <w:pPr>
        <w:pStyle w:val="ListBullet"/>
        <w:spacing w:after="40"/>
      </w:pPr>
      <w:r>
        <w:t>Implement layering detector (fan-out N outputs followed by fan-in consolidation).</w:t>
      </w:r>
    </w:p>
    <w:p>
      <w:pPr>
        <w:pStyle w:val="ListBullet"/>
        <w:spacing w:after="40"/>
      </w:pPr>
      <w:r>
        <w:t>Implement CoinJoin mixing detector (equal-denomination multi-party clusters via Louvain modularity).</w:t>
      </w:r>
    </w:p>
    <w:p>
      <w:pPr>
        <w:pStyle w:val="Heading2"/>
        <w:spacing w:before="200" w:after="80"/>
      </w:pPr>
      <w:r>
        <w:t>Phase 5: Machine Learning &amp; Explainability Engine (Owner-Led)</w:t>
      </w:r>
    </w:p>
    <w:p>
      <w:pPr>
        <w:pStyle w:val="ListBullet"/>
        <w:spacing w:after="40"/>
      </w:pPr>
      <w:r>
        <w:t>Engineer feature matrix: financial aggregates, script type one-hots, timing delta, network infrastructure one-hots.</w:t>
      </w:r>
    </w:p>
    <w:p>
      <w:pPr>
        <w:pStyle w:val="ListBullet"/>
        <w:spacing w:after="40"/>
      </w:pPr>
      <w:r>
        <w:t>Automate safety unit test asserting strict absence of `is_illicit`, `pattern_type`, `scenario_id`, `split` in features.</w:t>
      </w:r>
    </w:p>
    <w:p>
      <w:pPr>
        <w:pStyle w:val="ListBullet"/>
        <w:spacing w:after="40"/>
      </w:pPr>
      <w:r>
        <w:t>Train LightGBM / XGBoost multi-class and binary models using 5-fold `GroupKFold` on `scenario_id`.</w:t>
      </w:r>
    </w:p>
    <w:p>
      <w:pPr>
        <w:pStyle w:val="ListBullet"/>
        <w:spacing w:after="40"/>
      </w:pPr>
      <w:r>
        <w:t>Integrate TreeSHAP to compute local feature attributions and feed `/alerts` &amp; `/alerts/{id}/evidence`.</w:t>
      </w:r>
    </w:p>
    <w:p>
      <w:pPr>
        <w:pStyle w:val="Heading2"/>
        <w:spacing w:before="200" w:after="80"/>
      </w:pPr>
      <w:r>
        <w:t>Phase 6: Frontend Integration &amp; Visualizer Reconciliation</w:t>
      </w:r>
    </w:p>
    <w:p>
      <w:pPr>
        <w:pStyle w:val="ListBullet"/>
        <w:spacing w:after="40"/>
      </w:pPr>
      <w:r>
        <w:t>Reconcile terminal CLI and Three.js 3D visualizer from Ethereum/EVM mocks to real Bitcoin UTXO schemas.</w:t>
      </w:r>
    </w:p>
    <w:p>
      <w:pPr>
        <w:pStyle w:val="ListBullet"/>
        <w:spacing w:after="40"/>
      </w:pPr>
      <w:r>
        <w:t>Connect UI commands (`graph`, `inspect`, `trace`, `dmesg`, `alerts`) directly to live FastAPI backend.</w:t>
      </w:r>
    </w:p>
    <w:p>
      <w:pPr>
        <w:pStyle w:val="ListBullet"/>
        <w:spacing w:after="40"/>
      </w:pPr>
      <w:r>
        <w:t>Bundle font assets locally in `public/fonts/` to ensure zero runtime network calls.</w:t>
      </w:r>
    </w:p>
    <w:p>
      <w:pPr>
        <w:pStyle w:val="Heading2"/>
        <w:spacing w:before="200" w:after="80"/>
      </w:pPr>
      <w:r>
        <w:t>Phase 7: End-to-End Testing &amp; Air-Gapped Packaging</w:t>
      </w:r>
    </w:p>
    <w:p>
      <w:pPr>
        <w:pStyle w:val="ListBullet"/>
        <w:spacing w:after="40"/>
      </w:pPr>
      <w:r>
        <w:t>Run complete scenario validation flow (e.g. `peel_001`) from raw CSV -&gt; NetworkX -&gt; ML -&gt; API -&gt; UI.</w:t>
      </w:r>
    </w:p>
    <w:p>
      <w:pPr>
        <w:pStyle w:val="ListBullet"/>
        <w:spacing w:after="40"/>
      </w:pPr>
      <w:r>
        <w:t>Verify 100% offline air-gapped runnability on native Ubuntu 24.04 Linux environment.</w:t>
      </w:r>
    </w:p>
    <w:p>
      <w:pPr>
        <w:pStyle w:val="ListBullet"/>
        <w:spacing w:after="40"/>
      </w:pPr>
      <w:r>
        <w:t>Prepare final presentation deck and forensic case walkthrough.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