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0"/>
        <w:rPr/>
      </w:pPr>
      <w:r>
        <w:rPr/>
      </w:r>
    </w:p>
    <w:p>
      <w:pPr>
        <w:pStyle w:val="Normal"/>
        <w:spacing w:before="0" w:after="120"/>
        <w:jc w:val="center"/>
        <w:rPr/>
      </w:pPr>
      <w:r>
        <w:rPr>
          <w:rFonts w:eastAsia="Arial" w:cs="Arial"/>
          <w:b/>
          <w:bCs/>
          <w:color w:val="1B3A6B"/>
          <w:sz w:val="80"/>
          <w:szCs w:val="80"/>
        </w:rPr>
        <w:t>SMISSI</w:t>
      </w:r>
    </w:p>
    <w:p>
      <w:pPr>
        <w:pStyle w:val="Normal"/>
        <w:spacing w:before="0" w:after="160"/>
        <w:jc w:val="center"/>
        <w:rPr/>
      </w:pPr>
      <w:r>
        <w:rPr>
          <w:rFonts w:eastAsia="Arial" w:cs="Arial"/>
          <w:color w:val="2E7DD4"/>
          <w:sz w:val="32"/>
          <w:szCs w:val="32"/>
        </w:rPr>
        <w:t>School Management Information System</w:t>
      </w:r>
    </w:p>
    <w:p>
      <w:pPr>
        <w:pStyle w:val="Normal"/>
        <w:pBdr>
          <w:bottom w:val="single" w:sz="12" w:space="1" w:color="2E7DD4"/>
        </w:pBdr>
        <w:spacing w:before="0" w:after="200"/>
        <w:rPr/>
      </w:pPr>
      <w:r>
        <w:rPr/>
      </w:r>
    </w:p>
    <w:p>
      <w:pPr>
        <w:pStyle w:val="Normal"/>
        <w:spacing w:before="0" w:after="80"/>
        <w:jc w:val="center"/>
        <w:rPr/>
      </w:pPr>
      <w:r>
        <w:rPr>
          <w:rFonts w:eastAsia="Arial" w:cs="Arial"/>
          <w:b/>
          <w:bCs/>
          <w:color w:val="2C2C2C"/>
          <w:sz w:val="44"/>
          <w:szCs w:val="44"/>
        </w:rPr>
        <w:t>Project Delivery Plan</w:t>
      </w:r>
    </w:p>
    <w:p>
      <w:pPr>
        <w:pStyle w:val="Normal"/>
        <w:spacing w:before="0" w:after="600"/>
        <w:jc w:val="center"/>
        <w:rPr/>
      </w:pPr>
      <w:r>
        <w:rPr>
          <w:rFonts w:eastAsia="Arial" w:cs="Arial"/>
          <w:color w:val="555555"/>
          <w:sz w:val="26"/>
          <w:szCs w:val="26"/>
        </w:rPr>
        <w:t>Timeline &amp; Milestone Schedule</w:t>
      </w:r>
    </w:p>
    <w:p>
      <w:pPr>
        <w:pStyle w:val="Normal"/>
        <w:spacing w:before="0" w:after="400"/>
        <w:rPr/>
      </w:pPr>
      <w:r>
        <w:rPr/>
      </w:r>
    </w:p>
    <w:tbl>
      <w:tblPr>
        <w:tblW w:w="6000" w:type="dxa"/>
        <w:jc w:val="center"/>
        <w:tblInd w:w="0" w:type="dxa"/>
        <w:tblLayout w:type="fixed"/>
        <w:tblCellMar>
          <w:top w:w="0" w:type="dxa"/>
          <w:left w:w="108" w:type="dxa"/>
          <w:bottom w:w="0" w:type="dxa"/>
          <w:right w:w="108" w:type="dxa"/>
        </w:tblCellMar>
      </w:tblPr>
      <w:tblGrid>
        <w:gridCol w:w="3000"/>
        <w:gridCol w:w="2999"/>
      </w:tblGrid>
      <w:tr>
        <w:trPr/>
        <w:tc>
          <w:tcPr>
            <w:tcW w:w="3000" w:type="dxa"/>
            <w:tcBorders/>
          </w:tcPr>
          <w:p>
            <w:pPr>
              <w:pStyle w:val="Normal"/>
              <w:spacing w:before="60" w:after="60"/>
              <w:jc w:val="right"/>
              <w:rPr/>
            </w:pPr>
            <w:r>
              <w:rPr>
                <w:rFonts w:eastAsia="Arial" w:cs="Arial"/>
                <w:b/>
                <w:bCs/>
                <w:color w:val="1B3A6B"/>
                <w:sz w:val="20"/>
                <w:szCs w:val="20"/>
              </w:rPr>
              <w:t>Prepared for:</w:t>
            </w:r>
          </w:p>
        </w:tc>
        <w:tc>
          <w:tcPr>
            <w:tcW w:w="2999" w:type="dxa"/>
            <w:tcBorders/>
            <w:tcMar>
              <w:left w:w="200" w:type="dxa"/>
            </w:tcMar>
          </w:tcPr>
          <w:p>
            <w:pPr>
              <w:pStyle w:val="Normal"/>
              <w:spacing w:before="60" w:after="60"/>
              <w:jc w:val="left"/>
              <w:rPr/>
            </w:pPr>
            <w:r>
              <w:rPr>
                <w:rFonts w:eastAsia="Arial" w:cs="Arial"/>
                <w:color w:val="555555"/>
                <w:sz w:val="20"/>
                <w:szCs w:val="20"/>
              </w:rPr>
              <w:t>Edwin</w:t>
            </w:r>
          </w:p>
        </w:tc>
      </w:tr>
      <w:tr>
        <w:trPr/>
        <w:tc>
          <w:tcPr>
            <w:tcW w:w="3000" w:type="dxa"/>
            <w:tcBorders/>
          </w:tcPr>
          <w:p>
            <w:pPr>
              <w:pStyle w:val="Normal"/>
              <w:spacing w:before="60" w:after="60"/>
              <w:jc w:val="right"/>
              <w:rPr/>
            </w:pPr>
            <w:r>
              <w:rPr>
                <w:rFonts w:eastAsia="Arial" w:cs="Arial"/>
                <w:b/>
                <w:bCs/>
                <w:color w:val="1B3A6B"/>
                <w:sz w:val="20"/>
                <w:szCs w:val="20"/>
              </w:rPr>
              <w:t>Prepared by:</w:t>
            </w:r>
          </w:p>
        </w:tc>
        <w:tc>
          <w:tcPr>
            <w:tcW w:w="2999" w:type="dxa"/>
            <w:tcBorders/>
            <w:tcMar>
              <w:left w:w="200" w:type="dxa"/>
            </w:tcMar>
          </w:tcPr>
          <w:p>
            <w:pPr>
              <w:pStyle w:val="Normal"/>
              <w:spacing w:before="60" w:after="60"/>
              <w:jc w:val="left"/>
              <w:rPr/>
            </w:pPr>
            <w:r>
              <w:rPr>
                <w:rFonts w:eastAsia="Arial" w:cs="Arial"/>
                <w:color w:val="555555"/>
                <w:sz w:val="20"/>
                <w:szCs w:val="20"/>
              </w:rPr>
              <w:t>Development Team</w:t>
            </w:r>
          </w:p>
        </w:tc>
      </w:tr>
      <w:tr>
        <w:trPr/>
        <w:tc>
          <w:tcPr>
            <w:tcW w:w="3000" w:type="dxa"/>
            <w:tcBorders/>
          </w:tcPr>
          <w:p>
            <w:pPr>
              <w:pStyle w:val="Normal"/>
              <w:spacing w:before="60" w:after="60"/>
              <w:jc w:val="right"/>
              <w:rPr/>
            </w:pPr>
            <w:r>
              <w:rPr>
                <w:rFonts w:eastAsia="Arial" w:cs="Arial"/>
                <w:b/>
                <w:bCs/>
                <w:color w:val="1B3A6B"/>
                <w:sz w:val="20"/>
                <w:szCs w:val="20"/>
              </w:rPr>
              <w:t>Date:</w:t>
            </w:r>
          </w:p>
        </w:tc>
        <w:tc>
          <w:tcPr>
            <w:tcW w:w="2999" w:type="dxa"/>
            <w:tcBorders/>
            <w:tcMar>
              <w:left w:w="200" w:type="dxa"/>
            </w:tcMar>
          </w:tcPr>
          <w:p>
            <w:pPr>
              <w:pStyle w:val="Normal"/>
              <w:spacing w:before="60" w:after="60"/>
              <w:jc w:val="left"/>
              <w:rPr/>
            </w:pPr>
            <w:r>
              <w:rPr>
                <w:rFonts w:eastAsia="Arial" w:cs="Arial"/>
                <w:color w:val="555555"/>
                <w:sz w:val="20"/>
                <w:szCs w:val="20"/>
              </w:rPr>
              <w:t>March 2026</w:t>
            </w:r>
          </w:p>
        </w:tc>
      </w:tr>
      <w:tr>
        <w:trPr/>
        <w:tc>
          <w:tcPr>
            <w:tcW w:w="3000" w:type="dxa"/>
            <w:tcBorders/>
          </w:tcPr>
          <w:p>
            <w:pPr>
              <w:pStyle w:val="Normal"/>
              <w:spacing w:before="60" w:after="60"/>
              <w:jc w:val="right"/>
              <w:rPr/>
            </w:pPr>
            <w:r>
              <w:rPr>
                <w:rFonts w:eastAsia="Arial" w:cs="Arial"/>
                <w:b/>
                <w:bCs/>
                <w:color w:val="1B3A6B"/>
                <w:sz w:val="20"/>
                <w:szCs w:val="20"/>
              </w:rPr>
              <w:t>Version:</w:t>
            </w:r>
          </w:p>
        </w:tc>
        <w:tc>
          <w:tcPr>
            <w:tcW w:w="2999" w:type="dxa"/>
            <w:tcBorders/>
            <w:tcMar>
              <w:left w:w="200" w:type="dxa"/>
            </w:tcMar>
          </w:tcPr>
          <w:p>
            <w:pPr>
              <w:pStyle w:val="Normal"/>
              <w:spacing w:before="60" w:after="60"/>
              <w:jc w:val="left"/>
              <w:rPr/>
            </w:pPr>
            <w:r>
              <w:rPr>
                <w:rFonts w:eastAsia="Arial" w:cs="Arial"/>
                <w:color w:val="555555"/>
                <w:sz w:val="20"/>
                <w:szCs w:val="20"/>
              </w:rPr>
              <w:t>1.0</w:t>
            </w:r>
          </w:p>
        </w:tc>
      </w:tr>
    </w:tbl>
    <w:p>
      <w:pPr>
        <w:pStyle w:val="Normal"/>
        <w:spacing w:before="0" w:after="800"/>
        <w:rPr/>
      </w:pPr>
      <w:r>
        <w:rPr/>
      </w:r>
    </w:p>
    <w:p>
      <w:pPr>
        <w:pStyle w:val="Normal"/>
        <w:rPr/>
      </w:pPr>
      <w:r>
        <w:rPr/>
      </w:r>
      <w:r>
        <w:br w:type="page"/>
      </w:r>
    </w:p>
    <w:p>
      <w:pPr>
        <w:pStyle w:val="Heading1"/>
        <w:spacing w:before="0" w:after="160"/>
        <w:rPr/>
      </w:pPr>
      <w:r>
        <w:rPr/>
        <w:t>1. Project Overview</w:t>
      </w:r>
    </w:p>
    <w:p>
      <w:pPr>
        <w:pStyle w:val="Normal"/>
        <w:pBdr>
          <w:bottom w:val="single" w:sz="8" w:space="1" w:color="1B3A6B"/>
        </w:pBdr>
        <w:spacing w:before="0" w:after="240"/>
        <w:rPr/>
      </w:pPr>
      <w:r>
        <w:rPr/>
      </w:r>
    </w:p>
    <w:p>
      <w:pPr>
        <w:pStyle w:val="Normal"/>
        <w:spacing w:before="60" w:after="80"/>
        <w:rPr/>
      </w:pPr>
      <w:r>
        <w:rPr>
          <w:rFonts w:eastAsia="Arial" w:cs="Arial"/>
          <w:color w:val="555555"/>
          <w:sz w:val="22"/>
          <w:szCs w:val="22"/>
        </w:rPr>
        <w:t>SMISSI (School Management Information System) is a comprehensive, multi-school management platform built to digitalise and unify every operational department of a secondary school. The system spans 35 role-based web portals across 16 functional modules — covering everything from academic management and fee collection to boarding, health, security, and human resources.</w:t>
      </w:r>
    </w:p>
    <w:p>
      <w:pPr>
        <w:pStyle w:val="Normal"/>
        <w:spacing w:before="0" w:after="120"/>
        <w:rPr/>
      </w:pPr>
      <w:r>
        <w:rPr/>
      </w:r>
    </w:p>
    <w:tbl>
      <w:tblPr>
        <w:tblW w:w="9360" w:type="dxa"/>
        <w:jc w:val="left"/>
        <w:tblInd w:w="0" w:type="dxa"/>
        <w:tblLayout w:type="fixed"/>
        <w:tblCellMar>
          <w:top w:w="160" w:type="dxa"/>
          <w:left w:w="200" w:type="dxa"/>
          <w:bottom w:w="160" w:type="dxa"/>
          <w:right w:w="200" w:type="dxa"/>
        </w:tblCellMar>
      </w:tblPr>
      <w:tblGrid>
        <w:gridCol w:w="3120"/>
        <w:gridCol w:w="3120"/>
        <w:gridCol w:w="3120"/>
      </w:tblGrid>
      <w:tr>
        <w:trPr/>
        <w:tc>
          <w:tcPr>
            <w:tcW w:w="3120" w:type="dxa"/>
            <w:tcBorders/>
            <w:shd w:fill="1B3A6B" w:val="clear"/>
            <w:vAlign w:val="center"/>
          </w:tcPr>
          <w:p>
            <w:pPr>
              <w:pStyle w:val="Normal"/>
              <w:spacing w:before="0" w:after="60"/>
              <w:jc w:val="center"/>
              <w:rPr/>
            </w:pPr>
            <w:r>
              <w:rPr>
                <w:rFonts w:eastAsia="Arial" w:cs="Arial"/>
                <w:b/>
                <w:bCs/>
                <w:color w:val="FFFFFF"/>
                <w:sz w:val="52"/>
                <w:szCs w:val="52"/>
              </w:rPr>
              <w:t>35</w:t>
            </w:r>
          </w:p>
          <w:p>
            <w:pPr>
              <w:pStyle w:val="Normal"/>
              <w:spacing w:before="0" w:after="0"/>
              <w:jc w:val="center"/>
              <w:rPr/>
            </w:pPr>
            <w:r>
              <w:rPr>
                <w:rFonts w:eastAsia="Arial" w:cs="Arial"/>
                <w:color w:val="B8D4F0"/>
                <w:sz w:val="18"/>
                <w:szCs w:val="18"/>
              </w:rPr>
              <w:t>Role-Based Portals</w:t>
            </w:r>
          </w:p>
        </w:tc>
        <w:tc>
          <w:tcPr>
            <w:tcW w:w="3120" w:type="dxa"/>
            <w:tcBorders/>
            <w:shd w:fill="2E7DD4" w:val="clear"/>
            <w:vAlign w:val="center"/>
          </w:tcPr>
          <w:p>
            <w:pPr>
              <w:pStyle w:val="Normal"/>
              <w:spacing w:before="0" w:after="60"/>
              <w:jc w:val="center"/>
              <w:rPr/>
            </w:pPr>
            <w:r>
              <w:rPr>
                <w:rFonts w:eastAsia="Arial" w:cs="Arial"/>
                <w:b/>
                <w:bCs/>
                <w:color w:val="FFFFFF"/>
                <w:sz w:val="52"/>
                <w:szCs w:val="52"/>
              </w:rPr>
              <w:t>16</w:t>
            </w:r>
          </w:p>
          <w:p>
            <w:pPr>
              <w:pStyle w:val="Normal"/>
              <w:spacing w:before="0" w:after="0"/>
              <w:jc w:val="center"/>
              <w:rPr/>
            </w:pPr>
            <w:r>
              <w:rPr>
                <w:rFonts w:eastAsia="Arial" w:cs="Arial"/>
                <w:color w:val="CCE4F7"/>
                <w:sz w:val="18"/>
                <w:szCs w:val="18"/>
              </w:rPr>
              <w:t>Functional Modules</w:t>
            </w:r>
          </w:p>
        </w:tc>
        <w:tc>
          <w:tcPr>
            <w:tcW w:w="3120" w:type="dxa"/>
            <w:tcBorders/>
            <w:shd w:fill="1A5276" w:val="clear"/>
            <w:vAlign w:val="center"/>
          </w:tcPr>
          <w:p>
            <w:pPr>
              <w:pStyle w:val="Normal"/>
              <w:spacing w:before="0" w:after="60"/>
              <w:jc w:val="center"/>
              <w:rPr/>
            </w:pPr>
            <w:r>
              <w:rPr>
                <w:rFonts w:eastAsia="Arial" w:cs="Arial"/>
                <w:b/>
                <w:bCs/>
                <w:color w:val="FFFFFF"/>
                <w:sz w:val="52"/>
                <w:szCs w:val="52"/>
              </w:rPr>
              <w:t>2</w:t>
            </w:r>
          </w:p>
          <w:p>
            <w:pPr>
              <w:pStyle w:val="Normal"/>
              <w:spacing w:before="0" w:after="0"/>
              <w:jc w:val="center"/>
              <w:rPr/>
            </w:pPr>
            <w:r>
              <w:rPr>
                <w:rFonts w:eastAsia="Arial" w:cs="Arial"/>
                <w:color w:val="A9CCE3"/>
                <w:sz w:val="18"/>
                <w:szCs w:val="18"/>
              </w:rPr>
              <w:t>Delivery Phases</w:t>
            </w:r>
          </w:p>
        </w:tc>
      </w:tr>
    </w:tbl>
    <w:p>
      <w:pPr>
        <w:pStyle w:val="Normal"/>
        <w:spacing w:before="0" w:after="200"/>
        <w:rPr/>
      </w:pPr>
      <w:r>
        <w:rPr/>
      </w:r>
    </w:p>
    <w:p>
      <w:pPr>
        <w:pStyle w:val="Normal"/>
        <w:spacing w:before="60" w:after="80"/>
        <w:rPr/>
      </w:pPr>
      <w:r>
        <w:rPr>
          <w:rFonts w:eastAsia="Arial" w:cs="Arial"/>
          <w:color w:val="555555"/>
          <w:sz w:val="22"/>
          <w:szCs w:val="22"/>
        </w:rPr>
        <w:t>Development is structured in two sequential phases. Phase 1 focuses on the core platform modules that are essential for daily school operations and revenue management. Phase 2 delivers the extended operational ecosystem that connects every department within the institution.</w:t>
      </w:r>
    </w:p>
    <w:p>
      <w:pPr>
        <w:pStyle w:val="Normal"/>
        <w:spacing w:before="0" w:after="80"/>
        <w:rPr/>
      </w:pPr>
      <w:r>
        <w:rPr/>
      </w:r>
    </w:p>
    <w:tbl>
      <w:tblPr>
        <w:tblW w:w="9360" w:type="dxa"/>
        <w:jc w:val="left"/>
        <w:tblInd w:w="0" w:type="dxa"/>
        <w:tblLayout w:type="fixed"/>
        <w:tblCellMar>
          <w:top w:w="160" w:type="dxa"/>
          <w:left w:w="240" w:type="dxa"/>
          <w:bottom w:w="160" w:type="dxa"/>
          <w:right w:w="200" w:type="dxa"/>
        </w:tblCellMar>
      </w:tblPr>
      <w:tblGrid>
        <w:gridCol w:w="4680"/>
        <w:gridCol w:w="4679"/>
      </w:tblGrid>
      <w:tr>
        <w:trPr/>
        <w:tc>
          <w:tcPr>
            <w:tcW w:w="4680" w:type="dxa"/>
            <w:tcBorders/>
            <w:shd w:fill="D6E8F7" w:val="clear"/>
          </w:tcPr>
          <w:p>
            <w:pPr>
              <w:pStyle w:val="Normal"/>
              <w:spacing w:before="0" w:after="80"/>
              <w:rPr/>
            </w:pPr>
            <w:r>
              <w:rPr>
                <w:rFonts w:eastAsia="Arial" w:cs="Arial"/>
                <w:b/>
                <w:bCs/>
                <w:color w:val="1B3A6B"/>
                <w:sz w:val="22"/>
                <w:szCs w:val="22"/>
              </w:rPr>
              <w:t>Phase 1 — Core Platform</w:t>
            </w:r>
          </w:p>
          <w:p>
            <w:pPr>
              <w:pStyle w:val="Normal"/>
              <w:spacing w:before="0" w:after="60"/>
              <w:rPr/>
            </w:pPr>
            <w:r>
              <w:rPr>
                <w:rFonts w:eastAsia="Arial" w:cs="Arial"/>
                <w:color w:val="2E7DD4"/>
                <w:sz w:val="20"/>
                <w:szCs w:val="20"/>
              </w:rPr>
              <w:t>March 2026 — 30 April 2026</w:t>
            </w:r>
          </w:p>
          <w:p>
            <w:pPr>
              <w:pStyle w:val="Normal"/>
              <w:spacing w:before="0" w:after="0"/>
              <w:rPr/>
            </w:pPr>
            <w:r>
              <w:rPr>
                <w:rFonts w:eastAsia="Arial" w:cs="Arial"/>
                <w:i/>
                <w:iCs/>
                <w:color w:val="555555"/>
                <w:sz w:val="19"/>
                <w:szCs w:val="19"/>
              </w:rPr>
              <w:t>Authentication, Student Records, Academic Management, Finance, Payroll, Communications, Leadership Dashboards</w:t>
            </w:r>
          </w:p>
        </w:tc>
        <w:tc>
          <w:tcPr>
            <w:tcW w:w="4679" w:type="dxa"/>
            <w:tcBorders/>
            <w:shd w:fill="E8E4F5" w:val="clear"/>
          </w:tcPr>
          <w:p>
            <w:pPr>
              <w:pStyle w:val="Normal"/>
              <w:spacing w:before="0" w:after="80"/>
              <w:rPr/>
            </w:pPr>
            <w:r>
              <w:rPr>
                <w:rFonts w:eastAsia="Arial" w:cs="Arial"/>
                <w:b/>
                <w:bCs/>
                <w:color w:val="4A3B8C"/>
                <w:sz w:val="22"/>
                <w:szCs w:val="22"/>
              </w:rPr>
              <w:t>Phase 2 — Extended Operations</w:t>
            </w:r>
          </w:p>
          <w:p>
            <w:pPr>
              <w:pStyle w:val="Normal"/>
              <w:spacing w:before="0" w:after="60"/>
              <w:rPr/>
            </w:pPr>
            <w:r>
              <w:rPr>
                <w:rFonts w:eastAsia="Arial" w:cs="Arial"/>
                <w:color w:val="4A3B8C"/>
                <w:sz w:val="20"/>
                <w:szCs w:val="20"/>
              </w:rPr>
              <w:t>1 May 2026 — 15 June 2026</w:t>
            </w:r>
          </w:p>
          <w:p>
            <w:pPr>
              <w:pStyle w:val="Normal"/>
              <w:spacing w:before="0" w:after="0"/>
              <w:rPr/>
            </w:pPr>
            <w:r>
              <w:rPr>
                <w:rFonts w:eastAsia="Arial" w:cs="Arial"/>
                <w:i/>
                <w:iCs/>
                <w:color w:val="555555"/>
                <w:sz w:val="19"/>
                <w:szCs w:val="19"/>
              </w:rPr>
              <w:t>Boarding, Health, Security, Facilities, ECA, Uniforms, HR, SEN &amp; Counseling, HOD Portal</w:t>
            </w:r>
          </w:p>
        </w:tc>
      </w:tr>
    </w:tbl>
    <w:p>
      <w:pPr>
        <w:pStyle w:val="Normal"/>
        <w:spacing w:before="0" w:after="240"/>
        <w:rPr/>
      </w:pPr>
      <w:r>
        <w:rPr/>
      </w:r>
    </w:p>
    <w:p>
      <w:pPr>
        <w:pStyle w:val="Normal"/>
        <w:rPr/>
      </w:pPr>
      <w:r>
        <w:rPr/>
      </w:r>
      <w:r>
        <w:br w:type="page"/>
      </w:r>
    </w:p>
    <w:p>
      <w:pPr>
        <w:pStyle w:val="Heading1"/>
        <w:spacing w:before="0" w:after="160"/>
        <w:rPr/>
      </w:pPr>
      <w:r>
        <w:rPr/>
        <w:t>2. Phase 1 — Core Platform</w:t>
      </w:r>
    </w:p>
    <w:p>
      <w:pPr>
        <w:pStyle w:val="Normal"/>
        <w:pBdr>
          <w:bottom w:val="single" w:sz="8" w:space="1" w:color="1A7A4A"/>
        </w:pBdr>
        <w:spacing w:before="0" w:after="240"/>
        <w:rPr/>
      </w:pPr>
      <w:r>
        <w:rPr/>
      </w:r>
    </w:p>
    <w:p>
      <w:pPr>
        <w:pStyle w:val="Normal"/>
        <w:spacing w:before="0" w:after="80"/>
        <w:rPr/>
      </w:pPr>
      <w:r>
        <w:rPr/>
      </w:r>
    </w:p>
    <w:tbl>
      <w:tblPr>
        <w:tblW w:w="9360" w:type="dxa"/>
        <w:jc w:val="left"/>
        <w:tblInd w:w="0" w:type="dxa"/>
        <w:tblLayout w:type="fixed"/>
        <w:tblCellMar>
          <w:top w:w="160" w:type="dxa"/>
          <w:left w:w="240" w:type="dxa"/>
          <w:bottom w:w="160" w:type="dxa"/>
          <w:right w:w="120" w:type="dxa"/>
        </w:tblCellMar>
      </w:tblPr>
      <w:tblGrid>
        <w:gridCol w:w="6400"/>
        <w:gridCol w:w="2959"/>
      </w:tblGrid>
      <w:tr>
        <w:trPr/>
        <w:tc>
          <w:tcPr>
            <w:tcW w:w="6400" w:type="dxa"/>
            <w:tcBorders/>
            <w:shd w:fill="1A7A4A" w:val="clear"/>
            <w:vAlign w:val="center"/>
          </w:tcPr>
          <w:p>
            <w:pPr>
              <w:pStyle w:val="Normal"/>
              <w:rPr/>
            </w:pPr>
            <w:r>
              <w:rPr>
                <w:rFonts w:eastAsia="Arial" w:cs="Arial"/>
                <w:b/>
                <w:bCs/>
                <w:color w:val="FFFFFF"/>
                <w:sz w:val="32"/>
                <w:szCs w:val="32"/>
              </w:rPr>
              <w:t>PHASE 1  |  Core Platform</w:t>
            </w:r>
          </w:p>
        </w:tc>
        <w:tc>
          <w:tcPr>
            <w:tcW w:w="2959" w:type="dxa"/>
            <w:tcBorders/>
            <w:shd w:fill="D4EDDA" w:val="clear"/>
            <w:tcMar>
              <w:left w:w="200" w:type="dxa"/>
              <w:right w:w="200" w:type="dxa"/>
            </w:tcMar>
            <w:vAlign w:val="center"/>
          </w:tcPr>
          <w:p>
            <w:pPr>
              <w:pStyle w:val="Normal"/>
              <w:spacing w:before="0" w:after="40"/>
              <w:jc w:val="center"/>
              <w:rPr/>
            </w:pPr>
            <w:r>
              <w:rPr>
                <w:rFonts w:eastAsia="Arial" w:cs="Arial"/>
                <w:color w:val="1A7A4A"/>
                <w:sz w:val="18"/>
                <w:szCs w:val="18"/>
              </w:rPr>
              <w:t>Delivery Window</w:t>
            </w:r>
          </w:p>
          <w:p>
            <w:pPr>
              <w:pStyle w:val="Normal"/>
              <w:spacing w:before="0" w:after="0"/>
              <w:jc w:val="center"/>
              <w:rPr/>
            </w:pPr>
            <w:r>
              <w:rPr>
                <w:rFonts w:eastAsia="Arial" w:cs="Arial"/>
                <w:b/>
                <w:bCs/>
                <w:color w:val="1A7A4A"/>
                <w:sz w:val="22"/>
                <w:szCs w:val="22"/>
              </w:rPr>
              <w:t>March 2026 — 30 April 2026</w:t>
            </w:r>
          </w:p>
        </w:tc>
      </w:tr>
    </w:tbl>
    <w:p>
      <w:pPr>
        <w:pStyle w:val="Normal"/>
        <w:spacing w:before="0" w:after="200"/>
        <w:rPr/>
      </w:pPr>
      <w:r>
        <w:rPr/>
      </w:r>
    </w:p>
    <w:p>
      <w:pPr>
        <w:pStyle w:val="Normal"/>
        <w:spacing w:before="60" w:after="80"/>
        <w:rPr/>
      </w:pPr>
      <w:r>
        <w:rPr>
          <w:rFonts w:eastAsia="Arial" w:cs="Arial"/>
          <w:color w:val="555555"/>
          <w:sz w:val="22"/>
          <w:szCs w:val="22"/>
        </w:rPr>
        <w:t>Phase 1 delivers the operational backbone of SMISSI — the systems the school depends on every day. This phase covers the seven core modules that directly impact student management, academic delivery, revenue collection, and staff administration. Completion of Phase 1 marks the point at which the school can fully operate the system for its day-to-day functions.</w:t>
      </w:r>
    </w:p>
    <w:p>
      <w:pPr>
        <w:pStyle w:val="Normal"/>
        <w:spacing w:before="0" w:after="160"/>
        <w:rPr/>
      </w:pPr>
      <w:r>
        <w:rPr/>
      </w:r>
    </w:p>
    <w:p>
      <w:pPr>
        <w:pStyle w:val="Heading2"/>
        <w:rPr/>
      </w:pPr>
      <w:r>
        <w:rPr/>
        <w:t>2.1  Modules in Scope</w:t>
      </w:r>
    </w:p>
    <w:p>
      <w:pPr>
        <w:pStyle w:val="Normal"/>
        <w:spacing w:before="0" w:after="80"/>
        <w:rPr/>
      </w:pPr>
      <w:r>
        <w:rPr/>
      </w:r>
    </w:p>
    <w:tbl>
      <w:tblPr>
        <w:tblW w:w="9360" w:type="dxa"/>
        <w:jc w:val="left"/>
        <w:tblInd w:w="0" w:type="dxa"/>
        <w:tblLayout w:type="fixed"/>
        <w:tblCellMar>
          <w:top w:w="100" w:type="dxa"/>
          <w:left w:w="120" w:type="dxa"/>
          <w:bottom w:w="100" w:type="dxa"/>
          <w:right w:w="80" w:type="dxa"/>
        </w:tblCellMar>
      </w:tblPr>
      <w:tblGrid>
        <w:gridCol w:w="599"/>
        <w:gridCol w:w="4200"/>
        <w:gridCol w:w="4561"/>
      </w:tblGrid>
      <w:tr>
        <w:trPr/>
        <w:tc>
          <w:tcPr>
            <w:tcW w:w="599" w:type="dxa"/>
            <w:tcBorders>
              <w:top w:val="single" w:sz="2" w:space="0" w:color="CCCCCC"/>
              <w:left w:val="single" w:sz="2" w:space="0" w:color="CCCCCC"/>
              <w:bottom w:val="single" w:sz="2" w:space="0" w:color="CCCCCC"/>
              <w:right w:val="single" w:sz="2" w:space="0" w:color="CCCCCC"/>
            </w:tcBorders>
            <w:shd w:fill="1A7A4A" w:val="clear"/>
            <w:vAlign w:val="center"/>
          </w:tcPr>
          <w:p>
            <w:pPr>
              <w:pStyle w:val="Normal"/>
              <w:jc w:val="center"/>
              <w:rPr/>
            </w:pPr>
            <w:r>
              <w:rPr>
                <w:rFonts w:eastAsia="Arial" w:cs="Arial"/>
                <w:b/>
                <w:bCs/>
                <w:color w:val="FFFFFF"/>
                <w:sz w:val="20"/>
                <w:szCs w:val="20"/>
              </w:rPr>
              <w:t>#</w:t>
            </w:r>
          </w:p>
        </w:tc>
        <w:tc>
          <w:tcPr>
            <w:tcW w:w="4200" w:type="dxa"/>
            <w:tcBorders>
              <w:top w:val="single" w:sz="2" w:space="0" w:color="CCCCCC"/>
              <w:left w:val="single" w:sz="2" w:space="0" w:color="CCCCCC"/>
              <w:bottom w:val="single" w:sz="2" w:space="0" w:color="CCCCCC"/>
              <w:right w:val="single" w:sz="2" w:space="0" w:color="CCCCCC"/>
            </w:tcBorders>
            <w:shd w:fill="1A7A4A" w:val="clear"/>
            <w:tcMar>
              <w:left w:w="160" w:type="dxa"/>
            </w:tcMar>
            <w:vAlign w:val="center"/>
          </w:tcPr>
          <w:p>
            <w:pPr>
              <w:pStyle w:val="Normal"/>
              <w:rPr/>
            </w:pPr>
            <w:r>
              <w:rPr>
                <w:rFonts w:eastAsia="Arial" w:cs="Arial"/>
                <w:b/>
                <w:bCs/>
                <w:color w:val="FFFFFF"/>
                <w:sz w:val="20"/>
                <w:szCs w:val="20"/>
              </w:rPr>
              <w:t>Module</w:t>
            </w:r>
          </w:p>
        </w:tc>
        <w:tc>
          <w:tcPr>
            <w:tcW w:w="4561" w:type="dxa"/>
            <w:tcBorders>
              <w:top w:val="single" w:sz="2" w:space="0" w:color="CCCCCC"/>
              <w:left w:val="single" w:sz="2" w:space="0" w:color="CCCCCC"/>
              <w:bottom w:val="single" w:sz="2" w:space="0" w:color="CCCCCC"/>
              <w:right w:val="single" w:sz="2" w:space="0" w:color="CCCCCC"/>
            </w:tcBorders>
            <w:shd w:fill="1A7A4A" w:val="clear"/>
            <w:tcMar>
              <w:left w:w="160" w:type="dxa"/>
            </w:tcMar>
            <w:vAlign w:val="center"/>
          </w:tcPr>
          <w:p>
            <w:pPr>
              <w:pStyle w:val="Normal"/>
              <w:rPr/>
            </w:pPr>
            <w:r>
              <w:rPr>
                <w:rFonts w:eastAsia="Arial" w:cs="Arial"/>
                <w:b/>
                <w:bCs/>
                <w:i w:val="false"/>
                <w:iCs w:val="false"/>
                <w:color w:val="FFFFFF"/>
                <w:sz w:val="20"/>
                <w:szCs w:val="20"/>
              </w:rPr>
              <w:t>Portals Covered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1A7A4A"/>
                <w:sz w:val="22"/>
                <w:szCs w:val="22"/>
              </w:rPr>
              <w:t>1</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Authentication &amp; Access Control</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All 35 portals — login, roles, permissions, multi-school isolation</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1A7A4A"/>
                <w:sz w:val="22"/>
                <w:szCs w:val="22"/>
              </w:rPr>
              <w:t>2</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Student Information Management</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Head Teacher, Deputy HM, HOD, Teacher</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1A7A4A"/>
                <w:sz w:val="22"/>
                <w:szCs w:val="22"/>
              </w:rPr>
              <w:t>3</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Academic Management</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Teacher Dashboard, Gradebook, Class Management, Report Cards, Examinations Officer</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1A7A4A"/>
                <w:sz w:val="22"/>
                <w:szCs w:val="22"/>
              </w:rPr>
              <w:t>4</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Finance — Fee Management</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Finance Dashboard, Fee Capture, Invoice Management, Student Finance Portal, Financial Reports, Audit Trail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1A7A4A"/>
                <w:sz w:val="22"/>
                <w:szCs w:val="22"/>
              </w:rPr>
              <w:t>5</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Payroll Management</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Payroll Dashboard, Teacher Payslip Portal</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1A7A4A"/>
                <w:sz w:val="22"/>
                <w:szCs w:val="22"/>
              </w:rPr>
              <w:t>6</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Communications</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Communications Officer Portal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1A7A4A"/>
                <w:sz w:val="22"/>
                <w:szCs w:val="22"/>
              </w:rPr>
              <w:t>7</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Leadership Dashboards</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Head Teacher Dashboard, Deputy HM Portal</w:t>
            </w:r>
          </w:p>
        </w:tc>
      </w:tr>
    </w:tbl>
    <w:p>
      <w:pPr>
        <w:pStyle w:val="Normal"/>
        <w:spacing w:before="0" w:after="240"/>
        <w:rPr/>
      </w:pPr>
      <w:r>
        <w:rPr/>
      </w:r>
    </w:p>
    <w:p>
      <w:pPr>
        <w:pStyle w:val="Heading2"/>
        <w:rPr/>
      </w:pPr>
      <w:r>
        <w:rPr/>
        <w:t>2.2  Phase 1 Milestone Schedule</w:t>
      </w:r>
    </w:p>
    <w:p>
      <w:pPr>
        <w:pStyle w:val="Normal"/>
        <w:spacing w:before="0" w:after="80"/>
        <w:rPr/>
      </w:pPr>
      <w:r>
        <w:rPr/>
      </w:r>
    </w:p>
    <w:tbl>
      <w:tblPr>
        <w:tblW w:w="9360" w:type="dxa"/>
        <w:jc w:val="left"/>
        <w:tblInd w:w="0" w:type="dxa"/>
        <w:tblLayout w:type="fixed"/>
        <w:tblCellMar>
          <w:top w:w="100" w:type="dxa"/>
          <w:left w:w="160" w:type="dxa"/>
          <w:bottom w:w="100" w:type="dxa"/>
          <w:right w:w="80" w:type="dxa"/>
        </w:tblCellMar>
      </w:tblPr>
      <w:tblGrid>
        <w:gridCol w:w="1199"/>
        <w:gridCol w:w="3600"/>
        <w:gridCol w:w="4561"/>
      </w:tblGrid>
      <w:tr>
        <w:trPr/>
        <w:tc>
          <w:tcPr>
            <w:tcW w:w="1199" w:type="dxa"/>
            <w:tcBorders/>
            <w:shd w:fill="1A7A4A" w:val="clear"/>
          </w:tcPr>
          <w:p>
            <w:pPr>
              <w:pStyle w:val="Normal"/>
              <w:rPr/>
            </w:pPr>
            <w:r>
              <w:rPr>
                <w:rFonts w:eastAsia="Arial" w:cs="Arial"/>
                <w:b/>
                <w:bCs/>
                <w:color w:val="FFFFFF"/>
                <w:sz w:val="20"/>
                <w:szCs w:val="20"/>
              </w:rPr>
              <w:t>Week</w:t>
            </w:r>
          </w:p>
        </w:tc>
        <w:tc>
          <w:tcPr>
            <w:tcW w:w="3600" w:type="dxa"/>
            <w:tcBorders/>
            <w:shd w:fill="1A7A4A" w:val="clear"/>
          </w:tcPr>
          <w:p>
            <w:pPr>
              <w:pStyle w:val="Normal"/>
              <w:rPr/>
            </w:pPr>
            <w:r>
              <w:rPr>
                <w:rFonts w:eastAsia="Arial" w:cs="Arial"/>
                <w:b/>
                <w:bCs/>
                <w:color w:val="FFFFFF"/>
                <w:sz w:val="20"/>
                <w:szCs w:val="20"/>
              </w:rPr>
              <w:t>Milestone</w:t>
            </w:r>
          </w:p>
        </w:tc>
        <w:tc>
          <w:tcPr>
            <w:tcW w:w="4561" w:type="dxa"/>
            <w:tcBorders/>
            <w:shd w:fill="1A7A4A" w:val="clear"/>
          </w:tcPr>
          <w:p>
            <w:pPr>
              <w:pStyle w:val="Normal"/>
              <w:rPr/>
            </w:pPr>
            <w:r>
              <w:rPr>
                <w:rFonts w:eastAsia="Arial" w:cs="Arial"/>
                <w:b/>
                <w:bCs/>
                <w:color w:val="FFFFFF"/>
                <w:sz w:val="20"/>
                <w:szCs w:val="20"/>
              </w:rPr>
              <w:t>Expected Completion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A7A4A"/>
                <w:sz w:val="20"/>
                <w:szCs w:val="20"/>
              </w:rPr>
              <w:t>Wk 1–2</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Foundation: Authentication, RBAC, Multi-School Architecture, Core Data Models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1A7A4A"/>
                <w:sz w:val="20"/>
                <w:szCs w:val="20"/>
              </w:rPr>
              <w:t>4 April 2026</w:t>
            </w:r>
          </w:p>
        </w:tc>
      </w:tr>
      <w:tr>
        <w:trPr/>
        <w:tc>
          <w:tcPr>
            <w:tcW w:w="1199"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vAlign w:val="center"/>
          </w:tcPr>
          <w:p>
            <w:pPr>
              <w:pStyle w:val="Normal"/>
              <w:jc w:val="center"/>
              <w:rPr/>
            </w:pPr>
            <w:r>
              <w:rPr>
                <w:rFonts w:eastAsia="Arial" w:cs="Arial"/>
                <w:b/>
                <w:bCs/>
                <w:color w:val="1A7A4A"/>
                <w:sz w:val="20"/>
                <w:szCs w:val="20"/>
              </w:rPr>
              <w:t>Wk 3–4</w:t>
            </w:r>
          </w:p>
        </w:tc>
        <w:tc>
          <w:tcPr>
            <w:tcW w:w="3600"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val="false"/>
                <w:bCs w:val="false"/>
                <w:color w:val="2C2C2C"/>
                <w:sz w:val="20"/>
                <w:szCs w:val="20"/>
              </w:rPr>
              <w:t>Student Information Management — Registration, Enrollment, Guardian Records</w:t>
            </w:r>
          </w:p>
        </w:tc>
        <w:tc>
          <w:tcPr>
            <w:tcW w:w="4561"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bCs/>
                <w:color w:val="1A7A4A"/>
                <w:sz w:val="20"/>
                <w:szCs w:val="20"/>
              </w:rPr>
              <w:t>11 April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A7A4A"/>
                <w:sz w:val="20"/>
                <w:szCs w:val="20"/>
              </w:rPr>
              <w:t>Wk 4–5</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Academic Management — Timetables, Attendance Tracking, Gradebook</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1A7A4A"/>
                <w:sz w:val="20"/>
                <w:szCs w:val="20"/>
              </w:rPr>
              <w:t>18 April 2026</w:t>
            </w:r>
          </w:p>
        </w:tc>
      </w:tr>
      <w:tr>
        <w:trPr/>
        <w:tc>
          <w:tcPr>
            <w:tcW w:w="1199"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vAlign w:val="center"/>
          </w:tcPr>
          <w:p>
            <w:pPr>
              <w:pStyle w:val="Normal"/>
              <w:jc w:val="center"/>
              <w:rPr/>
            </w:pPr>
            <w:r>
              <w:rPr>
                <w:rFonts w:eastAsia="Arial" w:cs="Arial"/>
                <w:b/>
                <w:bCs/>
                <w:color w:val="1A7A4A"/>
                <w:sz w:val="20"/>
                <w:szCs w:val="20"/>
              </w:rPr>
              <w:t>Wk 5–6</w:t>
            </w:r>
          </w:p>
        </w:tc>
        <w:tc>
          <w:tcPr>
            <w:tcW w:w="3600"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val="false"/>
                <w:bCs w:val="false"/>
                <w:color w:val="2C2C2C"/>
                <w:sz w:val="20"/>
                <w:szCs w:val="20"/>
              </w:rPr>
              <w:t>Report Cards, Examinations Management, Academic Portals</w:t>
            </w:r>
          </w:p>
        </w:tc>
        <w:tc>
          <w:tcPr>
            <w:tcW w:w="4561"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bCs/>
                <w:color w:val="1A7A4A"/>
                <w:sz w:val="20"/>
                <w:szCs w:val="20"/>
              </w:rPr>
              <w:t>23 April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A7A4A"/>
                <w:sz w:val="20"/>
                <w:szCs w:val="20"/>
              </w:rPr>
              <w:t>Wk 6</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Finance — Fee Structures, Fee Capture, Payment Processing (MTN/Airtel)</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1A7A4A"/>
                <w:sz w:val="20"/>
                <w:szCs w:val="20"/>
              </w:rPr>
              <w:t>25 April 2026</w:t>
            </w:r>
          </w:p>
        </w:tc>
      </w:tr>
      <w:tr>
        <w:trPr/>
        <w:tc>
          <w:tcPr>
            <w:tcW w:w="1199"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vAlign w:val="center"/>
          </w:tcPr>
          <w:p>
            <w:pPr>
              <w:pStyle w:val="Normal"/>
              <w:jc w:val="center"/>
              <w:rPr/>
            </w:pPr>
            <w:r>
              <w:rPr>
                <w:rFonts w:eastAsia="Arial" w:cs="Arial"/>
                <w:b/>
                <w:bCs/>
                <w:color w:val="1A7A4A"/>
                <w:sz w:val="20"/>
                <w:szCs w:val="20"/>
              </w:rPr>
              <w:t>Wk 6–7</w:t>
            </w:r>
          </w:p>
        </w:tc>
        <w:tc>
          <w:tcPr>
            <w:tcW w:w="3600"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val="false"/>
                <w:bCs w:val="false"/>
                <w:color w:val="2C2C2C"/>
                <w:sz w:val="20"/>
                <w:szCs w:val="20"/>
              </w:rPr>
              <w:t>Finance — Invoicing, Reports, Audit Trail, Student Finance Portal</w:t>
            </w:r>
          </w:p>
        </w:tc>
        <w:tc>
          <w:tcPr>
            <w:tcW w:w="4561"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bCs/>
                <w:color w:val="1A7A4A"/>
                <w:sz w:val="20"/>
                <w:szCs w:val="20"/>
              </w:rPr>
              <w:t>27 April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A7A4A"/>
                <w:sz w:val="20"/>
                <w:szCs w:val="20"/>
              </w:rPr>
              <w:t>Wk 7</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Payroll — Salary Processing, PAYE/NSSF, Payslip Generation, Compliance Reports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1A7A4A"/>
                <w:sz w:val="20"/>
                <w:szCs w:val="20"/>
              </w:rPr>
              <w:t>28 April 2026</w:t>
            </w:r>
          </w:p>
        </w:tc>
      </w:tr>
      <w:tr>
        <w:trPr/>
        <w:tc>
          <w:tcPr>
            <w:tcW w:w="1199"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vAlign w:val="center"/>
          </w:tcPr>
          <w:p>
            <w:pPr>
              <w:pStyle w:val="Normal"/>
              <w:jc w:val="center"/>
              <w:rPr/>
            </w:pPr>
            <w:r>
              <w:rPr>
                <w:rFonts w:eastAsia="Arial" w:cs="Arial"/>
                <w:b/>
                <w:bCs/>
                <w:color w:val="1A7A4A"/>
                <w:sz w:val="20"/>
                <w:szCs w:val="20"/>
              </w:rPr>
              <w:t>Wk 7</w:t>
            </w:r>
          </w:p>
        </w:tc>
        <w:tc>
          <w:tcPr>
            <w:tcW w:w="3600"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val="false"/>
                <w:bCs w:val="false"/>
                <w:color w:val="2C2C2C"/>
                <w:sz w:val="20"/>
                <w:szCs w:val="20"/>
              </w:rPr>
              <w:t>Communications — Notices, SMS/Email Broadcasts, Delivery Tracking</w:t>
            </w:r>
          </w:p>
        </w:tc>
        <w:tc>
          <w:tcPr>
            <w:tcW w:w="4561"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bCs/>
                <w:color w:val="1A7A4A"/>
                <w:sz w:val="20"/>
                <w:szCs w:val="20"/>
              </w:rPr>
              <w:t>29 April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A7A4A"/>
                <w:sz w:val="20"/>
                <w:szCs w:val="20"/>
              </w:rPr>
              <w:t>Wk 7</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Leadership Dashboards — Head Teacher &amp; Deputy HM Portals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1A7A4A"/>
                <w:sz w:val="20"/>
                <w:szCs w:val="20"/>
              </w:rPr>
              <w:t>29 April 2026</w:t>
            </w:r>
          </w:p>
        </w:tc>
      </w:tr>
      <w:tr>
        <w:trPr/>
        <w:tc>
          <w:tcPr>
            <w:tcW w:w="1199"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vAlign w:val="center"/>
          </w:tcPr>
          <w:p>
            <w:pPr>
              <w:pStyle w:val="Normal"/>
              <w:jc w:val="center"/>
              <w:rPr/>
            </w:pPr>
            <w:r>
              <w:rPr>
                <w:rFonts w:eastAsia="Arial" w:cs="Arial"/>
                <w:b/>
                <w:bCs/>
                <w:color w:val="1A7A4A"/>
                <w:sz w:val="20"/>
                <w:szCs w:val="20"/>
              </w:rPr>
              <w:t>Wk 7–8</w:t>
            </w:r>
          </w:p>
        </w:tc>
        <w:tc>
          <w:tcPr>
            <w:tcW w:w="3600"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val="false"/>
                <w:bCs w:val="false"/>
                <w:color w:val="2C2C2C"/>
                <w:sz w:val="20"/>
                <w:szCs w:val="20"/>
              </w:rPr>
              <w:t>Phase 1 QA, UAT, Bug Fixes &amp; Client Sign-off</w:t>
            </w:r>
          </w:p>
        </w:tc>
        <w:tc>
          <w:tcPr>
            <w:tcW w:w="4561" w:type="dxa"/>
            <w:tcBorders>
              <w:top w:val="single" w:sz="2" w:space="0" w:color="CCCCCC"/>
              <w:left w:val="single" w:sz="2" w:space="0" w:color="CCCCCC"/>
              <w:bottom w:val="single" w:sz="2" w:space="0" w:color="CCCCCC"/>
              <w:right w:val="single" w:sz="2" w:space="0" w:color="CCCCCC"/>
            </w:tcBorders>
            <w:shd w:fill="D4EDDA" w:val="clear"/>
            <w:tcMar>
              <w:top w:w="90" w:type="dxa"/>
              <w:bottom w:w="90" w:type="dxa"/>
            </w:tcMar>
          </w:tcPr>
          <w:p>
            <w:pPr>
              <w:pStyle w:val="Normal"/>
              <w:rPr/>
            </w:pPr>
            <w:r>
              <w:rPr>
                <w:rFonts w:eastAsia="Arial" w:cs="Arial"/>
                <w:b/>
                <w:bCs/>
                <w:color w:val="1A7A4A"/>
                <w:sz w:val="20"/>
                <w:szCs w:val="20"/>
              </w:rPr>
              <w:t>30 April 2026</w:t>
            </w:r>
          </w:p>
        </w:tc>
      </w:tr>
    </w:tbl>
    <w:p>
      <w:pPr>
        <w:pStyle w:val="Normal"/>
        <w:spacing w:before="0" w:after="200"/>
        <w:rPr/>
      </w:pPr>
      <w:r>
        <w:rPr/>
      </w:r>
    </w:p>
    <w:p>
      <w:pPr>
        <w:pStyle w:val="Heading2"/>
        <w:rPr/>
      </w:pPr>
      <w:r>
        <w:rPr/>
        <w:t>2.3  Phase 1 Deliverables</w:t>
      </w:r>
    </w:p>
    <w:p>
      <w:pPr>
        <w:pStyle w:val="Normal"/>
        <w:spacing w:before="60" w:after="80"/>
        <w:rPr/>
      </w:pPr>
      <w:r>
        <w:rPr>
          <w:rFonts w:eastAsia="Arial" w:cs="Arial"/>
          <w:color w:val="555555"/>
          <w:sz w:val="22"/>
          <w:szCs w:val="22"/>
        </w:rPr>
        <w:t>Upon completion of Phase 1, the school will be fully operational on the following:</w:t>
      </w:r>
    </w:p>
    <w:p>
      <w:pPr>
        <w:pStyle w:val="Normal"/>
        <w:spacing w:before="0" w:after="60"/>
        <w:rPr/>
      </w:pPr>
      <w:r>
        <w:rPr/>
      </w:r>
    </w:p>
    <w:p>
      <w:pPr>
        <w:pStyle w:val="ListParagraph"/>
        <w:numPr>
          <w:ilvl w:val="0"/>
          <w:numId w:val="4"/>
        </w:numPr>
        <w:rPr/>
      </w:pPr>
      <w:r>
        <w:rPr>
          <w:rFonts w:eastAsia="Arial" w:cs="Arial"/>
          <w:color w:val="2C2C2C"/>
          <w:sz w:val="20"/>
          <w:szCs w:val="20"/>
        </w:rPr>
        <w:t>Enrol students and manage their complete academic records digitally</w:t>
      </w:r>
    </w:p>
    <w:p>
      <w:pPr>
        <w:pStyle w:val="ListParagraph"/>
        <w:numPr>
          <w:ilvl w:val="0"/>
          <w:numId w:val="1"/>
        </w:numPr>
        <w:rPr/>
      </w:pPr>
      <w:r>
        <w:rPr>
          <w:rFonts w:eastAsia="Arial" w:cs="Arial"/>
          <w:color w:val="2C2C2C"/>
          <w:sz w:val="20"/>
          <w:szCs w:val="20"/>
        </w:rPr>
        <w:t>Mark and track attendance from every classroom, with automated parent alerts</w:t>
      </w:r>
    </w:p>
    <w:p>
      <w:pPr>
        <w:pStyle w:val="ListParagraph"/>
        <w:numPr>
          <w:ilvl w:val="0"/>
          <w:numId w:val="1"/>
        </w:numPr>
        <w:rPr/>
      </w:pPr>
      <w:r>
        <w:rPr>
          <w:rFonts w:eastAsia="Arial" w:cs="Arial"/>
          <w:color w:val="2C2C2C"/>
          <w:sz w:val="20"/>
          <w:szCs w:val="20"/>
        </w:rPr>
        <w:t>Generate end-of-term report cards from a reviewed and approved workflow</w:t>
      </w:r>
    </w:p>
    <w:p>
      <w:pPr>
        <w:pStyle w:val="ListParagraph"/>
        <w:numPr>
          <w:ilvl w:val="0"/>
          <w:numId w:val="1"/>
        </w:numPr>
        <w:rPr/>
      </w:pPr>
      <w:r>
        <w:rPr>
          <w:rFonts w:eastAsia="Arial" w:cs="Arial"/>
          <w:color w:val="2C2C2C"/>
          <w:sz w:val="20"/>
          <w:szCs w:val="20"/>
        </w:rPr>
        <w:t>Capture and track all fee payments with instant digital receipts</w:t>
      </w:r>
    </w:p>
    <w:p>
      <w:pPr>
        <w:pStyle w:val="ListParagraph"/>
        <w:numPr>
          <w:ilvl w:val="0"/>
          <w:numId w:val="1"/>
        </w:numPr>
        <w:rPr/>
      </w:pPr>
      <w:r>
        <w:rPr>
          <w:rFonts w:eastAsia="Arial" w:cs="Arial"/>
          <w:color w:val="2C2C2C"/>
          <w:sz w:val="20"/>
          <w:szCs w:val="20"/>
        </w:rPr>
        <w:t>Process monthly payroll with automatic PAYE and NSSF deductions</w:t>
      </w:r>
    </w:p>
    <w:p>
      <w:pPr>
        <w:pStyle w:val="ListParagraph"/>
        <w:numPr>
          <w:ilvl w:val="0"/>
          <w:numId w:val="1"/>
        </w:numPr>
        <w:rPr/>
      </w:pPr>
      <w:r>
        <w:rPr>
          <w:rFonts w:eastAsia="Arial" w:cs="Arial"/>
          <w:color w:val="2C2C2C"/>
          <w:sz w:val="20"/>
          <w:szCs w:val="20"/>
        </w:rPr>
        <w:t>Communicate with all staff, students, and parents via SMS and email</w:t>
      </w:r>
    </w:p>
    <w:p>
      <w:pPr>
        <w:pStyle w:val="ListParagraph"/>
        <w:numPr>
          <w:ilvl w:val="0"/>
          <w:numId w:val="1"/>
        </w:numPr>
        <w:rPr/>
      </w:pPr>
      <w:r>
        <w:rPr>
          <w:rFonts w:eastAsia="Arial" w:cs="Arial"/>
          <w:color w:val="2C2C2C"/>
          <w:sz w:val="20"/>
          <w:szCs w:val="20"/>
        </w:rPr>
        <w:t>Provide leadership with real-time dashboards for oversight and approvals</w:t>
      </w:r>
    </w:p>
    <w:p>
      <w:pPr>
        <w:pStyle w:val="Normal"/>
        <w:spacing w:before="0" w:after="240"/>
        <w:rPr/>
      </w:pPr>
      <w:r>
        <w:rPr/>
      </w:r>
    </w:p>
    <w:p>
      <w:pPr>
        <w:pStyle w:val="Normal"/>
        <w:rPr/>
      </w:pPr>
      <w:r>
        <w:rPr/>
      </w:r>
      <w:r>
        <w:br w:type="page"/>
      </w:r>
    </w:p>
    <w:p>
      <w:pPr>
        <w:pStyle w:val="Heading1"/>
        <w:spacing w:before="0" w:after="160"/>
        <w:rPr/>
      </w:pPr>
      <w:r>
        <w:rPr/>
        <w:t>3. Phase 2 — Extended Operations</w:t>
      </w:r>
    </w:p>
    <w:p>
      <w:pPr>
        <w:pStyle w:val="Normal"/>
        <w:pBdr>
          <w:bottom w:val="single" w:sz="8" w:space="1" w:color="4A3B8C"/>
        </w:pBdr>
        <w:spacing w:before="0" w:after="240"/>
        <w:rPr/>
      </w:pPr>
      <w:r>
        <w:rPr/>
      </w:r>
    </w:p>
    <w:p>
      <w:pPr>
        <w:pStyle w:val="Normal"/>
        <w:spacing w:before="0" w:after="80"/>
        <w:rPr/>
      </w:pPr>
      <w:r>
        <w:rPr/>
      </w:r>
    </w:p>
    <w:tbl>
      <w:tblPr>
        <w:tblW w:w="9360" w:type="dxa"/>
        <w:jc w:val="left"/>
        <w:tblInd w:w="0" w:type="dxa"/>
        <w:tblLayout w:type="fixed"/>
        <w:tblCellMar>
          <w:top w:w="160" w:type="dxa"/>
          <w:left w:w="240" w:type="dxa"/>
          <w:bottom w:w="160" w:type="dxa"/>
          <w:right w:w="120" w:type="dxa"/>
        </w:tblCellMar>
      </w:tblPr>
      <w:tblGrid>
        <w:gridCol w:w="6400"/>
        <w:gridCol w:w="2959"/>
      </w:tblGrid>
      <w:tr>
        <w:trPr/>
        <w:tc>
          <w:tcPr>
            <w:tcW w:w="6400" w:type="dxa"/>
            <w:tcBorders/>
            <w:shd w:fill="4A3B8C" w:val="clear"/>
            <w:vAlign w:val="center"/>
          </w:tcPr>
          <w:p>
            <w:pPr>
              <w:pStyle w:val="Normal"/>
              <w:rPr/>
            </w:pPr>
            <w:r>
              <w:rPr>
                <w:rFonts w:eastAsia="Arial" w:cs="Arial"/>
                <w:b/>
                <w:bCs/>
                <w:color w:val="FFFFFF"/>
                <w:sz w:val="32"/>
                <w:szCs w:val="32"/>
              </w:rPr>
              <w:t>PHASE 2  |  Extended Operations</w:t>
            </w:r>
          </w:p>
        </w:tc>
        <w:tc>
          <w:tcPr>
            <w:tcW w:w="2959" w:type="dxa"/>
            <w:tcBorders/>
            <w:shd w:fill="E8E4F5" w:val="clear"/>
            <w:tcMar>
              <w:left w:w="200" w:type="dxa"/>
              <w:right w:w="200" w:type="dxa"/>
            </w:tcMar>
            <w:vAlign w:val="center"/>
          </w:tcPr>
          <w:p>
            <w:pPr>
              <w:pStyle w:val="Normal"/>
              <w:spacing w:before="0" w:after="40"/>
              <w:jc w:val="center"/>
              <w:rPr/>
            </w:pPr>
            <w:r>
              <w:rPr>
                <w:rFonts w:eastAsia="Arial" w:cs="Arial"/>
                <w:color w:val="4A3B8C"/>
                <w:sz w:val="18"/>
                <w:szCs w:val="18"/>
              </w:rPr>
              <w:t>Delivery Window</w:t>
            </w:r>
          </w:p>
          <w:p>
            <w:pPr>
              <w:pStyle w:val="Normal"/>
              <w:spacing w:before="0" w:after="0"/>
              <w:jc w:val="center"/>
              <w:rPr/>
            </w:pPr>
            <w:r>
              <w:rPr>
                <w:rFonts w:eastAsia="Arial" w:cs="Arial"/>
                <w:b/>
                <w:bCs/>
                <w:color w:val="4A3B8C"/>
                <w:sz w:val="22"/>
                <w:szCs w:val="22"/>
              </w:rPr>
              <w:t>1 May 2026 — 15 June 2026</w:t>
            </w:r>
          </w:p>
        </w:tc>
      </w:tr>
    </w:tbl>
    <w:p>
      <w:pPr>
        <w:pStyle w:val="Normal"/>
        <w:spacing w:before="0" w:after="200"/>
        <w:rPr/>
      </w:pPr>
      <w:r>
        <w:rPr/>
      </w:r>
    </w:p>
    <w:p>
      <w:pPr>
        <w:pStyle w:val="Normal"/>
        <w:spacing w:before="60" w:after="80"/>
        <w:rPr/>
      </w:pPr>
      <w:r>
        <w:rPr>
          <w:rFonts w:eastAsia="Arial" w:cs="Arial"/>
          <w:color w:val="555555"/>
          <w:sz w:val="22"/>
          <w:szCs w:val="22"/>
        </w:rPr>
        <w:t>Phase 2 delivers the complete operational ecosystem of SMISSI, connecting every department — from the boarding house to the security gate — into a single unified platform. Phase 2 begins immediately following client sign-off on Phase 1 and runs concurrently with the school's live use of the Phase 1 systems.</w:t>
      </w:r>
    </w:p>
    <w:p>
      <w:pPr>
        <w:pStyle w:val="Normal"/>
        <w:spacing w:before="0" w:after="160"/>
        <w:rPr/>
      </w:pPr>
      <w:r>
        <w:rPr/>
      </w:r>
    </w:p>
    <w:p>
      <w:pPr>
        <w:pStyle w:val="Heading2"/>
        <w:rPr/>
      </w:pPr>
      <w:r>
        <w:rPr/>
        <w:t>3.1  Modules in Scope</w:t>
      </w:r>
    </w:p>
    <w:p>
      <w:pPr>
        <w:pStyle w:val="Normal"/>
        <w:spacing w:before="0" w:after="80"/>
        <w:rPr/>
      </w:pPr>
      <w:r>
        <w:rPr/>
      </w:r>
    </w:p>
    <w:tbl>
      <w:tblPr>
        <w:tblW w:w="9360" w:type="dxa"/>
        <w:jc w:val="left"/>
        <w:tblInd w:w="0" w:type="dxa"/>
        <w:tblLayout w:type="fixed"/>
        <w:tblCellMar>
          <w:top w:w="100" w:type="dxa"/>
          <w:left w:w="120" w:type="dxa"/>
          <w:bottom w:w="100" w:type="dxa"/>
          <w:right w:w="80" w:type="dxa"/>
        </w:tblCellMar>
      </w:tblPr>
      <w:tblGrid>
        <w:gridCol w:w="599"/>
        <w:gridCol w:w="4200"/>
        <w:gridCol w:w="4561"/>
      </w:tblGrid>
      <w:tr>
        <w:trPr/>
        <w:tc>
          <w:tcPr>
            <w:tcW w:w="599" w:type="dxa"/>
            <w:tcBorders>
              <w:top w:val="single" w:sz="2" w:space="0" w:color="CCCCCC"/>
              <w:left w:val="single" w:sz="2" w:space="0" w:color="CCCCCC"/>
              <w:bottom w:val="single" w:sz="2" w:space="0" w:color="CCCCCC"/>
              <w:right w:val="single" w:sz="2" w:space="0" w:color="CCCCCC"/>
            </w:tcBorders>
            <w:shd w:fill="4A3B8C" w:val="clear"/>
            <w:vAlign w:val="center"/>
          </w:tcPr>
          <w:p>
            <w:pPr>
              <w:pStyle w:val="Normal"/>
              <w:jc w:val="center"/>
              <w:rPr/>
            </w:pPr>
            <w:r>
              <w:rPr>
                <w:rFonts w:eastAsia="Arial" w:cs="Arial"/>
                <w:b/>
                <w:bCs/>
                <w:color w:val="FFFFFF"/>
                <w:sz w:val="20"/>
                <w:szCs w:val="20"/>
              </w:rPr>
              <w:t>#</w:t>
            </w:r>
          </w:p>
        </w:tc>
        <w:tc>
          <w:tcPr>
            <w:tcW w:w="4200" w:type="dxa"/>
            <w:tcBorders>
              <w:top w:val="single" w:sz="2" w:space="0" w:color="CCCCCC"/>
              <w:left w:val="single" w:sz="2" w:space="0" w:color="CCCCCC"/>
              <w:bottom w:val="single" w:sz="2" w:space="0" w:color="CCCCCC"/>
              <w:right w:val="single" w:sz="2" w:space="0" w:color="CCCCCC"/>
            </w:tcBorders>
            <w:shd w:fill="4A3B8C" w:val="clear"/>
            <w:tcMar>
              <w:left w:w="160" w:type="dxa"/>
            </w:tcMar>
            <w:vAlign w:val="center"/>
          </w:tcPr>
          <w:p>
            <w:pPr>
              <w:pStyle w:val="Normal"/>
              <w:rPr/>
            </w:pPr>
            <w:r>
              <w:rPr>
                <w:rFonts w:eastAsia="Arial" w:cs="Arial"/>
                <w:b/>
                <w:bCs/>
                <w:color w:val="FFFFFF"/>
                <w:sz w:val="20"/>
                <w:szCs w:val="20"/>
              </w:rPr>
              <w:t>Module</w:t>
            </w:r>
          </w:p>
        </w:tc>
        <w:tc>
          <w:tcPr>
            <w:tcW w:w="4561" w:type="dxa"/>
            <w:tcBorders>
              <w:top w:val="single" w:sz="2" w:space="0" w:color="CCCCCC"/>
              <w:left w:val="single" w:sz="2" w:space="0" w:color="CCCCCC"/>
              <w:bottom w:val="single" w:sz="2" w:space="0" w:color="CCCCCC"/>
              <w:right w:val="single" w:sz="2" w:space="0" w:color="CCCCCC"/>
            </w:tcBorders>
            <w:shd w:fill="4A3B8C" w:val="clear"/>
            <w:tcMar>
              <w:left w:w="160" w:type="dxa"/>
            </w:tcMar>
            <w:vAlign w:val="center"/>
          </w:tcPr>
          <w:p>
            <w:pPr>
              <w:pStyle w:val="Normal"/>
              <w:rPr/>
            </w:pPr>
            <w:r>
              <w:rPr>
                <w:rFonts w:eastAsia="Arial" w:cs="Arial"/>
                <w:b/>
                <w:bCs/>
                <w:i w:val="false"/>
                <w:iCs w:val="false"/>
                <w:color w:val="FFFFFF"/>
                <w:sz w:val="20"/>
                <w:szCs w:val="20"/>
              </w:rPr>
              <w:t>Portals Covered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4A3B8C"/>
                <w:sz w:val="22"/>
                <w:szCs w:val="22"/>
              </w:rPr>
              <w:t>8</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Boarding Management</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Boarding Master, Head of Boarding, Student Boarding Portal, Parent Portal</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4A3B8C"/>
                <w:sz w:val="22"/>
                <w:szCs w:val="22"/>
              </w:rPr>
              <w:t>9</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Health &amp; Medical</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Nursing Portal (Sick Bay)</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4A3B8C"/>
                <w:sz w:val="22"/>
                <w:szCs w:val="22"/>
              </w:rPr>
              <w:t>10</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Security &amp; Gate Access</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Gate Guard Portal, Head of Security Dashboard</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4A3B8C"/>
                <w:sz w:val="22"/>
                <w:szCs w:val="22"/>
              </w:rPr>
              <w:t>11</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Facilities &amp; Inventory</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Facilities Office, Labs &amp; Workspaces, Store (Teacher View)</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4A3B8C"/>
                <w:sz w:val="22"/>
                <w:szCs w:val="22"/>
              </w:rPr>
              <w:t>12</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Extra-Curricular Activities</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ECA Office Portal</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4A3B8C"/>
                <w:sz w:val="22"/>
                <w:szCs w:val="22"/>
              </w:rPr>
              <w:t>13</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Uniform Management</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Uniform Office Portal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4A3B8C"/>
                <w:sz w:val="22"/>
                <w:szCs w:val="22"/>
              </w:rPr>
              <w:t>14</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Human Resources</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HR Portal</w:t>
            </w:r>
          </w:p>
        </w:tc>
      </w:tr>
      <w:tr>
        <w:trPr/>
        <w:tc>
          <w:tcPr>
            <w:tcW w:w="599" w:type="dxa"/>
            <w:tcBorders>
              <w:top w:val="single" w:sz="2" w:space="0" w:color="CCCCCC"/>
              <w:left w:val="single" w:sz="2" w:space="0" w:color="CCCCCC"/>
              <w:bottom w:val="single" w:sz="2" w:space="0" w:color="CCCCCC"/>
              <w:right w:val="single" w:sz="2" w:space="0" w:color="CCCCCC"/>
            </w:tcBorders>
            <w:shd w:fill="EBF4FC" w:val="clear"/>
            <w:vAlign w:val="center"/>
          </w:tcPr>
          <w:p>
            <w:pPr>
              <w:pStyle w:val="Normal"/>
              <w:jc w:val="center"/>
              <w:rPr/>
            </w:pPr>
            <w:r>
              <w:rPr>
                <w:rFonts w:eastAsia="Arial" w:cs="Arial"/>
                <w:b/>
                <w:bCs/>
                <w:color w:val="4A3B8C"/>
                <w:sz w:val="22"/>
                <w:szCs w:val="22"/>
              </w:rPr>
              <w:t>15</w:t>
            </w:r>
          </w:p>
        </w:tc>
        <w:tc>
          <w:tcPr>
            <w:tcW w:w="4200"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color w:val="2C2C2C"/>
                <w:sz w:val="20"/>
                <w:szCs w:val="20"/>
              </w:rPr>
              <w:t>SEN &amp; Counseling</w:t>
            </w:r>
          </w:p>
        </w:tc>
        <w:tc>
          <w:tcPr>
            <w:tcW w:w="4561" w:type="dxa"/>
            <w:tcBorders>
              <w:top w:val="single" w:sz="2" w:space="0" w:color="CCCCCC"/>
              <w:left w:val="single" w:sz="2" w:space="0" w:color="CCCCCC"/>
              <w:bottom w:val="single" w:sz="2" w:space="0" w:color="CCCCCC"/>
              <w:right w:val="single" w:sz="2" w:space="0" w:color="CCCCCC"/>
            </w:tcBorders>
            <w:shd w:fill="EBF4FC" w:val="clear"/>
            <w:tcMar>
              <w:left w:w="160" w:type="dxa"/>
            </w:tcMar>
            <w:vAlign w:val="center"/>
          </w:tcPr>
          <w:p>
            <w:pPr>
              <w:pStyle w:val="Normal"/>
              <w:rPr/>
            </w:pPr>
            <w:r>
              <w:rPr>
                <w:rFonts w:eastAsia="Arial" w:cs="Arial"/>
                <w:b w:val="false"/>
                <w:bCs w:val="false"/>
                <w:i/>
                <w:iCs/>
                <w:color w:val="555555"/>
                <w:sz w:val="19"/>
                <w:szCs w:val="19"/>
              </w:rPr>
              <w:t>SEN Teacher Dashboard, School Counselor Portal</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jc w:val="center"/>
              <w:rPr/>
            </w:pPr>
            <w:r>
              <w:rPr>
                <w:rFonts w:eastAsia="Arial" w:cs="Arial"/>
                <w:b/>
                <w:bCs/>
                <w:color w:val="4A3B8C"/>
                <w:sz w:val="22"/>
                <w:szCs w:val="22"/>
              </w:rPr>
              <w:t>16</w:t>
            </w:r>
          </w:p>
        </w:tc>
        <w:tc>
          <w:tcPr>
            <w:tcW w:w="4200"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color w:val="2C2C2C"/>
                <w:sz w:val="20"/>
                <w:szCs w:val="20"/>
              </w:rPr>
              <w:t>Head of Department Portal</w:t>
            </w:r>
          </w:p>
        </w:tc>
        <w:tc>
          <w:tcPr>
            <w:tcW w:w="4561" w:type="dxa"/>
            <w:tcBorders>
              <w:top w:val="single" w:sz="2" w:space="0" w:color="CCCCCC"/>
              <w:left w:val="single" w:sz="2" w:space="0" w:color="CCCCCC"/>
              <w:bottom w:val="single" w:sz="2" w:space="0" w:color="CCCCCC"/>
              <w:right w:val="single" w:sz="2" w:space="0" w:color="CCCCCC"/>
            </w:tcBorders>
            <w:shd w:fill="FFFFFF" w:val="clear"/>
            <w:tcMar>
              <w:left w:w="160" w:type="dxa"/>
            </w:tcMar>
            <w:vAlign w:val="center"/>
          </w:tcPr>
          <w:p>
            <w:pPr>
              <w:pStyle w:val="Normal"/>
              <w:rPr/>
            </w:pPr>
            <w:r>
              <w:rPr>
                <w:rFonts w:eastAsia="Arial" w:cs="Arial"/>
                <w:b w:val="false"/>
                <w:bCs w:val="false"/>
                <w:i/>
                <w:iCs/>
                <w:color w:val="555555"/>
                <w:sz w:val="19"/>
                <w:szCs w:val="19"/>
              </w:rPr>
              <w:t>HOD Portal</w:t>
            </w:r>
          </w:p>
        </w:tc>
      </w:tr>
    </w:tbl>
    <w:p>
      <w:pPr>
        <w:pStyle w:val="Normal"/>
        <w:spacing w:before="0" w:after="240"/>
        <w:rPr/>
      </w:pPr>
      <w:r>
        <w:rPr/>
      </w:r>
    </w:p>
    <w:p>
      <w:pPr>
        <w:pStyle w:val="Heading2"/>
        <w:rPr/>
      </w:pPr>
      <w:r>
        <w:rPr/>
        <w:t>3.2  Phase 2 Milestone Schedule</w:t>
      </w:r>
    </w:p>
    <w:p>
      <w:pPr>
        <w:pStyle w:val="Normal"/>
        <w:spacing w:before="0" w:after="80"/>
        <w:rPr/>
      </w:pPr>
      <w:r>
        <w:rPr/>
      </w:r>
    </w:p>
    <w:tbl>
      <w:tblPr>
        <w:tblW w:w="9360" w:type="dxa"/>
        <w:jc w:val="left"/>
        <w:tblInd w:w="0" w:type="dxa"/>
        <w:tblLayout w:type="fixed"/>
        <w:tblCellMar>
          <w:top w:w="100" w:type="dxa"/>
          <w:left w:w="160" w:type="dxa"/>
          <w:bottom w:w="100" w:type="dxa"/>
          <w:right w:w="80" w:type="dxa"/>
        </w:tblCellMar>
      </w:tblPr>
      <w:tblGrid>
        <w:gridCol w:w="1199"/>
        <w:gridCol w:w="3600"/>
        <w:gridCol w:w="4561"/>
      </w:tblGrid>
      <w:tr>
        <w:trPr/>
        <w:tc>
          <w:tcPr>
            <w:tcW w:w="1199" w:type="dxa"/>
            <w:tcBorders/>
            <w:shd w:fill="4A3B8C" w:val="clear"/>
          </w:tcPr>
          <w:p>
            <w:pPr>
              <w:pStyle w:val="Normal"/>
              <w:rPr/>
            </w:pPr>
            <w:r>
              <w:rPr>
                <w:rFonts w:eastAsia="Arial" w:cs="Arial"/>
                <w:b/>
                <w:bCs/>
                <w:color w:val="FFFFFF"/>
                <w:sz w:val="20"/>
                <w:szCs w:val="20"/>
              </w:rPr>
              <w:t>Week</w:t>
            </w:r>
          </w:p>
        </w:tc>
        <w:tc>
          <w:tcPr>
            <w:tcW w:w="3600" w:type="dxa"/>
            <w:tcBorders/>
            <w:shd w:fill="4A3B8C" w:val="clear"/>
          </w:tcPr>
          <w:p>
            <w:pPr>
              <w:pStyle w:val="Normal"/>
              <w:rPr/>
            </w:pPr>
            <w:r>
              <w:rPr>
                <w:rFonts w:eastAsia="Arial" w:cs="Arial"/>
                <w:b/>
                <w:bCs/>
                <w:color w:val="FFFFFF"/>
                <w:sz w:val="20"/>
                <w:szCs w:val="20"/>
              </w:rPr>
              <w:t>Milestone</w:t>
            </w:r>
          </w:p>
        </w:tc>
        <w:tc>
          <w:tcPr>
            <w:tcW w:w="4561" w:type="dxa"/>
            <w:tcBorders/>
            <w:shd w:fill="4A3B8C" w:val="clear"/>
          </w:tcPr>
          <w:p>
            <w:pPr>
              <w:pStyle w:val="Normal"/>
              <w:rPr/>
            </w:pPr>
            <w:r>
              <w:rPr>
                <w:rFonts w:eastAsia="Arial" w:cs="Arial"/>
                <w:b/>
                <w:bCs/>
                <w:color w:val="FFFFFF"/>
                <w:sz w:val="20"/>
                <w:szCs w:val="20"/>
              </w:rPr>
              <w:t>Expected Completion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4A3B8C"/>
                <w:sz w:val="20"/>
                <w:szCs w:val="20"/>
              </w:rPr>
              <w:t>Wk 1–2</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Boarding Management — Room Allocation, Roll Call, Leave Management, Parent Portal</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4A3B8C"/>
                <w:sz w:val="20"/>
                <w:szCs w:val="20"/>
              </w:rPr>
              <w:t>15 May 2026</w:t>
            </w:r>
          </w:p>
        </w:tc>
      </w:tr>
      <w:tr>
        <w:trPr/>
        <w:tc>
          <w:tcPr>
            <w:tcW w:w="1199"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vAlign w:val="center"/>
          </w:tcPr>
          <w:p>
            <w:pPr>
              <w:pStyle w:val="Normal"/>
              <w:jc w:val="center"/>
              <w:rPr/>
            </w:pPr>
            <w:r>
              <w:rPr>
                <w:rFonts w:eastAsia="Arial" w:cs="Arial"/>
                <w:b/>
                <w:bCs/>
                <w:color w:val="4A3B8C"/>
                <w:sz w:val="20"/>
                <w:szCs w:val="20"/>
              </w:rPr>
              <w:t>Wk 2–3</w:t>
            </w:r>
          </w:p>
        </w:tc>
        <w:tc>
          <w:tcPr>
            <w:tcW w:w="3600"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val="false"/>
                <w:bCs w:val="false"/>
                <w:color w:val="2C2C2C"/>
                <w:sz w:val="20"/>
                <w:szCs w:val="20"/>
              </w:rPr>
              <w:t>Health &amp; Medical — Sick Bay Records, Medication Logs, Referrals</w:t>
            </w:r>
          </w:p>
        </w:tc>
        <w:tc>
          <w:tcPr>
            <w:tcW w:w="4561"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bCs/>
                <w:color w:val="4A3B8C"/>
                <w:sz w:val="20"/>
                <w:szCs w:val="20"/>
              </w:rPr>
              <w:t>22 May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4A3B8C"/>
                <w:sz w:val="20"/>
                <w:szCs w:val="20"/>
              </w:rPr>
              <w:t>Wk 3</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Security &amp; Gate — Student Exit/Return, Visitor Logs, Incident Tracking</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4A3B8C"/>
                <w:sz w:val="20"/>
                <w:szCs w:val="20"/>
              </w:rPr>
              <w:t>26 May 2026</w:t>
            </w:r>
          </w:p>
        </w:tc>
      </w:tr>
      <w:tr>
        <w:trPr/>
        <w:tc>
          <w:tcPr>
            <w:tcW w:w="1199"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vAlign w:val="center"/>
          </w:tcPr>
          <w:p>
            <w:pPr>
              <w:pStyle w:val="Normal"/>
              <w:jc w:val="center"/>
              <w:rPr/>
            </w:pPr>
            <w:r>
              <w:rPr>
                <w:rFonts w:eastAsia="Arial" w:cs="Arial"/>
                <w:b/>
                <w:bCs/>
                <w:color w:val="4A3B8C"/>
                <w:sz w:val="20"/>
                <w:szCs w:val="20"/>
              </w:rPr>
              <w:t>Wk 3–4</w:t>
            </w:r>
          </w:p>
        </w:tc>
        <w:tc>
          <w:tcPr>
            <w:tcW w:w="3600"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val="false"/>
                <w:bCs w:val="false"/>
                <w:color w:val="2C2C2C"/>
                <w:sz w:val="20"/>
                <w:szCs w:val="20"/>
              </w:rPr>
              <w:t>Facilities &amp; Inventory — Asset Register, Lab Bookings, Store Requisitions</w:t>
            </w:r>
          </w:p>
        </w:tc>
        <w:tc>
          <w:tcPr>
            <w:tcW w:w="4561"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bCs/>
                <w:color w:val="4A3B8C"/>
                <w:sz w:val="20"/>
                <w:szCs w:val="20"/>
              </w:rPr>
              <w:t>2 June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4A3B8C"/>
                <w:sz w:val="20"/>
                <w:szCs w:val="20"/>
              </w:rPr>
              <w:t>Wk 4</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Extra-Curricular Activities — Clubs, Scheduling, Achievements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4A3B8C"/>
                <w:sz w:val="20"/>
                <w:szCs w:val="20"/>
              </w:rPr>
              <w:t>5 June 2026</w:t>
            </w:r>
          </w:p>
        </w:tc>
      </w:tr>
      <w:tr>
        <w:trPr/>
        <w:tc>
          <w:tcPr>
            <w:tcW w:w="1199"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vAlign w:val="center"/>
          </w:tcPr>
          <w:p>
            <w:pPr>
              <w:pStyle w:val="Normal"/>
              <w:jc w:val="center"/>
              <w:rPr/>
            </w:pPr>
            <w:r>
              <w:rPr>
                <w:rFonts w:eastAsia="Arial" w:cs="Arial"/>
                <w:b/>
                <w:bCs/>
                <w:color w:val="4A3B8C"/>
                <w:sz w:val="20"/>
                <w:szCs w:val="20"/>
              </w:rPr>
              <w:t>Wk 4</w:t>
            </w:r>
          </w:p>
        </w:tc>
        <w:tc>
          <w:tcPr>
            <w:tcW w:w="3600"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val="false"/>
                <w:bCs w:val="false"/>
                <w:color w:val="2C2C2C"/>
                <w:sz w:val="20"/>
                <w:szCs w:val="20"/>
              </w:rPr>
              <w:t>Uniform Management — Stock, Issuance, Student Allocations</w:t>
            </w:r>
          </w:p>
        </w:tc>
        <w:tc>
          <w:tcPr>
            <w:tcW w:w="4561"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bCs/>
                <w:color w:val="4A3B8C"/>
                <w:sz w:val="20"/>
                <w:szCs w:val="20"/>
              </w:rPr>
              <w:t>6 June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4A3B8C"/>
                <w:sz w:val="20"/>
                <w:szCs w:val="20"/>
              </w:rPr>
              <w:t>Wk 5</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Human Resources — Staff Profiles, Leave, Appraisals, Contracts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4A3B8C"/>
                <w:sz w:val="20"/>
                <w:szCs w:val="20"/>
              </w:rPr>
              <w:t>9 June 2026</w:t>
            </w:r>
          </w:p>
        </w:tc>
      </w:tr>
      <w:tr>
        <w:trPr/>
        <w:tc>
          <w:tcPr>
            <w:tcW w:w="1199"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vAlign w:val="center"/>
          </w:tcPr>
          <w:p>
            <w:pPr>
              <w:pStyle w:val="Normal"/>
              <w:jc w:val="center"/>
              <w:rPr/>
            </w:pPr>
            <w:r>
              <w:rPr>
                <w:rFonts w:eastAsia="Arial" w:cs="Arial"/>
                <w:b/>
                <w:bCs/>
                <w:color w:val="4A3B8C"/>
                <w:sz w:val="20"/>
                <w:szCs w:val="20"/>
              </w:rPr>
              <w:t>Wk 5</w:t>
            </w:r>
          </w:p>
        </w:tc>
        <w:tc>
          <w:tcPr>
            <w:tcW w:w="3600"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val="false"/>
                <w:bCs w:val="false"/>
                <w:color w:val="2C2C2C"/>
                <w:sz w:val="20"/>
                <w:szCs w:val="20"/>
              </w:rPr>
              <w:t>SEN &amp; Counseling — Accommodation Plans, Welfare Records, Confidential Access Controls</w:t>
            </w:r>
          </w:p>
        </w:tc>
        <w:tc>
          <w:tcPr>
            <w:tcW w:w="4561"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bCs/>
                <w:color w:val="4A3B8C"/>
                <w:sz w:val="20"/>
                <w:szCs w:val="20"/>
              </w:rPr>
              <w:t>11 June 2026</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4A3B8C"/>
                <w:sz w:val="20"/>
                <w:szCs w:val="20"/>
              </w:rPr>
              <w:t>Wk 5</w:t>
            </w:r>
          </w:p>
        </w:tc>
        <w:tc>
          <w:tcPr>
            <w:tcW w:w="36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color w:val="2C2C2C"/>
                <w:sz w:val="20"/>
                <w:szCs w:val="20"/>
              </w:rPr>
              <w:t>Head of Department Portal — Curriculum, Schemes of Work, Performance Analytics</w:t>
            </w:r>
          </w:p>
        </w:tc>
        <w:tc>
          <w:tcPr>
            <w:tcW w:w="45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color w:val="4A3B8C"/>
                <w:sz w:val="20"/>
                <w:szCs w:val="20"/>
              </w:rPr>
              <w:t>12 June 2026</w:t>
            </w:r>
          </w:p>
        </w:tc>
      </w:tr>
      <w:tr>
        <w:trPr/>
        <w:tc>
          <w:tcPr>
            <w:tcW w:w="1199"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vAlign w:val="center"/>
          </w:tcPr>
          <w:p>
            <w:pPr>
              <w:pStyle w:val="Normal"/>
              <w:jc w:val="center"/>
              <w:rPr/>
            </w:pPr>
            <w:r>
              <w:rPr>
                <w:rFonts w:eastAsia="Arial" w:cs="Arial"/>
                <w:b/>
                <w:bCs/>
                <w:color w:val="4A3B8C"/>
                <w:sz w:val="20"/>
                <w:szCs w:val="20"/>
              </w:rPr>
              <w:t>Wk 6</w:t>
            </w:r>
          </w:p>
        </w:tc>
        <w:tc>
          <w:tcPr>
            <w:tcW w:w="3600"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val="false"/>
                <w:bCs w:val="false"/>
                <w:color w:val="2C2C2C"/>
                <w:sz w:val="20"/>
                <w:szCs w:val="20"/>
              </w:rPr>
              <w:t>Phase 2 QA, UAT, Final Integration Testing &amp; Client Sign-off</w:t>
            </w:r>
          </w:p>
        </w:tc>
        <w:tc>
          <w:tcPr>
            <w:tcW w:w="4561" w:type="dxa"/>
            <w:tcBorders>
              <w:top w:val="single" w:sz="2" w:space="0" w:color="CCCCCC"/>
              <w:left w:val="single" w:sz="2" w:space="0" w:color="CCCCCC"/>
              <w:bottom w:val="single" w:sz="2" w:space="0" w:color="CCCCCC"/>
              <w:right w:val="single" w:sz="2" w:space="0" w:color="CCCCCC"/>
            </w:tcBorders>
            <w:shd w:fill="E8E4F5" w:val="clear"/>
            <w:tcMar>
              <w:top w:w="90" w:type="dxa"/>
              <w:bottom w:w="90" w:type="dxa"/>
            </w:tcMar>
          </w:tcPr>
          <w:p>
            <w:pPr>
              <w:pStyle w:val="Normal"/>
              <w:rPr/>
            </w:pPr>
            <w:r>
              <w:rPr>
                <w:rFonts w:eastAsia="Arial" w:cs="Arial"/>
                <w:b/>
                <w:bCs/>
                <w:color w:val="4A3B8C"/>
                <w:sz w:val="20"/>
                <w:szCs w:val="20"/>
              </w:rPr>
              <w:t>15 June 2026</w:t>
            </w:r>
          </w:p>
        </w:tc>
      </w:tr>
    </w:tbl>
    <w:p>
      <w:pPr>
        <w:pStyle w:val="Normal"/>
        <w:spacing w:before="0" w:after="200"/>
        <w:rPr/>
      </w:pPr>
      <w:r>
        <w:rPr/>
      </w:r>
    </w:p>
    <w:p>
      <w:pPr>
        <w:pStyle w:val="Heading2"/>
        <w:rPr/>
      </w:pPr>
      <w:r>
        <w:rPr/>
        <w:t>3.3  Phase 2 Deliverables</w:t>
      </w:r>
    </w:p>
    <w:p>
      <w:pPr>
        <w:pStyle w:val="Normal"/>
        <w:spacing w:before="60" w:after="80"/>
        <w:rPr/>
      </w:pPr>
      <w:r>
        <w:rPr>
          <w:rFonts w:eastAsia="Arial" w:cs="Arial"/>
          <w:color w:val="555555"/>
          <w:sz w:val="22"/>
          <w:szCs w:val="22"/>
        </w:rPr>
        <w:t>Upon completion of Phase 2, the school will additionally be able to:</w:t>
      </w:r>
    </w:p>
    <w:p>
      <w:pPr>
        <w:pStyle w:val="Normal"/>
        <w:spacing w:before="0" w:after="60"/>
        <w:rPr/>
      </w:pPr>
      <w:r>
        <w:rPr/>
      </w:r>
    </w:p>
    <w:p>
      <w:pPr>
        <w:pStyle w:val="ListParagraph"/>
        <w:numPr>
          <w:ilvl w:val="0"/>
          <w:numId w:val="1"/>
        </w:numPr>
        <w:rPr/>
      </w:pPr>
      <w:r>
        <w:rPr>
          <w:rFonts w:eastAsia="Arial" w:cs="Arial"/>
          <w:color w:val="2C2C2C"/>
          <w:sz w:val="20"/>
          <w:szCs w:val="20"/>
        </w:rPr>
        <w:t>Manage the boarding house end-to-end, with real-time parent visibility</w:t>
      </w:r>
    </w:p>
    <w:p>
      <w:pPr>
        <w:pStyle w:val="ListParagraph"/>
        <w:numPr>
          <w:ilvl w:val="0"/>
          <w:numId w:val="1"/>
        </w:numPr>
        <w:rPr/>
      </w:pPr>
      <w:r>
        <w:rPr>
          <w:rFonts w:eastAsia="Arial" w:cs="Arial"/>
          <w:color w:val="2C2C2C"/>
          <w:sz w:val="20"/>
          <w:szCs w:val="20"/>
        </w:rPr>
        <w:t>Track every person who enters or leaves the school gate with full audit records</w:t>
      </w:r>
    </w:p>
    <w:p>
      <w:pPr>
        <w:pStyle w:val="ListParagraph"/>
        <w:numPr>
          <w:ilvl w:val="0"/>
          <w:numId w:val="1"/>
        </w:numPr>
        <w:rPr/>
      </w:pPr>
      <w:r>
        <w:rPr>
          <w:rFonts w:eastAsia="Arial" w:cs="Arial"/>
          <w:color w:val="2C2C2C"/>
          <w:sz w:val="20"/>
          <w:szCs w:val="20"/>
        </w:rPr>
        <w:t>Maintain complete medical records for sick bay visits with access controls</w:t>
      </w:r>
    </w:p>
    <w:p>
      <w:pPr>
        <w:pStyle w:val="ListParagraph"/>
        <w:numPr>
          <w:ilvl w:val="0"/>
          <w:numId w:val="1"/>
        </w:numPr>
        <w:rPr/>
      </w:pPr>
      <w:r>
        <w:rPr>
          <w:rFonts w:eastAsia="Arial" w:cs="Arial"/>
          <w:color w:val="2C2C2C"/>
          <w:sz w:val="20"/>
          <w:szCs w:val="20"/>
        </w:rPr>
        <w:t>Run the store, labs, and facilities with full inventory control and requisition workflows</w:t>
      </w:r>
    </w:p>
    <w:p>
      <w:pPr>
        <w:pStyle w:val="ListParagraph"/>
        <w:numPr>
          <w:ilvl w:val="0"/>
          <w:numId w:val="1"/>
        </w:numPr>
        <w:rPr/>
      </w:pPr>
      <w:r>
        <w:rPr>
          <w:rFonts w:eastAsia="Arial" w:cs="Arial"/>
          <w:color w:val="2C2C2C"/>
          <w:sz w:val="20"/>
          <w:szCs w:val="20"/>
        </w:rPr>
        <w:t>Record and track every student discipline case and counseling session securely</w:t>
      </w:r>
    </w:p>
    <w:p>
      <w:pPr>
        <w:pStyle w:val="ListParagraph"/>
        <w:numPr>
          <w:ilvl w:val="0"/>
          <w:numId w:val="1"/>
        </w:numPr>
        <w:rPr/>
      </w:pPr>
      <w:r>
        <w:rPr>
          <w:rFonts w:eastAsia="Arial" w:cs="Arial"/>
          <w:color w:val="2C2C2C"/>
          <w:sz w:val="20"/>
          <w:szCs w:val="20"/>
        </w:rPr>
        <w:t>Coordinate all extra-curricular clubs, activities, and student achievements</w:t>
      </w:r>
    </w:p>
    <w:p>
      <w:pPr>
        <w:pStyle w:val="ListParagraph"/>
        <w:numPr>
          <w:ilvl w:val="0"/>
          <w:numId w:val="1"/>
        </w:numPr>
        <w:rPr/>
      </w:pPr>
      <w:r>
        <w:rPr>
          <w:rFonts w:eastAsia="Arial" w:cs="Arial"/>
          <w:color w:val="2C2C2C"/>
          <w:sz w:val="20"/>
          <w:szCs w:val="20"/>
        </w:rPr>
        <w:t>Manage uniform inventory, student allocations, and supplier orders</w:t>
      </w:r>
    </w:p>
    <w:p>
      <w:pPr>
        <w:pStyle w:val="ListParagraph"/>
        <w:numPr>
          <w:ilvl w:val="0"/>
          <w:numId w:val="1"/>
        </w:numPr>
        <w:rPr/>
      </w:pPr>
      <w:r>
        <w:rPr>
          <w:rFonts w:eastAsia="Arial" w:cs="Arial"/>
          <w:color w:val="2C2C2C"/>
          <w:sz w:val="20"/>
          <w:szCs w:val="20"/>
        </w:rPr>
        <w:t>Administer staff HR records, leave management, contracts, and appraisals</w:t>
      </w:r>
    </w:p>
    <w:p>
      <w:pPr>
        <w:pStyle w:val="ListParagraph"/>
        <w:numPr>
          <w:ilvl w:val="0"/>
          <w:numId w:val="1"/>
        </w:numPr>
        <w:rPr/>
      </w:pPr>
      <w:r>
        <w:rPr>
          <w:rFonts w:eastAsia="Arial" w:cs="Arial"/>
          <w:color w:val="2C2C2C"/>
          <w:sz w:val="20"/>
          <w:szCs w:val="20"/>
        </w:rPr>
        <w:t>Provide HODs with curriculum tools, scheme of work management, and performance analytics</w:t>
      </w:r>
    </w:p>
    <w:p>
      <w:pPr>
        <w:pStyle w:val="Normal"/>
        <w:spacing w:before="0" w:after="240"/>
        <w:rPr/>
      </w:pPr>
      <w:r>
        <w:rPr/>
      </w:r>
    </w:p>
    <w:p>
      <w:pPr>
        <w:pStyle w:val="Normal"/>
        <w:rPr/>
      </w:pPr>
      <w:r>
        <w:rPr/>
      </w:r>
      <w:r>
        <w:br w:type="page"/>
      </w:r>
    </w:p>
    <w:p>
      <w:pPr>
        <w:pStyle w:val="Heading1"/>
        <w:spacing w:before="0" w:after="160"/>
        <w:rPr/>
      </w:pPr>
      <w:r>
        <w:rPr/>
        <w:t>4. Technology Overview</w:t>
      </w:r>
    </w:p>
    <w:p>
      <w:pPr>
        <w:pStyle w:val="Normal"/>
        <w:pBdr>
          <w:bottom w:val="single" w:sz="8" w:space="1" w:color="1B3A6B"/>
        </w:pBdr>
        <w:spacing w:before="0" w:after="240"/>
        <w:rPr/>
      </w:pPr>
      <w:r>
        <w:rPr/>
      </w:r>
    </w:p>
    <w:p>
      <w:pPr>
        <w:pStyle w:val="Normal"/>
        <w:spacing w:before="60" w:after="80"/>
        <w:rPr/>
      </w:pPr>
      <w:r>
        <w:rPr>
          <w:rFonts w:eastAsia="Arial" w:cs="Arial"/>
          <w:color w:val="555555"/>
          <w:sz w:val="22"/>
          <w:szCs w:val="22"/>
        </w:rPr>
        <w:t>The SMISSI platform is built on a modern, enterprise-grade technology stack selected for reliability, scalability, and suitability to the Ugandan operational environment.</w:t>
      </w:r>
    </w:p>
    <w:p>
      <w:pPr>
        <w:pStyle w:val="Normal"/>
        <w:spacing w:before="0" w:after="120"/>
        <w:rPr/>
      </w:pPr>
      <w:r>
        <w:rPr/>
      </w:r>
    </w:p>
    <w:tbl>
      <w:tblPr>
        <w:tblW w:w="9360" w:type="dxa"/>
        <w:jc w:val="left"/>
        <w:tblInd w:w="0" w:type="dxa"/>
        <w:tblLayout w:type="fixed"/>
        <w:tblCellMar>
          <w:top w:w="100" w:type="dxa"/>
          <w:left w:w="160" w:type="dxa"/>
          <w:bottom w:w="100" w:type="dxa"/>
          <w:right w:w="80" w:type="dxa"/>
        </w:tblCellMar>
      </w:tblPr>
      <w:tblGrid>
        <w:gridCol w:w="2799"/>
        <w:gridCol w:w="3200"/>
        <w:gridCol w:w="3361"/>
      </w:tblGrid>
      <w:tr>
        <w:trPr/>
        <w:tc>
          <w:tcPr>
            <w:tcW w:w="2799" w:type="dxa"/>
            <w:tcBorders/>
            <w:shd w:fill="1B3A6B" w:val="clear"/>
          </w:tcPr>
          <w:p>
            <w:pPr>
              <w:pStyle w:val="Normal"/>
              <w:rPr/>
            </w:pPr>
            <w:r>
              <w:rPr>
                <w:rFonts w:eastAsia="Arial" w:cs="Arial"/>
                <w:b/>
                <w:bCs/>
                <w:color w:val="FFFFFF"/>
                <w:sz w:val="20"/>
                <w:szCs w:val="20"/>
              </w:rPr>
              <w:t>Layer</w:t>
            </w:r>
          </w:p>
        </w:tc>
        <w:tc>
          <w:tcPr>
            <w:tcW w:w="3200" w:type="dxa"/>
            <w:tcBorders/>
            <w:shd w:fill="1B3A6B" w:val="clear"/>
          </w:tcPr>
          <w:p>
            <w:pPr>
              <w:pStyle w:val="Normal"/>
              <w:rPr/>
            </w:pPr>
            <w:r>
              <w:rPr>
                <w:rFonts w:eastAsia="Arial" w:cs="Arial"/>
                <w:b/>
                <w:bCs/>
                <w:color w:val="FFFFFF"/>
                <w:sz w:val="20"/>
                <w:szCs w:val="20"/>
              </w:rPr>
              <w:t>Technology</w:t>
            </w:r>
          </w:p>
        </w:tc>
        <w:tc>
          <w:tcPr>
            <w:tcW w:w="3361" w:type="dxa"/>
            <w:tcBorders/>
            <w:shd w:fill="1B3A6B" w:val="clear"/>
          </w:tcPr>
          <w:p>
            <w:pPr>
              <w:pStyle w:val="Normal"/>
              <w:rPr/>
            </w:pPr>
            <w:r>
              <w:rPr>
                <w:rFonts w:eastAsia="Arial" w:cs="Arial"/>
                <w:b/>
                <w:bCs/>
                <w:color w:val="FFFFFF"/>
                <w:sz w:val="20"/>
                <w:szCs w:val="20"/>
              </w:rPr>
              <w:t>Purpose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Backend</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Node.js / NestJS</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Enterprise-grade, modular, TypeScript</w:t>
            </w:r>
          </w:p>
        </w:tc>
      </w:tr>
      <w:tr>
        <w:trPr/>
        <w:tc>
          <w:tcPr>
            <w:tcW w:w="27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Database</w:t>
            </w:r>
          </w:p>
        </w:tc>
        <w:tc>
          <w:tcPr>
            <w:tcW w:w="3200"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PostgreSQL</w:t>
            </w:r>
          </w:p>
        </w:tc>
        <w:tc>
          <w:tcPr>
            <w:tcW w:w="3361"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Relational integrity for complex school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Authentication</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JWT + RBAC</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Stateless auth for 20+ user roles</w:t>
            </w:r>
          </w:p>
        </w:tc>
      </w:tr>
      <w:tr>
        <w:trPr/>
        <w:tc>
          <w:tcPr>
            <w:tcW w:w="27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Payments</w:t>
            </w:r>
          </w:p>
        </w:tc>
        <w:tc>
          <w:tcPr>
            <w:tcW w:w="3200"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MTN MoMo + Airtel (Pesapal)</w:t>
            </w:r>
          </w:p>
        </w:tc>
        <w:tc>
          <w:tcPr>
            <w:tcW w:w="3361"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Primary payment methods in Uganda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SMS</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Africa's Talking</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Uganda-native SMS — best coverage and rates</w:t>
            </w:r>
          </w:p>
        </w:tc>
      </w:tr>
      <w:tr>
        <w:trPr/>
        <w:tc>
          <w:tcPr>
            <w:tcW w:w="27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Email</w:t>
            </w:r>
          </w:p>
        </w:tc>
        <w:tc>
          <w:tcPr>
            <w:tcW w:w="3200"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SendGrid</w:t>
            </w:r>
          </w:p>
        </w:tc>
        <w:tc>
          <w:tcPr>
            <w:tcW w:w="3361"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Receipts, reports, and parent notifications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File Storage</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AWS S3 / Cloudflare R2</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Report cards, payslips, medical documents</w:t>
            </w:r>
          </w:p>
        </w:tc>
      </w:tr>
      <w:tr>
        <w:trPr/>
        <w:tc>
          <w:tcPr>
            <w:tcW w:w="27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Real-time</w:t>
            </w:r>
          </w:p>
        </w:tc>
        <w:tc>
          <w:tcPr>
            <w:tcW w:w="3200"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WebSockets (Socket.io)</w:t>
            </w:r>
          </w:p>
        </w:tc>
        <w:tc>
          <w:tcPr>
            <w:tcW w:w="3361"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Gate alerts, medical events, fee reminders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PDF Generation</w:t>
            </w:r>
          </w:p>
        </w:tc>
        <w:tc>
          <w:tcPr>
            <w:tcW w:w="320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Puppeteer</w:t>
            </w:r>
          </w:p>
        </w:tc>
        <w:tc>
          <w:tcPr>
            <w:tcW w:w="3361"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color w:val="2C2C2C"/>
                <w:sz w:val="19"/>
                <w:szCs w:val="19"/>
              </w:rPr>
              <w:t>Report cards, payslips, invoices</w:t>
            </w:r>
          </w:p>
        </w:tc>
      </w:tr>
      <w:tr>
        <w:trPr/>
        <w:tc>
          <w:tcPr>
            <w:tcW w:w="27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Hosting</w:t>
            </w:r>
          </w:p>
        </w:tc>
        <w:tc>
          <w:tcPr>
            <w:tcW w:w="3200"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AWS / DigitalOcean</w:t>
            </w:r>
          </w:p>
        </w:tc>
        <w:tc>
          <w:tcPr>
            <w:tcW w:w="3361"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tcPr>
          <w:p>
            <w:pPr>
              <w:pStyle w:val="Normal"/>
              <w:rPr/>
            </w:pPr>
            <w:r>
              <w:rPr>
                <w:rFonts w:eastAsia="Arial" w:cs="Arial"/>
                <w:color w:val="2C2C2C"/>
                <w:sz w:val="19"/>
                <w:szCs w:val="19"/>
              </w:rPr>
              <w:t>Scalable cloud with low-latency hosting</w:t>
            </w:r>
          </w:p>
        </w:tc>
      </w:tr>
    </w:tbl>
    <w:p>
      <w:pPr>
        <w:pStyle w:val="Normal"/>
        <w:spacing w:before="0" w:after="240"/>
        <w:rPr/>
      </w:pPr>
      <w:r>
        <w:rPr/>
      </w:r>
    </w:p>
    <w:p>
      <w:pPr>
        <w:pStyle w:val="Heading1"/>
        <w:rPr/>
      </w:pPr>
      <w:r>
        <w:rPr/>
        <w:t>5. Key Assumptions &amp; Client Responsibilities</w:t>
      </w:r>
    </w:p>
    <w:p>
      <w:pPr>
        <w:pStyle w:val="Normal"/>
        <w:pBdr>
          <w:bottom w:val="single" w:sz="8" w:space="1" w:color="1B3A6B"/>
        </w:pBdr>
        <w:spacing w:before="0" w:after="240"/>
        <w:rPr/>
      </w:pPr>
      <w:r>
        <w:rPr/>
      </w:r>
    </w:p>
    <w:p>
      <w:pPr>
        <w:pStyle w:val="Normal"/>
        <w:spacing w:before="60" w:after="80"/>
        <w:rPr/>
      </w:pPr>
      <w:r>
        <w:rPr>
          <w:rFonts w:eastAsia="Arial" w:cs="Arial"/>
          <w:color w:val="555555"/>
          <w:sz w:val="22"/>
          <w:szCs w:val="22"/>
        </w:rPr>
        <w:t>The following are required from the client side for development to proceed smoothly and on schedule. Any delays in these items may impact the delivery timeline.</w:t>
      </w:r>
    </w:p>
    <w:p>
      <w:pPr>
        <w:pStyle w:val="Normal"/>
        <w:spacing w:before="0" w:after="120"/>
        <w:rPr/>
      </w:pPr>
      <w:r>
        <w:rPr/>
      </w:r>
    </w:p>
    <w:tbl>
      <w:tblPr>
        <w:tblW w:w="9360" w:type="dxa"/>
        <w:jc w:val="left"/>
        <w:tblInd w:w="0" w:type="dxa"/>
        <w:tblLayout w:type="fixed"/>
        <w:tblCellMar>
          <w:top w:w="0" w:type="dxa"/>
          <w:left w:w="0" w:type="dxa"/>
          <w:bottom w:w="0" w:type="dxa"/>
          <w:right w:w="0" w:type="dxa"/>
        </w:tblCellMar>
      </w:tblPr>
      <w:tblGrid>
        <w:gridCol w:w="279"/>
        <w:gridCol w:w="9080"/>
      </w:tblGrid>
      <w:tr>
        <w:trPr/>
        <w:tc>
          <w:tcPr>
            <w:tcW w:w="279" w:type="dxa"/>
            <w:tcBorders/>
            <w:shd w:fill="2E7DD4" w:val="clear"/>
          </w:tcPr>
          <w:p>
            <w:pPr>
              <w:pStyle w:val="Normal"/>
              <w:rPr/>
            </w:pPr>
            <w:r>
              <w:rPr/>
            </w:r>
          </w:p>
        </w:tc>
        <w:tc>
          <w:tcPr>
            <w:tcW w:w="9080" w:type="dxa"/>
            <w:tcBorders/>
            <w:shd w:fill="D6E8F7" w:val="clear"/>
            <w:tcMar>
              <w:top w:w="120" w:type="dxa"/>
              <w:left w:w="200" w:type="dxa"/>
              <w:bottom w:w="120" w:type="dxa"/>
              <w:right w:w="200" w:type="dxa"/>
            </w:tcMar>
          </w:tcPr>
          <w:p>
            <w:pPr>
              <w:pStyle w:val="Normal"/>
              <w:rPr/>
            </w:pPr>
            <w:r>
              <w:rPr>
                <w:rFonts w:eastAsia="Arial" w:cs="Arial"/>
                <w:i/>
                <w:iCs/>
                <w:color w:val="2C2C2C"/>
                <w:sz w:val="20"/>
                <w:szCs w:val="20"/>
              </w:rPr>
              <w:t>Items marked as client responsibilities should be completed before the respective phase begins to avoid delays to the delivery schedule.</w:t>
            </w:r>
          </w:p>
        </w:tc>
      </w:tr>
    </w:tbl>
    <w:p>
      <w:pPr>
        <w:pStyle w:val="Normal"/>
        <w:spacing w:before="0" w:after="160"/>
        <w:rPr/>
      </w:pPr>
      <w:r>
        <w:rPr/>
      </w:r>
    </w:p>
    <w:tbl>
      <w:tblPr>
        <w:tblW w:w="9360" w:type="dxa"/>
        <w:jc w:val="left"/>
        <w:tblInd w:w="0" w:type="dxa"/>
        <w:tblLayout w:type="fixed"/>
        <w:tblCellMar>
          <w:top w:w="100" w:type="dxa"/>
          <w:left w:w="80" w:type="dxa"/>
          <w:bottom w:w="100" w:type="dxa"/>
          <w:right w:w="80" w:type="dxa"/>
        </w:tblCellMar>
      </w:tblPr>
      <w:tblGrid>
        <w:gridCol w:w="399"/>
        <w:gridCol w:w="5160"/>
        <w:gridCol w:w="3801"/>
      </w:tblGrid>
      <w:tr>
        <w:trPr/>
        <w:tc>
          <w:tcPr>
            <w:tcW w:w="399" w:type="dxa"/>
            <w:tcBorders/>
            <w:shd w:fill="1B3A6B" w:val="clear"/>
          </w:tcPr>
          <w:p>
            <w:pPr>
              <w:pStyle w:val="Normal"/>
              <w:jc w:val="center"/>
              <w:rPr/>
            </w:pPr>
            <w:r>
              <w:rPr>
                <w:rFonts w:eastAsia="Arial" w:cs="Arial"/>
                <w:b/>
                <w:bCs/>
                <w:color w:val="FFFFFF"/>
                <w:sz w:val="20"/>
                <w:szCs w:val="20"/>
              </w:rPr>
              <w:t>#</w:t>
            </w:r>
          </w:p>
        </w:tc>
        <w:tc>
          <w:tcPr>
            <w:tcW w:w="5160" w:type="dxa"/>
            <w:tcBorders/>
            <w:shd w:fill="1B3A6B" w:val="clear"/>
            <w:tcMar>
              <w:left w:w="160" w:type="dxa"/>
            </w:tcMar>
          </w:tcPr>
          <w:p>
            <w:pPr>
              <w:pStyle w:val="Normal"/>
              <w:rPr/>
            </w:pPr>
            <w:r>
              <w:rPr>
                <w:rFonts w:eastAsia="Arial" w:cs="Arial"/>
                <w:b/>
                <w:bCs/>
                <w:color w:val="FFFFFF"/>
                <w:sz w:val="20"/>
                <w:szCs w:val="20"/>
              </w:rPr>
              <w:t>Responsibility</w:t>
            </w:r>
          </w:p>
        </w:tc>
        <w:tc>
          <w:tcPr>
            <w:tcW w:w="3801" w:type="dxa"/>
            <w:tcBorders/>
            <w:shd w:fill="1B3A6B" w:val="clear"/>
            <w:tcMar>
              <w:left w:w="160" w:type="dxa"/>
            </w:tcMar>
          </w:tcPr>
          <w:p>
            <w:pPr>
              <w:pStyle w:val="Normal"/>
              <w:rPr/>
            </w:pPr>
            <w:r>
              <w:rPr>
                <w:rFonts w:eastAsia="Arial" w:cs="Arial"/>
                <w:b/>
                <w:bCs/>
                <w:color w:val="FFFFFF"/>
                <w:sz w:val="20"/>
                <w:szCs w:val="20"/>
              </w:rPr>
              <w:t>Required By</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B3A6B"/>
                <w:sz w:val="20"/>
                <w:szCs w:val="20"/>
              </w:rPr>
              <w:t>1</w:t>
            </w:r>
          </w:p>
        </w:tc>
        <w:tc>
          <w:tcPr>
            <w:tcW w:w="5160"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color w:val="2C2C2C"/>
                <w:sz w:val="19"/>
                <w:szCs w:val="19"/>
              </w:rPr>
              <w:t>All 35 HTML/CSS frontend files handed over to the development team</w:t>
            </w:r>
          </w:p>
        </w:tc>
        <w:tc>
          <w:tcPr>
            <w:tcW w:w="3801"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b/>
                <w:bCs/>
                <w:color w:val="2E7DD4"/>
                <w:sz w:val="19"/>
                <w:szCs w:val="19"/>
              </w:rPr>
              <w:t>Phase 1 start</w:t>
            </w:r>
          </w:p>
        </w:tc>
      </w:tr>
      <w:tr>
        <w:trPr/>
        <w:tc>
          <w:tcPr>
            <w:tcW w:w="3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vAlign w:val="center"/>
          </w:tcPr>
          <w:p>
            <w:pPr>
              <w:pStyle w:val="Normal"/>
              <w:jc w:val="center"/>
              <w:rPr/>
            </w:pPr>
            <w:r>
              <w:rPr>
                <w:rFonts w:eastAsia="Arial" w:cs="Arial"/>
                <w:b/>
                <w:bCs/>
                <w:color w:val="1B3A6B"/>
                <w:sz w:val="20"/>
                <w:szCs w:val="20"/>
              </w:rPr>
              <w:t>2</w:t>
            </w:r>
          </w:p>
        </w:tc>
        <w:tc>
          <w:tcPr>
            <w:tcW w:w="5160"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color w:val="2C2C2C"/>
                <w:sz w:val="19"/>
                <w:szCs w:val="19"/>
              </w:rPr>
              <w:t>Student, staff, class, and fee structure data for setup and testing</w:t>
            </w:r>
          </w:p>
        </w:tc>
        <w:tc>
          <w:tcPr>
            <w:tcW w:w="3801"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b/>
                <w:bCs/>
                <w:color w:val="2E7DD4"/>
                <w:sz w:val="19"/>
                <w:szCs w:val="19"/>
              </w:rPr>
              <w:t>Phase 1 Week 2</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B3A6B"/>
                <w:sz w:val="20"/>
                <w:szCs w:val="20"/>
              </w:rPr>
              <w:t>3</w:t>
            </w:r>
          </w:p>
        </w:tc>
        <w:tc>
          <w:tcPr>
            <w:tcW w:w="5160"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color w:val="2C2C2C"/>
                <w:sz w:val="19"/>
                <w:szCs w:val="19"/>
              </w:rPr>
              <w:t>URA PAYE tax bands and NSSF contribution rates confirmed</w:t>
            </w:r>
          </w:p>
        </w:tc>
        <w:tc>
          <w:tcPr>
            <w:tcW w:w="3801"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b/>
                <w:bCs/>
                <w:color w:val="2E7DD4"/>
                <w:sz w:val="19"/>
                <w:szCs w:val="19"/>
              </w:rPr>
              <w:t>Phase 1 Week 6</w:t>
            </w:r>
          </w:p>
        </w:tc>
      </w:tr>
      <w:tr>
        <w:trPr/>
        <w:tc>
          <w:tcPr>
            <w:tcW w:w="3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vAlign w:val="center"/>
          </w:tcPr>
          <w:p>
            <w:pPr>
              <w:pStyle w:val="Normal"/>
              <w:jc w:val="center"/>
              <w:rPr/>
            </w:pPr>
            <w:r>
              <w:rPr>
                <w:rFonts w:eastAsia="Arial" w:cs="Arial"/>
                <w:b/>
                <w:bCs/>
                <w:color w:val="1B3A6B"/>
                <w:sz w:val="20"/>
                <w:szCs w:val="20"/>
              </w:rPr>
              <w:t>4</w:t>
            </w:r>
          </w:p>
        </w:tc>
        <w:tc>
          <w:tcPr>
            <w:tcW w:w="5160"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color w:val="2C2C2C"/>
                <w:sz w:val="19"/>
                <w:szCs w:val="19"/>
              </w:rPr>
              <w:t>MTN and Airtel merchant payment accounts registered</w:t>
            </w:r>
          </w:p>
        </w:tc>
        <w:tc>
          <w:tcPr>
            <w:tcW w:w="3801"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b/>
                <w:bCs/>
                <w:color w:val="2E7DD4"/>
                <w:sz w:val="19"/>
                <w:szCs w:val="19"/>
              </w:rPr>
              <w:t>Phase 1 Week 5</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B3A6B"/>
                <w:sz w:val="20"/>
                <w:szCs w:val="20"/>
              </w:rPr>
              <w:t>5</w:t>
            </w:r>
          </w:p>
        </w:tc>
        <w:tc>
          <w:tcPr>
            <w:tcW w:w="5160"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color w:val="2C2C2C"/>
                <w:sz w:val="19"/>
                <w:szCs w:val="19"/>
              </w:rPr>
              <w:t>Africa's Talking SMS account registered</w:t>
            </w:r>
          </w:p>
        </w:tc>
        <w:tc>
          <w:tcPr>
            <w:tcW w:w="3801"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b/>
                <w:bCs/>
                <w:color w:val="2E7DD4"/>
                <w:sz w:val="19"/>
                <w:szCs w:val="19"/>
              </w:rPr>
              <w:t>Phase 1 Week 5</w:t>
            </w:r>
          </w:p>
        </w:tc>
      </w:tr>
      <w:tr>
        <w:trPr/>
        <w:tc>
          <w:tcPr>
            <w:tcW w:w="3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vAlign w:val="center"/>
          </w:tcPr>
          <w:p>
            <w:pPr>
              <w:pStyle w:val="Normal"/>
              <w:jc w:val="center"/>
              <w:rPr/>
            </w:pPr>
            <w:r>
              <w:rPr>
                <w:rFonts w:eastAsia="Arial" w:cs="Arial"/>
                <w:b/>
                <w:bCs/>
                <w:color w:val="1B3A6B"/>
                <w:sz w:val="20"/>
                <w:szCs w:val="20"/>
              </w:rPr>
              <w:t>6</w:t>
            </w:r>
          </w:p>
        </w:tc>
        <w:tc>
          <w:tcPr>
            <w:tcW w:w="5160"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color w:val="2C2C2C"/>
                <w:sz w:val="19"/>
                <w:szCs w:val="19"/>
              </w:rPr>
              <w:t>Designated staff available for User Acceptance Testing (UAT)</w:t>
            </w:r>
          </w:p>
        </w:tc>
        <w:tc>
          <w:tcPr>
            <w:tcW w:w="3801"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b/>
                <w:bCs/>
                <w:color w:val="2E7DD4"/>
                <w:sz w:val="19"/>
                <w:szCs w:val="19"/>
              </w:rPr>
              <w:t>End of each phase</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vAlign w:val="center"/>
          </w:tcPr>
          <w:p>
            <w:pPr>
              <w:pStyle w:val="Normal"/>
              <w:jc w:val="center"/>
              <w:rPr/>
            </w:pPr>
            <w:r>
              <w:rPr>
                <w:rFonts w:eastAsia="Arial" w:cs="Arial"/>
                <w:b/>
                <w:bCs/>
                <w:color w:val="1B3A6B"/>
                <w:sz w:val="20"/>
                <w:szCs w:val="20"/>
              </w:rPr>
              <w:t>7</w:t>
            </w:r>
          </w:p>
        </w:tc>
        <w:tc>
          <w:tcPr>
            <w:tcW w:w="5160"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color w:val="2C2C2C"/>
                <w:sz w:val="19"/>
                <w:szCs w:val="19"/>
              </w:rPr>
              <w:t>Domain name confirmed; hosting infrastructure provisioned by dev team</w:t>
            </w:r>
          </w:p>
        </w:tc>
        <w:tc>
          <w:tcPr>
            <w:tcW w:w="3801" w:type="dxa"/>
            <w:tcBorders>
              <w:top w:val="single" w:sz="2" w:space="0" w:color="CCCCCC"/>
              <w:left w:val="single" w:sz="2" w:space="0" w:color="CCCCCC"/>
              <w:bottom w:val="single" w:sz="2" w:space="0" w:color="CCCCCC"/>
              <w:right w:val="single" w:sz="2" w:space="0" w:color="CCCCCC"/>
            </w:tcBorders>
            <w:shd w:fill="FFFFFF" w:val="clear"/>
            <w:tcMar>
              <w:top w:w="90" w:type="dxa"/>
              <w:left w:w="160" w:type="dxa"/>
              <w:bottom w:w="90" w:type="dxa"/>
            </w:tcMar>
          </w:tcPr>
          <w:p>
            <w:pPr>
              <w:pStyle w:val="Normal"/>
              <w:rPr/>
            </w:pPr>
            <w:r>
              <w:rPr>
                <w:rFonts w:eastAsia="Arial" w:cs="Arial"/>
                <w:b/>
                <w:bCs/>
                <w:color w:val="2E7DD4"/>
                <w:sz w:val="19"/>
                <w:szCs w:val="19"/>
              </w:rPr>
              <w:t>Phase 1 Week 1</w:t>
            </w:r>
          </w:p>
        </w:tc>
      </w:tr>
      <w:tr>
        <w:trPr/>
        <w:tc>
          <w:tcPr>
            <w:tcW w:w="399" w:type="dxa"/>
            <w:tcBorders>
              <w:top w:val="single" w:sz="2" w:space="0" w:color="CCCCCC"/>
              <w:left w:val="single" w:sz="2" w:space="0" w:color="CCCCCC"/>
              <w:bottom w:val="single" w:sz="2" w:space="0" w:color="CCCCCC"/>
              <w:right w:val="single" w:sz="2" w:space="0" w:color="CCCCCC"/>
            </w:tcBorders>
            <w:shd w:fill="EBF4FC" w:val="clear"/>
            <w:tcMar>
              <w:top w:w="90" w:type="dxa"/>
              <w:bottom w:w="90" w:type="dxa"/>
            </w:tcMar>
            <w:vAlign w:val="center"/>
          </w:tcPr>
          <w:p>
            <w:pPr>
              <w:pStyle w:val="Normal"/>
              <w:jc w:val="center"/>
              <w:rPr/>
            </w:pPr>
            <w:r>
              <w:rPr>
                <w:rFonts w:eastAsia="Arial" w:cs="Arial"/>
                <w:b/>
                <w:bCs/>
                <w:color w:val="1B3A6B"/>
                <w:sz w:val="20"/>
                <w:szCs w:val="20"/>
              </w:rPr>
              <w:t>8</w:t>
            </w:r>
          </w:p>
        </w:tc>
        <w:tc>
          <w:tcPr>
            <w:tcW w:w="5160"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color w:val="2C2C2C"/>
                <w:sz w:val="19"/>
                <w:szCs w:val="19"/>
              </w:rPr>
              <w:t>Per-school configuration details (name, logo, admin contacts) provided</w:t>
            </w:r>
          </w:p>
        </w:tc>
        <w:tc>
          <w:tcPr>
            <w:tcW w:w="3801" w:type="dxa"/>
            <w:tcBorders>
              <w:top w:val="single" w:sz="2" w:space="0" w:color="CCCCCC"/>
              <w:left w:val="single" w:sz="2" w:space="0" w:color="CCCCCC"/>
              <w:bottom w:val="single" w:sz="2" w:space="0" w:color="CCCCCC"/>
              <w:right w:val="single" w:sz="2" w:space="0" w:color="CCCCCC"/>
            </w:tcBorders>
            <w:shd w:fill="EBF4FC" w:val="clear"/>
            <w:tcMar>
              <w:top w:w="90" w:type="dxa"/>
              <w:left w:w="160" w:type="dxa"/>
              <w:bottom w:w="90" w:type="dxa"/>
            </w:tcMar>
          </w:tcPr>
          <w:p>
            <w:pPr>
              <w:pStyle w:val="Normal"/>
              <w:rPr/>
            </w:pPr>
            <w:r>
              <w:rPr>
                <w:rFonts w:eastAsia="Arial" w:cs="Arial"/>
                <w:b/>
                <w:bCs/>
                <w:color w:val="2E7DD4"/>
                <w:sz w:val="19"/>
                <w:szCs w:val="19"/>
              </w:rPr>
              <w:t>Phase 1 Week 1</w:t>
            </w:r>
          </w:p>
        </w:tc>
      </w:tr>
    </w:tbl>
    <w:p>
      <w:pPr>
        <w:pStyle w:val="Normal"/>
        <w:spacing w:before="0" w:after="240"/>
        <w:rPr/>
      </w:pPr>
      <w:r>
        <w:rPr/>
      </w:r>
    </w:p>
    <w:p>
      <w:pPr>
        <w:pStyle w:val="Heading1"/>
        <w:rPr/>
      </w:pPr>
      <w:r>
        <w:rPr/>
        <w:t>6. Security &amp; Compliance Standards</w:t>
      </w:r>
    </w:p>
    <w:p>
      <w:pPr>
        <w:pStyle w:val="Normal"/>
        <w:pBdr>
          <w:bottom w:val="single" w:sz="8" w:space="1" w:color="1B3A6B"/>
        </w:pBdr>
        <w:spacing w:before="0" w:after="240"/>
        <w:rPr/>
      </w:pPr>
      <w:r>
        <w:rPr/>
      </w:r>
    </w:p>
    <w:p>
      <w:pPr>
        <w:pStyle w:val="Normal"/>
        <w:spacing w:before="60" w:after="80"/>
        <w:rPr/>
      </w:pPr>
      <w:r>
        <w:rPr>
          <w:rFonts w:eastAsia="Arial" w:cs="Arial"/>
          <w:color w:val="555555"/>
          <w:sz w:val="22"/>
          <w:szCs w:val="22"/>
        </w:rPr>
        <w:t>The SMISSI platform is built with security as a foundational requirement, not an afterthought. The following standards are applied across all modules:</w:t>
      </w:r>
    </w:p>
    <w:p>
      <w:pPr>
        <w:pStyle w:val="Normal"/>
        <w:spacing w:before="0" w:after="120"/>
        <w:rPr/>
      </w:pPr>
      <w:r>
        <w:rPr/>
      </w:r>
    </w:p>
    <w:tbl>
      <w:tblPr>
        <w:tblW w:w="9360" w:type="dxa"/>
        <w:jc w:val="left"/>
        <w:tblInd w:w="0" w:type="dxa"/>
        <w:tblLayout w:type="fixed"/>
        <w:tblCellMar>
          <w:top w:w="160" w:type="dxa"/>
          <w:left w:w="200" w:type="dxa"/>
          <w:bottom w:w="160" w:type="dxa"/>
          <w:right w:w="200" w:type="dxa"/>
        </w:tblCellMar>
      </w:tblPr>
      <w:tblGrid>
        <w:gridCol w:w="4680"/>
        <w:gridCol w:w="4679"/>
      </w:tblGrid>
      <w:tr>
        <w:trPr/>
        <w:tc>
          <w:tcPr>
            <w:tcW w:w="4680" w:type="dxa"/>
            <w:tcBorders/>
            <w:shd w:fill="D6E8F7" w:val="clear"/>
          </w:tcPr>
          <w:p>
            <w:pPr>
              <w:pStyle w:val="Normal"/>
              <w:spacing w:before="0" w:after="100"/>
              <w:rPr/>
            </w:pPr>
            <w:r>
              <w:rPr>
                <w:rFonts w:eastAsia="Arial" w:cs="Arial"/>
                <w:b/>
                <w:bCs/>
                <w:color w:val="1B3A6B"/>
                <w:sz w:val="22"/>
                <w:szCs w:val="22"/>
              </w:rPr>
              <w:t>Data Protection</w:t>
            </w:r>
          </w:p>
          <w:p>
            <w:pPr>
              <w:pStyle w:val="ListParagraph"/>
              <w:numPr>
                <w:ilvl w:val="0"/>
                <w:numId w:val="5"/>
              </w:numPr>
              <w:rPr/>
            </w:pPr>
            <w:r>
              <w:rPr>
                <w:rFonts w:eastAsia="Arial" w:cs="Arial"/>
                <w:color w:val="555555"/>
                <w:sz w:val="19"/>
                <w:szCs w:val="19"/>
              </w:rPr>
              <w:t>All data transmitted over HTTPS (TLS 1.3)</w:t>
            </w:r>
          </w:p>
          <w:p>
            <w:pPr>
              <w:pStyle w:val="ListParagraph"/>
              <w:numPr>
                <w:ilvl w:val="0"/>
                <w:numId w:val="2"/>
              </w:numPr>
              <w:rPr/>
            </w:pPr>
            <w:r>
              <w:rPr>
                <w:rFonts w:eastAsia="Arial" w:cs="Arial"/>
                <w:color w:val="555555"/>
                <w:sz w:val="19"/>
                <w:szCs w:val="19"/>
              </w:rPr>
              <w:t>Passwords hashed with bcrypt — never stored in plain text</w:t>
            </w:r>
          </w:p>
          <w:p>
            <w:pPr>
              <w:pStyle w:val="ListParagraph"/>
              <w:numPr>
                <w:ilvl w:val="0"/>
                <w:numId w:val="2"/>
              </w:numPr>
              <w:rPr/>
            </w:pPr>
            <w:r>
              <w:rPr>
                <w:rFonts w:eastAsia="Arial" w:cs="Arial"/>
                <w:color w:val="555555"/>
                <w:sz w:val="19"/>
                <w:szCs w:val="19"/>
              </w:rPr>
              <w:t>JWT tokens with short expiry and refresh token rotation</w:t>
            </w:r>
          </w:p>
          <w:p>
            <w:pPr>
              <w:pStyle w:val="ListParagraph"/>
              <w:numPr>
                <w:ilvl w:val="0"/>
                <w:numId w:val="2"/>
              </w:numPr>
              <w:rPr/>
            </w:pPr>
            <w:r>
              <w:rPr>
                <w:rFonts w:eastAsia="Arial" w:cs="Arial"/>
                <w:color w:val="555555"/>
                <w:sz w:val="19"/>
                <w:szCs w:val="19"/>
              </w:rPr>
              <w:t>Medical and counseling records have an additional access layer</w:t>
            </w:r>
          </w:p>
        </w:tc>
        <w:tc>
          <w:tcPr>
            <w:tcW w:w="4679" w:type="dxa"/>
            <w:tcBorders/>
            <w:shd w:fill="E8E4F5" w:val="clear"/>
          </w:tcPr>
          <w:p>
            <w:pPr>
              <w:pStyle w:val="Normal"/>
              <w:spacing w:before="0" w:after="100"/>
              <w:rPr/>
            </w:pPr>
            <w:r>
              <w:rPr>
                <w:rFonts w:eastAsia="Arial" w:cs="Arial"/>
                <w:b/>
                <w:bCs/>
                <w:color w:val="4A3B8C"/>
                <w:sz w:val="22"/>
                <w:szCs w:val="22"/>
              </w:rPr>
              <w:t>Access &amp; Compliance</w:t>
            </w:r>
          </w:p>
          <w:p>
            <w:pPr>
              <w:pStyle w:val="ListParagraph"/>
              <w:numPr>
                <w:ilvl w:val="0"/>
                <w:numId w:val="2"/>
              </w:numPr>
              <w:rPr/>
            </w:pPr>
            <w:r>
              <w:rPr>
                <w:rFonts w:eastAsia="Arial" w:cs="Arial"/>
                <w:color w:val="555555"/>
                <w:sz w:val="19"/>
                <w:szCs w:val="19"/>
              </w:rPr>
              <w:t>Role-based access — no user can access data outside their scope</w:t>
            </w:r>
          </w:p>
          <w:p>
            <w:pPr>
              <w:pStyle w:val="ListParagraph"/>
              <w:numPr>
                <w:ilvl w:val="0"/>
                <w:numId w:val="2"/>
              </w:numPr>
              <w:rPr/>
            </w:pPr>
            <w:r>
              <w:rPr>
                <w:rFonts w:eastAsia="Arial" w:cs="Arial"/>
                <w:color w:val="555555"/>
                <w:sz w:val="19"/>
                <w:szCs w:val="19"/>
              </w:rPr>
              <w:t>Rate limiting on all API endpoints to prevent abuse</w:t>
            </w:r>
          </w:p>
          <w:p>
            <w:pPr>
              <w:pStyle w:val="ListParagraph"/>
              <w:numPr>
                <w:ilvl w:val="0"/>
                <w:numId w:val="2"/>
              </w:numPr>
              <w:rPr/>
            </w:pPr>
            <w:r>
              <w:rPr>
                <w:rFonts w:eastAsia="Arial" w:cs="Arial"/>
                <w:color w:val="555555"/>
                <w:sz w:val="19"/>
                <w:szCs w:val="19"/>
              </w:rPr>
              <w:t>Financial audit logs are immutable — cannot be altered or deleted</w:t>
            </w:r>
          </w:p>
          <w:p>
            <w:pPr>
              <w:pStyle w:val="ListParagraph"/>
              <w:numPr>
                <w:ilvl w:val="0"/>
                <w:numId w:val="2"/>
              </w:numPr>
              <w:rPr/>
            </w:pPr>
            <w:r>
              <w:rPr>
                <w:rFonts w:eastAsia="Arial" w:cs="Arial"/>
                <w:color w:val="555555"/>
                <w:sz w:val="19"/>
                <w:szCs w:val="19"/>
              </w:rPr>
              <w:t>Full login audit trail across all portals</w:t>
            </w:r>
          </w:p>
        </w:tc>
      </w:tr>
    </w:tbl>
    <w:p>
      <w:pPr>
        <w:pStyle w:val="Normal"/>
        <w:spacing w:before="0" w:after="240"/>
        <w:rPr/>
      </w:pPr>
      <w:r>
        <w:rPr/>
      </w:r>
    </w:p>
    <w:p>
      <w:pPr>
        <w:pStyle w:val="Heading1"/>
        <w:rPr/>
      </w:pPr>
      <w:r>
        <w:rPr/>
        <w:t>7. Next Steps</w:t>
      </w:r>
    </w:p>
    <w:p>
      <w:pPr>
        <w:pStyle w:val="Normal"/>
        <w:pBdr>
          <w:bottom w:val="single" w:sz="8" w:space="1" w:color="1B3A6B"/>
        </w:pBdr>
        <w:spacing w:before="0" w:after="240"/>
        <w:rPr/>
      </w:pPr>
      <w:r>
        <w:rPr/>
      </w:r>
    </w:p>
    <w:p>
      <w:pPr>
        <w:pStyle w:val="Normal"/>
        <w:spacing w:before="60" w:after="80"/>
        <w:rPr/>
      </w:pPr>
      <w:r>
        <w:rPr>
          <w:rFonts w:eastAsia="Arial" w:cs="Arial"/>
          <w:color w:val="555555"/>
          <w:sz w:val="22"/>
          <w:szCs w:val="22"/>
        </w:rPr>
        <w:t>To formally initiate Phase 1 development, the following actions are required:</w:t>
      </w:r>
    </w:p>
    <w:p>
      <w:pPr>
        <w:pStyle w:val="Normal"/>
        <w:spacing w:before="0" w:after="80"/>
        <w:rPr/>
      </w:pPr>
      <w:r>
        <w:rPr/>
      </w:r>
    </w:p>
    <w:p>
      <w:pPr>
        <w:pStyle w:val="Normal"/>
        <w:spacing w:before="80" w:after="80"/>
        <w:rPr/>
      </w:pPr>
      <w:r>
        <w:rPr>
          <w:rFonts w:eastAsia="Arial" w:cs="Arial"/>
          <w:b/>
          <w:bCs/>
          <w:color w:val="1B3A6B"/>
          <w:sz w:val="22"/>
          <w:szCs w:val="22"/>
        </w:rPr>
        <w:t xml:space="preserve">1.  </w:t>
      </w:r>
      <w:r>
        <w:rPr>
          <w:rFonts w:eastAsia="Arial" w:cs="Arial"/>
          <w:color w:val="555555"/>
          <w:sz w:val="22"/>
          <w:szCs w:val="22"/>
        </w:rPr>
        <w:t>Client review and approval of this Project Delivery Plan</w:t>
      </w:r>
    </w:p>
    <w:p>
      <w:pPr>
        <w:pStyle w:val="Normal"/>
        <w:spacing w:before="80" w:after="80"/>
        <w:rPr/>
      </w:pPr>
      <w:r>
        <w:rPr>
          <w:rFonts w:eastAsia="Arial" w:cs="Arial"/>
          <w:b/>
          <w:bCs/>
          <w:color w:val="1B3A6B"/>
          <w:sz w:val="22"/>
          <w:szCs w:val="22"/>
        </w:rPr>
        <w:t xml:space="preserve">2.  </w:t>
      </w:r>
      <w:r>
        <w:rPr>
          <w:rFonts w:eastAsia="Arial" w:cs="Arial"/>
          <w:color w:val="555555"/>
          <w:sz w:val="22"/>
          <w:szCs w:val="22"/>
        </w:rPr>
        <w:t>Confirmation of frontend handover date for all 35 HTML/CSS portal files</w:t>
      </w:r>
    </w:p>
    <w:p>
      <w:pPr>
        <w:pStyle w:val="Normal"/>
        <w:spacing w:before="80" w:after="80"/>
        <w:rPr/>
      </w:pPr>
      <w:r>
        <w:rPr>
          <w:rFonts w:eastAsia="Arial" w:cs="Arial"/>
          <w:b/>
          <w:bCs/>
          <w:color w:val="1B3A6B"/>
          <w:sz w:val="22"/>
          <w:szCs w:val="22"/>
        </w:rPr>
        <w:t xml:space="preserve">3.  </w:t>
      </w:r>
      <w:r>
        <w:rPr>
          <w:rFonts w:eastAsia="Arial" w:cs="Arial"/>
          <w:color w:val="555555"/>
          <w:sz w:val="22"/>
          <w:szCs w:val="22"/>
        </w:rPr>
        <w:t>Completion of a technical scoping session to finalise the API integration approach</w:t>
      </w:r>
    </w:p>
    <w:p>
      <w:pPr>
        <w:pStyle w:val="Normal"/>
        <w:spacing w:before="80" w:after="80"/>
        <w:rPr/>
      </w:pPr>
      <w:r>
        <w:rPr>
          <w:rFonts w:eastAsia="Arial" w:cs="Arial"/>
          <w:b/>
          <w:bCs/>
          <w:color w:val="1B3A6B"/>
          <w:sz w:val="22"/>
          <w:szCs w:val="22"/>
        </w:rPr>
        <w:t xml:space="preserve">4.  </w:t>
      </w:r>
      <w:r>
        <w:rPr>
          <w:rFonts w:eastAsia="Arial" w:cs="Arial"/>
          <w:color w:val="555555"/>
          <w:sz w:val="22"/>
          <w:szCs w:val="22"/>
        </w:rPr>
        <w:t>Registration of required third-party accounts (MTN, Airtel, Africa's Talking)</w:t>
      </w:r>
    </w:p>
    <w:p>
      <w:pPr>
        <w:pStyle w:val="Normal"/>
        <w:spacing w:before="80" w:after="80"/>
        <w:rPr/>
      </w:pPr>
      <w:r>
        <w:rPr>
          <w:rFonts w:eastAsia="Arial" w:cs="Arial"/>
          <w:b/>
          <w:bCs/>
          <w:color w:val="1B3A6B"/>
          <w:sz w:val="22"/>
          <w:szCs w:val="22"/>
        </w:rPr>
        <w:t xml:space="preserve">5.  </w:t>
      </w:r>
      <w:r>
        <w:rPr>
          <w:rFonts w:eastAsia="Arial" w:cs="Arial"/>
          <w:color w:val="555555"/>
          <w:sz w:val="22"/>
          <w:szCs w:val="22"/>
        </w:rPr>
        <w:t>Agreement on UAT process and designated client testing contacts</w:t>
      </w:r>
    </w:p>
    <w:p>
      <w:pPr>
        <w:pStyle w:val="Normal"/>
        <w:spacing w:before="0" w:after="200"/>
        <w:rPr/>
      </w:pPr>
      <w:r>
        <w:rPr/>
      </w:r>
    </w:p>
    <w:tbl>
      <w:tblPr>
        <w:tblW w:w="9360" w:type="dxa"/>
        <w:jc w:val="left"/>
        <w:tblInd w:w="0" w:type="dxa"/>
        <w:tblLayout w:type="fixed"/>
        <w:tblCellMar>
          <w:top w:w="0" w:type="dxa"/>
          <w:left w:w="0" w:type="dxa"/>
          <w:bottom w:w="0" w:type="dxa"/>
          <w:right w:w="0" w:type="dxa"/>
        </w:tblCellMar>
      </w:tblPr>
      <w:tblGrid>
        <w:gridCol w:w="279"/>
        <w:gridCol w:w="9080"/>
      </w:tblGrid>
      <w:tr>
        <w:trPr/>
        <w:tc>
          <w:tcPr>
            <w:tcW w:w="279" w:type="dxa"/>
            <w:tcBorders/>
            <w:shd w:fill="1B3A6B" w:val="clear"/>
          </w:tcPr>
          <w:p>
            <w:pPr>
              <w:pStyle w:val="Normal"/>
              <w:rPr/>
            </w:pPr>
            <w:r>
              <w:rPr/>
            </w:r>
          </w:p>
        </w:tc>
        <w:tc>
          <w:tcPr>
            <w:tcW w:w="9080" w:type="dxa"/>
            <w:tcBorders/>
            <w:shd w:fill="D6E8F7" w:val="clear"/>
            <w:tcMar>
              <w:top w:w="120" w:type="dxa"/>
              <w:left w:w="200" w:type="dxa"/>
              <w:bottom w:w="120" w:type="dxa"/>
              <w:right w:w="200" w:type="dxa"/>
            </w:tcMar>
          </w:tcPr>
          <w:p>
            <w:pPr>
              <w:pStyle w:val="Normal"/>
              <w:rPr/>
            </w:pPr>
            <w:r>
              <w:rPr>
                <w:rFonts w:eastAsia="Arial" w:cs="Arial"/>
                <w:i/>
                <w:iCs/>
                <w:color w:val="2C2C2C"/>
                <w:sz w:val="20"/>
                <w:szCs w:val="20"/>
              </w:rPr>
              <w:t>This document is prepared for client review. All timelines are indicative and will be confirmed following the technical scoping session. Timelines assume timely delivery of all client responsibilities listed in Section 5.</w:t>
            </w:r>
          </w:p>
        </w:tc>
      </w:tr>
    </w:tbl>
    <w:p>
      <w:pPr>
        <w:pStyle w:val="Normal"/>
        <w:spacing w:before="0" w:after="240"/>
        <w:rPr/>
      </w:pPr>
      <w:r>
        <w:rPr/>
      </w:r>
    </w:p>
    <w:p>
      <w:pPr>
        <w:pStyle w:val="Normal"/>
        <w:pBdr>
          <w:bottom w:val="single" w:sz="6" w:space="1" w:color="1B3A6B"/>
        </w:pBdr>
        <w:spacing w:before="0" w:after="120"/>
        <w:rPr/>
      </w:pPr>
      <w:r>
        <w:rPr/>
      </w:r>
    </w:p>
    <w:p>
      <w:pPr>
        <w:pStyle w:val="Normal"/>
        <w:jc w:val="center"/>
        <w:rPr/>
      </w:pPr>
      <w:r>
        <w:rPr>
          <w:rFonts w:eastAsia="Arial" w:cs="Arial"/>
          <w:color w:val="999999"/>
          <w:sz w:val="18"/>
          <w:szCs w:val="18"/>
        </w:rPr>
        <w:t>SMISSI — School Management Information System  |  Confidential  |  Development Team  |  March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spacing w:before="0" w:after="60"/>
      <w:rPr/>
    </w:pPr>
    <w:r>
      <w:rPr/>
    </w:r>
  </w:p>
  <w:tbl>
    <w:tblPr>
      <w:tblW w:w="9720" w:type="dxa"/>
      <w:jc w:val="left"/>
      <w:tblInd w:w="0" w:type="dxa"/>
      <w:tblLayout w:type="fixed"/>
      <w:tblCellMar>
        <w:top w:w="0" w:type="dxa"/>
        <w:left w:w="108" w:type="dxa"/>
        <w:bottom w:w="0" w:type="dxa"/>
        <w:right w:w="108" w:type="dxa"/>
      </w:tblCellMar>
    </w:tblPr>
    <w:tblGrid>
      <w:gridCol w:w="4860"/>
      <w:gridCol w:w="4859"/>
    </w:tblGrid>
    <w:tr>
      <w:trPr/>
      <w:tc>
        <w:tcPr>
          <w:tcW w:w="4860" w:type="dxa"/>
          <w:tcBorders/>
        </w:tcPr>
        <w:p>
          <w:pPr>
            <w:pStyle w:val="Normal"/>
            <w:rPr/>
          </w:pPr>
          <w:r>
            <w:rPr>
              <w:rFonts w:eastAsia="Arial" w:cs="Arial"/>
              <w:color w:val="999999"/>
              <w:sz w:val="18"/>
              <w:szCs w:val="18"/>
            </w:rPr>
            <w:t>School Management Information System — Delivery Plan</w:t>
          </w:r>
        </w:p>
      </w:tc>
      <w:tc>
        <w:tcPr>
          <w:tcW w:w="4859" w:type="dxa"/>
          <w:tcBorders/>
        </w:tcPr>
        <w:p>
          <w:pPr>
            <w:pStyle w:val="Normal"/>
            <w:jc w:val="right"/>
            <w:rPr/>
          </w:pPr>
          <w:r>
            <w:rPr>
              <w:rFonts w:eastAsia="Arial" w:cs="Arial"/>
              <w:color w:val="999999"/>
              <w:sz w:val="18"/>
              <w:szCs w:val="18"/>
            </w:rPr>
            <w:t xml:space="preserve">Page </w:t>
          </w:r>
          <w:r>
            <w:rPr/>
            <w:fldChar w:fldCharType="begin"/>
          </w:r>
          <w:r>
            <w:rPr/>
            <w:instrText xml:space="preserve"> PAGE </w:instrText>
          </w:r>
          <w:r>
            <w:rPr/>
            <w:fldChar w:fldCharType="separate"/>
          </w:r>
          <w:r>
            <w:rPr/>
            <w:t>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spacing w:before="0" w:after="60"/>
      <w:rPr/>
    </w:pPr>
    <w:r>
      <w:rPr/>
    </w:r>
  </w:p>
  <w:tbl>
    <w:tblPr>
      <w:tblW w:w="9720" w:type="dxa"/>
      <w:jc w:val="left"/>
      <w:tblInd w:w="0" w:type="dxa"/>
      <w:tblLayout w:type="fixed"/>
      <w:tblCellMar>
        <w:top w:w="0" w:type="dxa"/>
        <w:left w:w="108" w:type="dxa"/>
        <w:bottom w:w="0" w:type="dxa"/>
        <w:right w:w="108" w:type="dxa"/>
      </w:tblCellMar>
    </w:tblPr>
    <w:tblGrid>
      <w:gridCol w:w="4860"/>
      <w:gridCol w:w="4859"/>
    </w:tblGrid>
    <w:tr>
      <w:trPr/>
      <w:tc>
        <w:tcPr>
          <w:tcW w:w="4860" w:type="dxa"/>
          <w:tcBorders/>
        </w:tcPr>
        <w:p>
          <w:pPr>
            <w:pStyle w:val="Normal"/>
            <w:rPr/>
          </w:pPr>
          <w:r>
            <w:rPr>
              <w:rFonts w:eastAsia="Arial" w:cs="Arial"/>
              <w:color w:val="999999"/>
              <w:sz w:val="18"/>
              <w:szCs w:val="18"/>
            </w:rPr>
            <w:t>School Management Information System — Delivery Plan</w:t>
          </w:r>
        </w:p>
      </w:tc>
      <w:tc>
        <w:tcPr>
          <w:tcW w:w="4859" w:type="dxa"/>
          <w:tcBorders/>
        </w:tcPr>
        <w:p>
          <w:pPr>
            <w:pStyle w:val="Normal"/>
            <w:jc w:val="right"/>
            <w:rPr/>
          </w:pPr>
          <w:r>
            <w:rPr>
              <w:rFonts w:eastAsia="Arial" w:cs="Arial"/>
              <w:color w:val="999999"/>
              <w:sz w:val="18"/>
              <w:szCs w:val="18"/>
            </w:rPr>
            <w:t xml:space="preserve">Page </w:t>
          </w:r>
          <w:r>
            <w:rPr/>
            <w:fldChar w:fldCharType="begin"/>
          </w:r>
          <w:r>
            <w:rPr/>
            <w:instrText xml:space="preserve"> PAGE </w:instrText>
          </w:r>
          <w:r>
            <w:rPr/>
            <w:fldChar w:fldCharType="separate"/>
          </w:r>
          <w:r>
            <w:rPr/>
            <w:t>9</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0" w:type="dxa"/>
      <w:tblLayout w:type="fixed"/>
      <w:tblCellMar>
        <w:top w:w="0" w:type="dxa"/>
        <w:left w:w="108" w:type="dxa"/>
        <w:bottom w:w="0" w:type="dxa"/>
        <w:right w:w="108" w:type="dxa"/>
      </w:tblCellMar>
    </w:tblPr>
    <w:tblGrid>
      <w:gridCol w:w="5760"/>
      <w:gridCol w:w="3959"/>
    </w:tblGrid>
    <w:tr>
      <w:trPr/>
      <w:tc>
        <w:tcPr>
          <w:tcW w:w="5760" w:type="dxa"/>
          <w:tcBorders/>
        </w:tcPr>
        <w:p>
          <w:pPr>
            <w:pStyle w:val="Normal"/>
            <w:rPr/>
          </w:pPr>
          <w:r>
            <w:rPr>
              <w:rFonts w:eastAsia="Arial" w:cs="Arial"/>
              <w:b/>
              <w:bCs/>
              <w:color w:val="1B3A6B"/>
              <w:sz w:val="22"/>
              <w:szCs w:val="22"/>
            </w:rPr>
            <w:t>SMISSI</w:t>
          </w:r>
          <w:r>
            <w:rPr>
              <w:rFonts w:eastAsia="Arial" w:cs="Arial"/>
              <w:color w:val="555555"/>
              <w:sz w:val="20"/>
              <w:szCs w:val="20"/>
            </w:rPr>
            <w:t xml:space="preserve">  |  Project Delivery Plan</w:t>
          </w:r>
        </w:p>
      </w:tc>
      <w:tc>
        <w:tcPr>
          <w:tcW w:w="3959" w:type="dxa"/>
          <w:tcBorders/>
        </w:tcPr>
        <w:p>
          <w:pPr>
            <w:pStyle w:val="Normal"/>
            <w:jc w:val="right"/>
            <w:rPr/>
          </w:pPr>
          <w:r>
            <w:rPr>
              <w:rFonts w:eastAsia="Arial" w:cs="Arial"/>
              <w:color w:val="999999"/>
              <w:sz w:val="18"/>
              <w:szCs w:val="18"/>
            </w:rPr>
            <w:t>Confidential  |  March 2026</w:t>
          </w:r>
        </w:p>
      </w:tc>
    </w:tr>
  </w:tbl>
  <w:p>
    <w:pPr>
      <w:pStyle w:val="Normal"/>
      <w:pBdr>
        <w:bottom w:val="single" w:sz="4" w:space="1" w:color="2E7DD4"/>
      </w:pBdr>
      <w:spacing w:before="6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20" w:type="dxa"/>
      <w:jc w:val="left"/>
      <w:tblInd w:w="0" w:type="dxa"/>
      <w:tblLayout w:type="fixed"/>
      <w:tblCellMar>
        <w:top w:w="0" w:type="dxa"/>
        <w:left w:w="108" w:type="dxa"/>
        <w:bottom w:w="0" w:type="dxa"/>
        <w:right w:w="108" w:type="dxa"/>
      </w:tblCellMar>
    </w:tblPr>
    <w:tblGrid>
      <w:gridCol w:w="5760"/>
      <w:gridCol w:w="3959"/>
    </w:tblGrid>
    <w:tr>
      <w:trPr/>
      <w:tc>
        <w:tcPr>
          <w:tcW w:w="5760" w:type="dxa"/>
          <w:tcBorders/>
        </w:tcPr>
        <w:p>
          <w:pPr>
            <w:pStyle w:val="Normal"/>
            <w:rPr/>
          </w:pPr>
          <w:r>
            <w:rPr>
              <w:rFonts w:eastAsia="Arial" w:cs="Arial"/>
              <w:b/>
              <w:bCs/>
              <w:color w:val="1B3A6B"/>
              <w:sz w:val="22"/>
              <w:szCs w:val="22"/>
            </w:rPr>
            <w:t>SMISSI</w:t>
          </w:r>
          <w:r>
            <w:rPr>
              <w:rFonts w:eastAsia="Arial" w:cs="Arial"/>
              <w:color w:val="555555"/>
              <w:sz w:val="20"/>
              <w:szCs w:val="20"/>
            </w:rPr>
            <w:t xml:space="preserve">  |  Project Delivery Plan</w:t>
          </w:r>
        </w:p>
      </w:tc>
      <w:tc>
        <w:tcPr>
          <w:tcW w:w="3959" w:type="dxa"/>
          <w:tcBorders/>
        </w:tcPr>
        <w:p>
          <w:pPr>
            <w:pStyle w:val="Normal"/>
            <w:jc w:val="right"/>
            <w:rPr/>
          </w:pPr>
          <w:r>
            <w:rPr>
              <w:rFonts w:eastAsia="Arial" w:cs="Arial"/>
              <w:color w:val="999999"/>
              <w:sz w:val="18"/>
              <w:szCs w:val="18"/>
            </w:rPr>
            <w:t>Confidential  |  March 2026</w:t>
          </w:r>
        </w:p>
      </w:tc>
    </w:tr>
  </w:tbl>
  <w:p>
    <w:pPr>
      <w:pStyle w:val="Normal"/>
      <w:pBdr>
        <w:bottom w:val="single" w:sz="4" w:space="1" w:color="2E7DD4"/>
      </w:pBdr>
      <w:spacing w:before="6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0"/>
        <w:szCs w:val="20"/>
        <w:color w:val="1A7A4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Arial" w:hAnsi="Arial" w:cs="Arial" w:hint="default"/>
        <w:sz w:val="22"/>
        <w:szCs w:val="22"/>
        <w:color w:val="555555"/>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60"/>
      <w:outlineLvl w:val="0"/>
    </w:pPr>
    <w:rPr>
      <w:rFonts w:ascii="Arial" w:hAnsi="Arial" w:eastAsia="Arial" w:cs="Arial"/>
      <w:b/>
      <w:bCs/>
      <w:color w:val="1B3A6B"/>
      <w:sz w:val="34"/>
      <w:szCs w:val="34"/>
    </w:rPr>
  </w:style>
  <w:style w:type="paragraph" w:styleId="Heading2">
    <w:name w:val="Heading 2"/>
    <w:basedOn w:val="Heading"/>
    <w:qFormat/>
    <w:pPr>
      <w:spacing w:before="280" w:after="120"/>
      <w:outlineLvl w:val="1"/>
    </w:pPr>
    <w:rPr>
      <w:rFonts w:ascii="Arial" w:hAnsi="Arial" w:eastAsia="Arial" w:cs="Arial"/>
      <w:b/>
      <w:bCs/>
      <w:color w:val="2E7DD4"/>
      <w:sz w:val="26"/>
      <w:szCs w:val="26"/>
    </w:rPr>
  </w:style>
  <w:style w:type="paragraph" w:styleId="Heading3">
    <w:name w:val="Heading 3"/>
    <w:basedOn w:val="Heading"/>
    <w:qFormat/>
    <w:pPr>
      <w:spacing w:before="200" w:after="80"/>
      <w:outlineLvl w:val="2"/>
    </w:pPr>
    <w:rPr>
      <w:rFonts w:ascii="Arial" w:hAnsi="Arial" w:eastAsia="Arial" w:cs="Arial"/>
      <w:b/>
      <w:bCs/>
      <w:color w:val="2C2C2C"/>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1493</Words>
  <Characters>8508</Characters>
  <CharactersWithSpaces>9758</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2026-03-20T21:43:17Z</dcterms:created>
  <dc:creator>Un-named</dc:creator>
  <dc:description/>
  <dc:language>en-IN</dc:language>
  <cp:lastModifiedBy/>
  <dcterms:modified xsi:type="dcterms:W3CDTF">2026-03-21T03:15:03Z</dcterms:modified>
  <cp:revision>2</cp:revision>
  <dc:subject/>
  <dc:title/>
</cp:coreProperties>
</file>