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80"/>
        <w:jc w:val="center"/>
      </w:pPr>
      <w:r>
        <w:rPr>
          <w:rFonts w:ascii="Arial" w:cs="Arial" w:eastAsia="Arial" w:hAnsi="Arial"/>
          <w:b/>
          <w:bCs/>
          <w:color w:val="1B3A6B"/>
          <w:sz w:val="52"/>
          <w:szCs w:val="52"/>
        </w:rPr>
        <w:t xml:space="preserve">NEXACORE TECHNOLOGIES</w:t>
      </w:r>
    </w:p>
    <w:p>
      <w:pPr>
        <w:spacing w:after="80" w:before="0"/>
        <w:jc w:val="center"/>
      </w:pPr>
      <w:r>
        <w:rPr>
          <w:rFonts w:ascii="Arial" w:cs="Arial" w:eastAsia="Arial" w:hAnsi="Arial"/>
          <w:color w:val="2E6DB4"/>
          <w:sz w:val="28"/>
          <w:szCs w:val="28"/>
        </w:rPr>
        <w:t xml:space="preserve">Global Technology Solutions</w:t>
      </w:r>
    </w:p>
    <w:p>
      <w:pPr>
        <w:spacing w:after="0" w:before="480"/>
      </w:pPr>
      <w:r>
        <w:t xml:space="preserve"/>
      </w:r>
    </w:p>
    <w:p>
      <w:pPr>
        <w:pBdr>
          <w:top w:val="single" w:color="E8704A" w:sz="12" w:space="1"/>
          <w:bottom w:val="single" w:color="E8704A" w:sz="12" w:space="1"/>
        </w:pBdr>
        <w:spacing w:after="160" w:before="160"/>
        <w:jc w:val="center"/>
      </w:pPr>
      <w:r>
        <w:rPr>
          <w:rFonts w:ascii="Arial" w:cs="Arial" w:eastAsia="Arial" w:hAnsi="Arial"/>
          <w:b/>
          <w:bCs/>
          <w:color w:val="1B3A6B"/>
          <w:sz w:val="64"/>
          <w:szCs w:val="64"/>
        </w:rPr>
        <w:t xml:space="preserve">EMPLOYEE HANDBOOK</w:t>
      </w:r>
    </w:p>
    <w:p>
      <w:pPr>
        <w:spacing w:after="0" w:before="240"/>
      </w:pPr>
      <w:r>
        <w:t xml:space="preserve"/>
      </w:r>
    </w:p>
    <w:p>
      <w:pPr>
        <w:spacing w:after="80"/>
        <w:jc w:val="center"/>
      </w:pPr>
      <w:r>
        <w:rPr>
          <w:rFonts w:ascii="Arial" w:cs="Arial" w:eastAsia="Arial" w:hAnsi="Arial"/>
          <w:color w:val="2D3748"/>
          <w:sz w:val="24"/>
          <w:szCs w:val="24"/>
        </w:rPr>
        <w:t xml:space="preserve">Effective Date: January 1, 2025</w:t>
      </w:r>
    </w:p>
    <w:p>
      <w:pPr>
        <w:spacing w:after="80"/>
        <w:jc w:val="center"/>
      </w:pPr>
      <w:r>
        <w:rPr>
          <w:rFonts w:ascii="Arial" w:cs="Arial" w:eastAsia="Arial" w:hAnsi="Arial"/>
          <w:i/>
          <w:iCs/>
          <w:color w:val="2D3748"/>
          <w:sz w:val="24"/>
          <w:szCs w:val="24"/>
        </w:rPr>
        <w:t xml:space="preserve">Version 3.2</w:t>
      </w:r>
    </w:p>
    <w:p>
      <w:pPr>
        <w:spacing w:after="0" w:before="1440"/>
      </w:pPr>
      <w:r>
        <w:t xml:space="preserve"/>
      </w:r>
    </w:p>
    <w:p>
      <w:pPr>
        <w:spacing w:after="80"/>
        <w:jc w:val="center"/>
      </w:pPr>
      <w:r>
        <w:rPr>
          <w:rFonts w:ascii="Arial" w:cs="Arial" w:eastAsia="Arial" w:hAnsi="Arial"/>
          <w:color w:val="2E6DB4"/>
          <w:sz w:val="22"/>
          <w:szCs w:val="22"/>
        </w:rPr>
        <w:t xml:space="preserve">People &amp; Culture Division</w:t>
      </w:r>
    </w:p>
    <w:p>
      <w:pPr>
        <w:spacing w:after="80"/>
        <w:jc w:val="center"/>
      </w:pPr>
      <w:r>
        <w:rPr>
          <w:rFonts w:ascii="Arial" w:cs="Arial" w:eastAsia="Arial" w:hAnsi="Arial"/>
          <w:color w:val="2D3748"/>
          <w:sz w:val="22"/>
          <w:szCs w:val="22"/>
        </w:rPr>
        <w:t xml:space="preserve">NexaCore Technologies, Inc.</w:t>
      </w:r>
    </w:p>
    <w:p>
      <w:pPr>
        <w:jc w:val="center"/>
      </w:pPr>
      <w:r>
        <w:rPr>
          <w:rFonts w:ascii="Arial" w:cs="Arial" w:eastAsia="Arial" w:hAnsi="Arial"/>
          <w:color w:val="888888"/>
          <w:sz w:val="20"/>
          <w:szCs w:val="20"/>
        </w:rPr>
        <w:t xml:space="preserve">One NexaCore Plaza, San Francisco, CA 94105</w:t>
      </w:r>
    </w:p>
    <w:p>
      <w:pPr>
        <w:spacing w:before="80"/>
        <w:jc w:val="center"/>
      </w:pPr>
      <w:r>
        <w:rPr>
          <w:rFonts w:ascii="Arial" w:cs="Arial" w:eastAsia="Arial" w:hAnsi="Arial"/>
          <w:color w:val="888888"/>
          <w:sz w:val="20"/>
          <w:szCs w:val="20"/>
        </w:rPr>
        <w:t xml:space="preserve">people@nexacore.com  |  www.nexacore.com/handbook</w:t>
      </w:r>
    </w:p>
    <w:p>
      <w:pPr>
        <w:sectPr>
          <w:pgSz w:w="12240" w:h="15840" w:orient="portrait"/>
          <w:pgMar w:top="0" w:right="0" w:bottom="0" w:left="0" w:header="708" w:footer="708" w:gutter="0"/>
          <w:pgNumType/>
          <w:docGrid w:linePitch="360"/>
        </w:sectPr>
      </w:pPr>
    </w:p>
    <w:p>
      <w:pPr>
        <w:pStyle w:val="Heading1"/>
        <w:pBdr>
          <w:bottom w:val="single" w:color="1B3A6B" w:sz="8" w:space="6"/>
        </w:pBdr>
        <w:spacing w:after="160" w:before="480"/>
      </w:pPr>
      <w:r>
        <w:rPr>
          <w:rFonts w:ascii="Arial" w:cs="Arial" w:eastAsia="Arial" w:hAnsi="Arial"/>
          <w:b/>
          <w:bCs/>
          <w:color w:val="1B3A6B"/>
          <w:sz w:val="36"/>
          <w:szCs w:val="36"/>
        </w:rPr>
        <w:t xml:space="preserve">A Message from Our Chief Executive Officer</w:t>
      </w:r>
    </w:p>
    <w:p>
      <w:pPr>
        <w:spacing w:after="120" w:line="276"/>
        <w:jc w:val="left"/>
      </w:pPr>
      <w:r>
        <w:rPr>
          <w:rFonts w:ascii="Arial" w:cs="Arial" w:eastAsia="Arial" w:hAnsi="Arial"/>
          <w:b/>
          <w:bCs/>
          <w:color w:val="2D3748"/>
          <w:sz w:val="22"/>
          <w:szCs w:val="22"/>
        </w:rPr>
        <w:t xml:space="preserve">Dear NexaCore Team Member,</w:t>
      </w:r>
    </w:p>
    <w:p>
      <w:pPr>
        <w:spacing w:after="0" w:before="60"/>
      </w:pPr>
      <w:r>
        <w:t xml:space="preserve"/>
      </w:r>
    </w:p>
    <w:p>
      <w:pPr>
        <w:spacing w:after="120" w:line="276"/>
        <w:jc w:val="both"/>
      </w:pPr>
      <w:r>
        <w:rPr>
          <w:rFonts w:ascii="Arial" w:cs="Arial" w:eastAsia="Arial" w:hAnsi="Arial"/>
          <w:color w:val="2D3748"/>
          <w:sz w:val="22"/>
          <w:szCs w:val="22"/>
        </w:rPr>
        <w:t xml:space="preserve">Welcome to NexaCore Technologies. Whether you are joining us for the first time or returning after an internal transition, we are genuinely glad you are here.</w:t>
      </w:r>
    </w:p>
    <w:p>
      <w:pPr>
        <w:spacing w:after="120" w:line="276"/>
        <w:jc w:val="both"/>
      </w:pPr>
      <w:r>
        <w:rPr>
          <w:rFonts w:ascii="Arial" w:cs="Arial" w:eastAsia="Arial" w:hAnsi="Arial"/>
          <w:color w:val="2D3748"/>
          <w:sz w:val="22"/>
          <w:szCs w:val="22"/>
        </w:rPr>
        <w:t xml:space="preserve">This Employee Handbook has been prepared to serve as your comprehensive reference guide to how we work, what we value, and what you can expect from NexaCore as your employer. It reflects not only our legal and operational policies, but our fundamental commitment to building an organisation where talented people can do the best work of their careers.</w:t>
      </w:r>
    </w:p>
    <w:p>
      <w:pPr>
        <w:spacing w:after="120" w:line="276"/>
        <w:jc w:val="both"/>
      </w:pPr>
      <w:r>
        <w:rPr>
          <w:rFonts w:ascii="Arial" w:cs="Arial" w:eastAsia="Arial" w:hAnsi="Arial"/>
          <w:color w:val="2D3748"/>
          <w:sz w:val="22"/>
          <w:szCs w:val="22"/>
        </w:rPr>
        <w:t xml:space="preserve">We operate across 28 countries with more than 5,000 employees. That scale brings both privilege and responsibility. We must earn trust every day — with our customers, our communities, and with one another. The policies in this Handbook are designed to create the conditions in which that trust can flourish.</w:t>
      </w:r>
    </w:p>
    <w:p>
      <w:pPr>
        <w:spacing w:after="120" w:line="276"/>
        <w:jc w:val="both"/>
      </w:pPr>
      <w:r>
        <w:rPr>
          <w:rFonts w:ascii="Arial" w:cs="Arial" w:eastAsia="Arial" w:hAnsi="Arial"/>
          <w:color w:val="2D3748"/>
          <w:sz w:val="22"/>
          <w:szCs w:val="22"/>
        </w:rPr>
        <w:t xml:space="preserve">Please read this document carefully, keep it accessible, and reach out to the People &amp; Culture team whenever you have questions. We are here to help.</w:t>
      </w:r>
    </w:p>
    <w:p>
      <w:pPr>
        <w:spacing w:after="0" w:before="120"/>
      </w:pPr>
      <w:r>
        <w:t xml:space="preserve"/>
      </w:r>
    </w:p>
    <w:p>
      <w:pPr>
        <w:spacing w:after="120" w:line="276"/>
        <w:jc w:val="left"/>
      </w:pPr>
      <w:r>
        <w:rPr>
          <w:rFonts w:ascii="Arial" w:cs="Arial" w:eastAsia="Arial" w:hAnsi="Arial"/>
          <w:color w:val="2D3748"/>
          <w:sz w:val="22"/>
          <w:szCs w:val="22"/>
        </w:rPr>
        <w:t xml:space="preserve">Sincerely,</w:t>
      </w:r>
    </w:p>
    <w:p>
      <w:pPr>
        <w:spacing w:after="0" w:before="80"/>
      </w:pPr>
      <w:r>
        <w:t xml:space="preserve"/>
      </w:r>
    </w:p>
    <w:p>
      <w:pPr>
        <w:spacing w:after="120" w:line="276"/>
        <w:jc w:val="left"/>
      </w:pPr>
      <w:r>
        <w:rPr>
          <w:rFonts w:ascii="Arial" w:cs="Arial" w:eastAsia="Arial" w:hAnsi="Arial"/>
          <w:b/>
          <w:bCs/>
          <w:color w:val="2D3748"/>
          <w:sz w:val="22"/>
          <w:szCs w:val="22"/>
        </w:rPr>
        <w:t xml:space="preserve">Alexandra Reyes</w:t>
      </w:r>
    </w:p>
    <w:p>
      <w:pPr>
        <w:spacing w:after="120" w:line="276"/>
        <w:jc w:val="left"/>
      </w:pPr>
      <w:r>
        <w:rPr>
          <w:rFonts w:ascii="Arial" w:cs="Arial" w:eastAsia="Arial" w:hAnsi="Arial"/>
          <w:color w:val="2D3748"/>
          <w:sz w:val="22"/>
          <w:szCs w:val="22"/>
        </w:rPr>
        <w:t xml:space="preserve">Chief Executive Officer, NexaCore Technologies, Inc.</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1  —  Company Overview</w:t>
      </w:r>
    </w:p>
    <w:p>
      <w:pPr>
        <w:pStyle w:val="Heading2"/>
        <w:spacing w:after="120" w:before="320"/>
      </w:pPr>
      <w:r>
        <w:rPr>
          <w:rFonts w:ascii="Arial" w:cs="Arial" w:eastAsia="Arial" w:hAnsi="Arial"/>
          <w:b/>
          <w:bCs/>
          <w:color w:val="2E6DB4"/>
          <w:sz w:val="28"/>
          <w:szCs w:val="28"/>
        </w:rPr>
        <w:t xml:space="preserve">1.1  About NexaCore Technologies</w:t>
      </w:r>
    </w:p>
    <w:p>
      <w:pPr>
        <w:spacing w:after="120" w:line="276"/>
        <w:jc w:val="both"/>
      </w:pPr>
      <w:r>
        <w:rPr>
          <w:rFonts w:ascii="Arial" w:cs="Arial" w:eastAsia="Arial" w:hAnsi="Arial"/>
          <w:color w:val="2D3748"/>
          <w:sz w:val="22"/>
          <w:szCs w:val="22"/>
        </w:rPr>
        <w:t xml:space="preserve">NexaCore Technologies, Inc. is a publicly traded global technology company headquartered in San Francisco, California. Founded in 2003, NexaCore provides enterprise cloud infrastructure, AI-powered analytics platforms, and managed cybersecurity solutions to more than 4,200 enterprise customers across six continents.</w:t>
      </w:r>
    </w:p>
    <w:p>
      <w:pPr>
        <w:spacing w:after="120" w:line="276"/>
        <w:jc w:val="both"/>
      </w:pPr>
      <w:r>
        <w:rPr>
          <w:rFonts w:ascii="Arial" w:cs="Arial" w:eastAsia="Arial" w:hAnsi="Arial"/>
          <w:color w:val="2D3748"/>
          <w:sz w:val="22"/>
          <w:szCs w:val="22"/>
        </w:rPr>
        <w:t xml:space="preserve">With engineering hubs in San Francisco, London, Singapore, Bangalore, and Toronto, and regional offices in 23 additional cities worldwide, NexaCore employs over 5,000 full-time employees and a significant contractor workforce. Fiscal Year 2024 revenue was approximately USD 2.4 billion.</w:t>
      </w:r>
    </w:p>
    <w:p>
      <w:pPr>
        <w:pStyle w:val="Heading2"/>
        <w:spacing w:after="120" w:before="320"/>
      </w:pPr>
      <w:r>
        <w:rPr>
          <w:rFonts w:ascii="Arial" w:cs="Arial" w:eastAsia="Arial" w:hAnsi="Arial"/>
          <w:b/>
          <w:bCs/>
          <w:color w:val="2E6DB4"/>
          <w:sz w:val="28"/>
          <w:szCs w:val="28"/>
        </w:rPr>
        <w:t xml:space="preserve">1.2  Mission, Vision &amp; Core Values</w:t>
      </w:r>
    </w:p>
    <w:p>
      <w:pPr>
        <w:spacing w:after="120" w:line="276"/>
        <w:jc w:val="both"/>
      </w:pPr>
      <w:r>
        <w:rPr>
          <w:rFonts w:ascii="Arial" w:cs="Arial" w:eastAsia="Arial" w:hAnsi="Arial"/>
          <w:color w:val="2D3748"/>
          <w:sz w:val="22"/>
          <w:szCs w:val="22"/>
        </w:rPr>
        <w:t xml:space="preserve">Our mission is to accelerate human potential through intelligent, secure, and scalable technology. Our vision is a world in which every organisation, regardless of size or geography, can operate with the speed and confidence of a technology-native enterprise.</w:t>
      </w:r>
    </w:p>
    <w:p>
      <w:pPr>
        <w:spacing w:after="0" w:before="80"/>
      </w:pPr>
      <w:r>
        <w:t xml:space="preserve"/>
      </w:r>
    </w:p>
    <w:p>
      <w:pPr>
        <w:spacing w:after="120" w:line="276"/>
        <w:jc w:val="left"/>
      </w:pPr>
      <w:r>
        <w:rPr>
          <w:rFonts w:ascii="Arial" w:cs="Arial" w:eastAsia="Arial" w:hAnsi="Arial"/>
          <w:color w:val="2D3748"/>
          <w:sz w:val="22"/>
          <w:szCs w:val="22"/>
        </w:rPr>
        <w:t xml:space="preserve">Our five Core Values guide every decision we make:</w:t>
      </w:r>
    </w:p>
    <w:p>
      <w:pPr>
        <w:pStyle w:val="ListParagraph"/>
        <w:numPr>
          <w:ilvl w:val="0"/>
          <w:numId w:val="2"/>
        </w:numPr>
        <w:spacing w:after="80"/>
      </w:pPr>
      <w:r>
        <w:rPr>
          <w:rFonts w:ascii="Arial" w:cs="Arial" w:eastAsia="Arial" w:hAnsi="Arial"/>
          <w:color w:val="2D3748"/>
          <w:sz w:val="22"/>
          <w:szCs w:val="22"/>
        </w:rPr>
        <w:t xml:space="preserve">Customer Obsession — We start with the customer and work backwards.</w:t>
      </w:r>
    </w:p>
    <w:p>
      <w:pPr>
        <w:pStyle w:val="ListParagraph"/>
        <w:numPr>
          <w:ilvl w:val="0"/>
          <w:numId w:val="2"/>
        </w:numPr>
        <w:spacing w:after="80"/>
      </w:pPr>
      <w:r>
        <w:rPr>
          <w:rFonts w:ascii="Arial" w:cs="Arial" w:eastAsia="Arial" w:hAnsi="Arial"/>
          <w:color w:val="2D3748"/>
          <w:sz w:val="22"/>
          <w:szCs w:val="22"/>
        </w:rPr>
        <w:t xml:space="preserve">Integrity Without Exception — We are honest, transparent, and accountable.</w:t>
      </w:r>
    </w:p>
    <w:p>
      <w:pPr>
        <w:pStyle w:val="ListParagraph"/>
        <w:numPr>
          <w:ilvl w:val="0"/>
          <w:numId w:val="2"/>
        </w:numPr>
        <w:spacing w:after="80"/>
      </w:pPr>
      <w:r>
        <w:rPr>
          <w:rFonts w:ascii="Arial" w:cs="Arial" w:eastAsia="Arial" w:hAnsi="Arial"/>
          <w:color w:val="2D3748"/>
          <w:sz w:val="22"/>
          <w:szCs w:val="22"/>
        </w:rPr>
        <w:t xml:space="preserve">Inclusive Innovation — Diverse perspectives produce better outcomes.</w:t>
      </w:r>
    </w:p>
    <w:p>
      <w:pPr>
        <w:pStyle w:val="ListParagraph"/>
        <w:numPr>
          <w:ilvl w:val="0"/>
          <w:numId w:val="2"/>
        </w:numPr>
        <w:spacing w:after="80"/>
      </w:pPr>
      <w:r>
        <w:rPr>
          <w:rFonts w:ascii="Arial" w:cs="Arial" w:eastAsia="Arial" w:hAnsi="Arial"/>
          <w:color w:val="2D3748"/>
          <w:sz w:val="22"/>
          <w:szCs w:val="22"/>
        </w:rPr>
        <w:t xml:space="preserve">Relentless Improvement — We treat every setback as a learning opportunity.</w:t>
      </w:r>
    </w:p>
    <w:p>
      <w:pPr>
        <w:pStyle w:val="ListParagraph"/>
        <w:numPr>
          <w:ilvl w:val="0"/>
          <w:numId w:val="2"/>
        </w:numPr>
        <w:spacing w:after="80"/>
      </w:pPr>
      <w:r>
        <w:rPr>
          <w:rFonts w:ascii="Arial" w:cs="Arial" w:eastAsia="Arial" w:hAnsi="Arial"/>
          <w:color w:val="2D3748"/>
          <w:sz w:val="22"/>
          <w:szCs w:val="22"/>
        </w:rPr>
        <w:t xml:space="preserve">Shared Ownership — Our success is collective; we rise and fall together.</w:t>
      </w:r>
    </w:p>
    <w:p>
      <w:pPr>
        <w:pStyle w:val="Heading2"/>
        <w:spacing w:after="120" w:before="320"/>
      </w:pPr>
      <w:r>
        <w:rPr>
          <w:rFonts w:ascii="Arial" w:cs="Arial" w:eastAsia="Arial" w:hAnsi="Arial"/>
          <w:b/>
          <w:bCs/>
          <w:color w:val="2E6DB4"/>
          <w:sz w:val="28"/>
          <w:szCs w:val="28"/>
        </w:rPr>
        <w:t xml:space="preserve">1.3  Our Organisational Structure</w:t>
      </w:r>
    </w:p>
    <w:p>
      <w:pPr>
        <w:spacing w:after="120" w:line="276"/>
        <w:jc w:val="both"/>
      </w:pPr>
      <w:r>
        <w:rPr>
          <w:rFonts w:ascii="Arial" w:cs="Arial" w:eastAsia="Arial" w:hAnsi="Arial"/>
          <w:color w:val="2D3748"/>
          <w:sz w:val="22"/>
          <w:szCs w:val="22"/>
        </w:rPr>
        <w:t xml:space="preserve">NexaCore is organised into five primary business units: Cloud Infrastructure, AI &amp; Analytics, Cybersecurity, Professional Services, and Corporate Functions. Each business unit is led by a President who reports to the Chief Executive Officer. The Executive Leadership Team (ELT) meets weekly and publishes strategic priorities on the internal portal, NexaHub.</w:t>
      </w:r>
    </w:p>
    <w:p>
      <w:pPr>
        <w:pStyle w:val="Heading2"/>
        <w:spacing w:after="120" w:before="320"/>
      </w:pPr>
      <w:r>
        <w:rPr>
          <w:rFonts w:ascii="Arial" w:cs="Arial" w:eastAsia="Arial" w:hAnsi="Arial"/>
          <w:b/>
          <w:bCs/>
          <w:color w:val="2E6DB4"/>
          <w:sz w:val="28"/>
          <w:szCs w:val="28"/>
        </w:rPr>
        <w:t xml:space="preserve">1.4  About This Handbook</w:t>
      </w:r>
    </w:p>
    <w:p>
      <w:pPr>
        <w:spacing w:after="120" w:line="276"/>
        <w:jc w:val="both"/>
      </w:pPr>
      <w:r>
        <w:rPr>
          <w:rFonts w:ascii="Arial" w:cs="Arial" w:eastAsia="Arial" w:hAnsi="Arial"/>
          <w:color w:val="2D3748"/>
          <w:sz w:val="22"/>
          <w:szCs w:val="22"/>
        </w:rPr>
        <w:t xml:space="preserve">This Handbook describes NexaCore's policies, standards, and expectations that apply to all full-time employees globally, unless a specific section notes regional variations. Where local law provides greater rights or protections than stated herein, local law prevails. This Handbook does not constitute an employment contract and does not alter the at-will nature of employment in jurisdictions where at-will employment applies.</w:t>
      </w:r>
    </w:p>
    <w:p>
      <w:pPr>
        <w:spacing w:after="120" w:line="276"/>
        <w:jc w:val="both"/>
      </w:pPr>
      <w:r>
        <w:rPr>
          <w:rFonts w:ascii="Arial" w:cs="Arial" w:eastAsia="Arial" w:hAnsi="Arial"/>
          <w:color w:val="2D3748"/>
          <w:sz w:val="22"/>
          <w:szCs w:val="22"/>
        </w:rPr>
        <w:t xml:space="preserve">NexaCore reserves the right to amend, supplement, or rescind any policy at any time. Material changes will be communicated through NexaHub and by direct email. Employees are responsible for reading and adhering to the most current version, which is always available at people.nexacore.com/handbook.</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2  —  Code of Conduct</w:t>
      </w:r>
    </w:p>
    <w:p>
      <w:pPr>
        <w:pStyle w:val="Heading2"/>
        <w:spacing w:after="120" w:before="320"/>
      </w:pPr>
      <w:r>
        <w:rPr>
          <w:rFonts w:ascii="Arial" w:cs="Arial" w:eastAsia="Arial" w:hAnsi="Arial"/>
          <w:b/>
          <w:bCs/>
          <w:color w:val="2E6DB4"/>
          <w:sz w:val="28"/>
          <w:szCs w:val="28"/>
        </w:rPr>
        <w:t xml:space="preserve">2.1  Purpose and Scope</w:t>
      </w:r>
    </w:p>
    <w:p>
      <w:pPr>
        <w:spacing w:after="120" w:line="276"/>
        <w:jc w:val="both"/>
      </w:pPr>
      <w:r>
        <w:rPr>
          <w:rFonts w:ascii="Arial" w:cs="Arial" w:eastAsia="Arial" w:hAnsi="Arial"/>
          <w:color w:val="2D3748"/>
          <w:sz w:val="22"/>
          <w:szCs w:val="22"/>
        </w:rPr>
        <w:t xml:space="preserve">NexaCore's Code of Conduct (the "Code") sets the ethical and behavioural standards to which every NexaCore employee, contractor, and representative is held. The Code applies in all work contexts — including on company premises, at client sites, during travel, at company-sponsored events, and in digital communications conducted on behalf of NexaCore.</w:t>
      </w:r>
    </w:p>
    <w:p>
      <w:pPr>
        <w:pStyle w:val="Heading2"/>
        <w:spacing w:after="120" w:before="320"/>
      </w:pPr>
      <w:r>
        <w:rPr>
          <w:rFonts w:ascii="Arial" w:cs="Arial" w:eastAsia="Arial" w:hAnsi="Arial"/>
          <w:b/>
          <w:bCs/>
          <w:color w:val="2E6DB4"/>
          <w:sz w:val="28"/>
          <w:szCs w:val="28"/>
        </w:rPr>
        <w:t xml:space="preserve">2.2  Professional Conduct Standards</w:t>
      </w:r>
    </w:p>
    <w:p>
      <w:pPr>
        <w:spacing w:after="120" w:line="276"/>
        <w:jc w:val="left"/>
      </w:pPr>
      <w:r>
        <w:rPr>
          <w:rFonts w:ascii="Arial" w:cs="Arial" w:eastAsia="Arial" w:hAnsi="Arial"/>
          <w:color w:val="2D3748"/>
          <w:sz w:val="22"/>
          <w:szCs w:val="22"/>
        </w:rPr>
        <w:t xml:space="preserve">All employees are expected to:</w:t>
      </w:r>
    </w:p>
    <w:p>
      <w:pPr>
        <w:pStyle w:val="ListParagraph"/>
        <w:numPr>
          <w:ilvl w:val="0"/>
          <w:numId w:val="2"/>
        </w:numPr>
        <w:spacing w:after="80"/>
      </w:pPr>
      <w:r>
        <w:rPr>
          <w:rFonts w:ascii="Arial" w:cs="Arial" w:eastAsia="Arial" w:hAnsi="Arial"/>
          <w:color w:val="2D3748"/>
          <w:sz w:val="22"/>
          <w:szCs w:val="22"/>
        </w:rPr>
        <w:t xml:space="preserve">Treat colleagues, clients, vendors, and all business contacts with dignity, courtesy, and respect, regardless of their position, background, or relationship to NexaCore.</w:t>
      </w:r>
    </w:p>
    <w:p>
      <w:pPr>
        <w:pStyle w:val="ListParagraph"/>
        <w:numPr>
          <w:ilvl w:val="0"/>
          <w:numId w:val="2"/>
        </w:numPr>
        <w:spacing w:after="80"/>
      </w:pPr>
      <w:r>
        <w:rPr>
          <w:rFonts w:ascii="Arial" w:cs="Arial" w:eastAsia="Arial" w:hAnsi="Arial"/>
          <w:color w:val="2D3748"/>
          <w:sz w:val="22"/>
          <w:szCs w:val="22"/>
        </w:rPr>
        <w:t xml:space="preserve">Represent NexaCore professionally in all external and internal interactions, including written correspondence, video calls, and social media when acting in a professional capacity.</w:t>
      </w:r>
    </w:p>
    <w:p>
      <w:pPr>
        <w:pStyle w:val="ListParagraph"/>
        <w:numPr>
          <w:ilvl w:val="0"/>
          <w:numId w:val="2"/>
        </w:numPr>
        <w:spacing w:after="80"/>
      </w:pPr>
      <w:r>
        <w:rPr>
          <w:rFonts w:ascii="Arial" w:cs="Arial" w:eastAsia="Arial" w:hAnsi="Arial"/>
          <w:color w:val="2D3748"/>
          <w:sz w:val="22"/>
          <w:szCs w:val="22"/>
        </w:rPr>
        <w:t xml:space="preserve">Communicate openly, constructively, and honestly. Withholding material information that would affect a business decision or a colleague's safety is a breach of this Code.</w:t>
      </w:r>
    </w:p>
    <w:p>
      <w:pPr>
        <w:pStyle w:val="ListParagraph"/>
        <w:numPr>
          <w:ilvl w:val="0"/>
          <w:numId w:val="2"/>
        </w:numPr>
        <w:spacing w:after="80"/>
      </w:pPr>
      <w:r>
        <w:rPr>
          <w:rFonts w:ascii="Arial" w:cs="Arial" w:eastAsia="Arial" w:hAnsi="Arial"/>
          <w:color w:val="2D3748"/>
          <w:sz w:val="22"/>
          <w:szCs w:val="22"/>
        </w:rPr>
        <w:t xml:space="preserve">Avoid conduct that creates a hostile, intimidating, or offensive environment for others.</w:t>
      </w:r>
    </w:p>
    <w:p>
      <w:pPr>
        <w:pStyle w:val="ListParagraph"/>
        <w:numPr>
          <w:ilvl w:val="0"/>
          <w:numId w:val="2"/>
        </w:numPr>
        <w:spacing w:after="80"/>
      </w:pPr>
      <w:r>
        <w:rPr>
          <w:rFonts w:ascii="Arial" w:cs="Arial" w:eastAsia="Arial" w:hAnsi="Arial"/>
          <w:color w:val="2D3748"/>
          <w:sz w:val="22"/>
          <w:szCs w:val="22"/>
        </w:rPr>
        <w:t xml:space="preserve">Comply with all applicable laws, regulations, and company policies in every jurisdiction in which NexaCore operates.</w:t>
      </w:r>
    </w:p>
    <w:p>
      <w:pPr>
        <w:pStyle w:val="Heading2"/>
        <w:spacing w:after="120" w:before="320"/>
      </w:pPr>
      <w:r>
        <w:rPr>
          <w:rFonts w:ascii="Arial" w:cs="Arial" w:eastAsia="Arial" w:hAnsi="Arial"/>
          <w:b/>
          <w:bCs/>
          <w:color w:val="2E6DB4"/>
          <w:sz w:val="28"/>
          <w:szCs w:val="28"/>
        </w:rPr>
        <w:t xml:space="preserve">2.3  Conflicts of Interest</w:t>
      </w:r>
    </w:p>
    <w:p>
      <w:pPr>
        <w:spacing w:after="120" w:line="276"/>
        <w:jc w:val="both"/>
      </w:pPr>
      <w:r>
        <w:rPr>
          <w:rFonts w:ascii="Arial" w:cs="Arial" w:eastAsia="Arial" w:hAnsi="Arial"/>
          <w:color w:val="2D3748"/>
          <w:sz w:val="22"/>
          <w:szCs w:val="22"/>
        </w:rPr>
        <w:t xml:space="preserve">A conflict of interest arises when an employee's personal interests, financial interests, or outside activities could impair — or appear to impair — their ability to act in NexaCore's best interest. Employees must:</w:t>
      </w:r>
    </w:p>
    <w:p>
      <w:pPr>
        <w:pStyle w:val="ListParagraph"/>
        <w:numPr>
          <w:ilvl w:val="0"/>
          <w:numId w:val="2"/>
        </w:numPr>
        <w:spacing w:after="80"/>
      </w:pPr>
      <w:r>
        <w:rPr>
          <w:rFonts w:ascii="Arial" w:cs="Arial" w:eastAsia="Arial" w:hAnsi="Arial"/>
          <w:color w:val="2D3748"/>
          <w:sz w:val="22"/>
          <w:szCs w:val="22"/>
        </w:rPr>
        <w:t xml:space="preserve">Disclose any actual or potential conflict of interest promptly to their manager and the Ethics &amp; Compliance team at ethics@nexacore.com.</w:t>
      </w:r>
    </w:p>
    <w:p>
      <w:pPr>
        <w:pStyle w:val="ListParagraph"/>
        <w:numPr>
          <w:ilvl w:val="0"/>
          <w:numId w:val="2"/>
        </w:numPr>
        <w:spacing w:after="80"/>
      </w:pPr>
      <w:r>
        <w:rPr>
          <w:rFonts w:ascii="Arial" w:cs="Arial" w:eastAsia="Arial" w:hAnsi="Arial"/>
          <w:color w:val="2D3748"/>
          <w:sz w:val="22"/>
          <w:szCs w:val="22"/>
        </w:rPr>
        <w:t xml:space="preserve">Recuse themselves from any business decision in which they have a personal financial interest.</w:t>
      </w:r>
    </w:p>
    <w:p>
      <w:pPr>
        <w:pStyle w:val="ListParagraph"/>
        <w:numPr>
          <w:ilvl w:val="0"/>
          <w:numId w:val="2"/>
        </w:numPr>
        <w:spacing w:after="80"/>
      </w:pPr>
      <w:r>
        <w:rPr>
          <w:rFonts w:ascii="Arial" w:cs="Arial" w:eastAsia="Arial" w:hAnsi="Arial"/>
          <w:color w:val="2D3748"/>
          <w:sz w:val="22"/>
          <w:szCs w:val="22"/>
        </w:rPr>
        <w:t xml:space="preserve">Obtain prior written approval before accepting any outside employment, board membership, or advisory role that relates to NexaCore's business.</w:t>
      </w:r>
    </w:p>
    <w:p>
      <w:pPr>
        <w:pStyle w:val="ListParagraph"/>
        <w:numPr>
          <w:ilvl w:val="0"/>
          <w:numId w:val="2"/>
        </w:numPr>
        <w:spacing w:after="80"/>
      </w:pPr>
      <w:r>
        <w:rPr>
          <w:rFonts w:ascii="Arial" w:cs="Arial" w:eastAsia="Arial" w:hAnsi="Arial"/>
          <w:color w:val="2D3748"/>
          <w:sz w:val="22"/>
          <w:szCs w:val="22"/>
        </w:rPr>
        <w:t xml:space="preserve">Refrain from directing company business to entities in which they or a family member have a material financial interest without prior disclosure and approval.</w:t>
      </w:r>
    </w:p>
    <w:p>
      <w:pPr>
        <w:pStyle w:val="Heading2"/>
        <w:spacing w:after="120" w:before="320"/>
      </w:pPr>
      <w:r>
        <w:rPr>
          <w:rFonts w:ascii="Arial" w:cs="Arial" w:eastAsia="Arial" w:hAnsi="Arial"/>
          <w:b/>
          <w:bCs/>
          <w:color w:val="2E6DB4"/>
          <w:sz w:val="28"/>
          <w:szCs w:val="28"/>
        </w:rPr>
        <w:t xml:space="preserve">2.4  Confidentiality and Proprietary Information</w:t>
      </w:r>
    </w:p>
    <w:p>
      <w:pPr>
        <w:spacing w:after="120" w:line="276"/>
        <w:jc w:val="both"/>
      </w:pPr>
      <w:r>
        <w:rPr>
          <w:rFonts w:ascii="Arial" w:cs="Arial" w:eastAsia="Arial" w:hAnsi="Arial"/>
          <w:color w:val="2D3748"/>
          <w:sz w:val="22"/>
          <w:szCs w:val="22"/>
        </w:rPr>
        <w:t xml:space="preserve">Employees have access to confidential business information including trade secrets, source code, customer data, financial forecasts, product roadmaps, and personnel information. Such information may not be disclosed to any third party without prior authorisation, and must be handled in accordance with NexaCore's Information Security Policy (see Section 9).</w:t>
      </w:r>
    </w:p>
    <w:p>
      <w:pPr>
        <w:spacing w:after="120" w:line="276"/>
        <w:jc w:val="both"/>
      </w:pPr>
      <w:r>
        <w:rPr>
          <w:rFonts w:ascii="Arial" w:cs="Arial" w:eastAsia="Arial" w:hAnsi="Arial"/>
          <w:color w:val="2D3748"/>
          <w:sz w:val="22"/>
          <w:szCs w:val="22"/>
        </w:rPr>
        <w:t xml:space="preserve">Confidentiality obligations survive the termination of employment. Employees must return or certify the destruction of all confidential materials upon departure.</w:t>
      </w:r>
    </w:p>
    <w:p>
      <w:pPr>
        <w:pStyle w:val="Heading2"/>
        <w:spacing w:after="120" w:before="320"/>
      </w:pPr>
      <w:r>
        <w:rPr>
          <w:rFonts w:ascii="Arial" w:cs="Arial" w:eastAsia="Arial" w:hAnsi="Arial"/>
          <w:b/>
          <w:bCs/>
          <w:color w:val="2E6DB4"/>
          <w:sz w:val="28"/>
          <w:szCs w:val="28"/>
        </w:rPr>
        <w:t xml:space="preserve">2.5  Gifts, Entertainment, and Anti-Bribery</w:t>
      </w:r>
    </w:p>
    <w:p>
      <w:pPr>
        <w:spacing w:after="120" w:line="276"/>
        <w:jc w:val="both"/>
      </w:pPr>
      <w:r>
        <w:rPr>
          <w:rFonts w:ascii="Arial" w:cs="Arial" w:eastAsia="Arial" w:hAnsi="Arial"/>
          <w:color w:val="2D3748"/>
          <w:sz w:val="22"/>
          <w:szCs w:val="22"/>
        </w:rPr>
        <w:t xml:space="preserve">Employees must not offer, promise, give, or accept any gift, payment, hospitality, or other benefit that is intended to influence a business decision improperly. Gifts or entertainment of modest value (not exceeding USD 75 per occasion) that are customary in a business context and are transparently recorded are generally permissible. Any gift or hospitality with a per-person value exceeding USD 75 must be reported and approved in advance via the Ethics Portal on NexaHub.</w:t>
      </w:r>
    </w:p>
    <w:p>
      <w:pPr>
        <w:pStyle w:val="Heading2"/>
        <w:spacing w:after="120" w:before="320"/>
      </w:pPr>
      <w:r>
        <w:rPr>
          <w:rFonts w:ascii="Arial" w:cs="Arial" w:eastAsia="Arial" w:hAnsi="Arial"/>
          <w:b/>
          <w:bCs/>
          <w:color w:val="2E6DB4"/>
          <w:sz w:val="28"/>
          <w:szCs w:val="28"/>
        </w:rPr>
        <w:t xml:space="preserve">2.6  Reporting Concerns</w:t>
      </w:r>
    </w:p>
    <w:p>
      <w:pPr>
        <w:spacing w:after="120" w:line="276"/>
        <w:jc w:val="both"/>
      </w:pPr>
      <w:r>
        <w:rPr>
          <w:rFonts w:ascii="Arial" w:cs="Arial" w:eastAsia="Arial" w:hAnsi="Arial"/>
          <w:color w:val="2D3748"/>
          <w:sz w:val="22"/>
          <w:szCs w:val="22"/>
        </w:rPr>
        <w:t xml:space="preserve">NexaCore maintains a confidential ethics hotline — NexaLine — available 24 hours a day, 7 days a week at 1-800-NEX-ETHI or via the online portal at ethics.nexacore.com. Employees may report concerns regarding potential violations of this Code, applicable law, or company policy without fear of retaliation. Anonymous reporting is available. Retaliation against anyone who reports a concern in good faith is strictly prohibited and constitutes a separate disciplinary offence.</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3  —  Working Hours</w:t>
      </w:r>
    </w:p>
    <w:p>
      <w:pPr>
        <w:pStyle w:val="Heading2"/>
        <w:spacing w:after="120" w:before="320"/>
      </w:pPr>
      <w:r>
        <w:rPr>
          <w:rFonts w:ascii="Arial" w:cs="Arial" w:eastAsia="Arial" w:hAnsi="Arial"/>
          <w:b/>
          <w:bCs/>
          <w:color w:val="2E6DB4"/>
          <w:sz w:val="28"/>
          <w:szCs w:val="28"/>
        </w:rPr>
        <w:t xml:space="preserve">3.1  Standard Working Hours</w:t>
      </w:r>
    </w:p>
    <w:p>
      <w:pPr>
        <w:spacing w:after="120" w:line="276"/>
        <w:jc w:val="both"/>
      </w:pPr>
      <w:r>
        <w:rPr>
          <w:rFonts w:ascii="Arial" w:cs="Arial" w:eastAsia="Arial" w:hAnsi="Arial"/>
          <w:color w:val="2D3748"/>
          <w:sz w:val="22"/>
          <w:szCs w:val="22"/>
        </w:rPr>
        <w:t xml:space="preserve">NexaCore's standard full-time working week is 40 hours. Core business hours are defined regionally as set out in the table below. Within these parameters, employees and managers may agree on flexible start and finish times that meet team and business needs.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Region</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Core Business Hours (Local Time)</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Americas (EST/PST)</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9:00 AM – 6:00 PM, Monday – Friday</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EMEA (GMT/CET)</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8:30 AM – 5:30 PM, Monday – Friday</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APAC (SGT/IST)</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9:00 AM – 6:00 PM, Monday – Friday</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Global On-Call Roles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As defined in individual role agreement</w:t>
            </w:r>
          </w:p>
        </w:tc>
      </w:tr>
    </w:tbl>
    <w:p>
      <w:pPr>
        <w:spacing w:after="0" w:before="160"/>
      </w:pPr>
      <w:r>
        <w:t xml:space="preserve"/>
      </w:r>
    </w:p>
    <w:p>
      <w:pPr>
        <w:pStyle w:val="Heading2"/>
        <w:spacing w:after="120" w:before="320"/>
      </w:pPr>
      <w:r>
        <w:rPr>
          <w:rFonts w:ascii="Arial" w:cs="Arial" w:eastAsia="Arial" w:hAnsi="Arial"/>
          <w:b/>
          <w:bCs/>
          <w:color w:val="2E6DB4"/>
          <w:sz w:val="28"/>
          <w:szCs w:val="28"/>
        </w:rPr>
        <w:t xml:space="preserve">3.2  Overtime</w:t>
      </w:r>
    </w:p>
    <w:p>
      <w:pPr>
        <w:spacing w:after="120" w:line="276"/>
        <w:jc w:val="both"/>
      </w:pPr>
      <w:r>
        <w:rPr>
          <w:rFonts w:ascii="Arial" w:cs="Arial" w:eastAsia="Arial" w:hAnsi="Arial"/>
          <w:color w:val="2D3748"/>
          <w:sz w:val="22"/>
          <w:szCs w:val="22"/>
        </w:rPr>
        <w:t xml:space="preserve">NexaCore does not routinely require employees to work excessive hours. Exempt (salaried) employees are expected to work the hours necessary to fulfil their responsibilities without additional overtime compensation, in accordance with applicable law. Non-exempt (hourly) employees must obtain prior written manager approval before working more than 40 hours in any single workweek. All overtime for non-exempt employees will be compensated in accordance with applicable local law.</w:t>
      </w:r>
    </w:p>
    <w:p>
      <w:pPr>
        <w:pStyle w:val="Heading2"/>
        <w:spacing w:after="120" w:before="320"/>
      </w:pPr>
      <w:r>
        <w:rPr>
          <w:rFonts w:ascii="Arial" w:cs="Arial" w:eastAsia="Arial" w:hAnsi="Arial"/>
          <w:b/>
          <w:bCs/>
          <w:color w:val="2E6DB4"/>
          <w:sz w:val="28"/>
          <w:szCs w:val="28"/>
        </w:rPr>
        <w:t xml:space="preserve">3.3  Rest Periods and Breaks</w:t>
      </w:r>
    </w:p>
    <w:p>
      <w:pPr>
        <w:spacing w:after="120" w:line="276"/>
        <w:jc w:val="both"/>
      </w:pPr>
      <w:r>
        <w:rPr>
          <w:rFonts w:ascii="Arial" w:cs="Arial" w:eastAsia="Arial" w:hAnsi="Arial"/>
          <w:color w:val="2D3748"/>
          <w:sz w:val="22"/>
          <w:szCs w:val="22"/>
        </w:rPr>
        <w:t xml:space="preserve">Employees are entitled to a minimum 30-minute unpaid meal break for shifts of five hours or more and a minimum 60-minute unpaid break for shifts of eight hours or more, subject to local legal requirements. Short rest breaks of approximately 10 to 15 minutes per four hours worked are encouraged and are considered paid time.</w:t>
      </w:r>
    </w:p>
    <w:p>
      <w:pPr>
        <w:pStyle w:val="Heading2"/>
        <w:spacing w:after="120" w:before="320"/>
      </w:pPr>
      <w:r>
        <w:rPr>
          <w:rFonts w:ascii="Arial" w:cs="Arial" w:eastAsia="Arial" w:hAnsi="Arial"/>
          <w:b/>
          <w:bCs/>
          <w:color w:val="2E6DB4"/>
          <w:sz w:val="28"/>
          <w:szCs w:val="28"/>
        </w:rPr>
        <w:t xml:space="preserve">3.4  Flexible Working Arrangements</w:t>
      </w:r>
    </w:p>
    <w:p>
      <w:pPr>
        <w:spacing w:after="120" w:line="276"/>
        <w:jc w:val="both"/>
      </w:pPr>
      <w:r>
        <w:rPr>
          <w:rFonts w:ascii="Arial" w:cs="Arial" w:eastAsia="Arial" w:hAnsi="Arial"/>
          <w:color w:val="2D3748"/>
          <w:sz w:val="22"/>
          <w:szCs w:val="22"/>
        </w:rPr>
        <w:t xml:space="preserve">Subject to manager approval and business requirements, employees may request flexible working arrangements including adjusted start/end times (flex-time), compressed four-day workweeks, or reduced-hour arrangements. Requests should be submitted to the employee's manager and People Partner at least 30 days in advance. Requests will be considered fairly and decided within 21 business days.</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4  —  Hybrid Work Policy</w:t>
      </w:r>
    </w:p>
    <w:p>
      <w:pPr>
        <w:pStyle w:val="Heading2"/>
        <w:spacing w:after="120" w:before="320"/>
      </w:pPr>
      <w:r>
        <w:rPr>
          <w:rFonts w:ascii="Arial" w:cs="Arial" w:eastAsia="Arial" w:hAnsi="Arial"/>
          <w:b/>
          <w:bCs/>
          <w:color w:val="2E6DB4"/>
          <w:sz w:val="28"/>
          <w:szCs w:val="28"/>
        </w:rPr>
        <w:t xml:space="preserve">4.1  Policy Overview</w:t>
      </w:r>
    </w:p>
    <w:p>
      <w:pPr>
        <w:spacing w:after="120" w:line="276"/>
        <w:jc w:val="both"/>
      </w:pPr>
      <w:r>
        <w:rPr>
          <w:rFonts w:ascii="Arial" w:cs="Arial" w:eastAsia="Arial" w:hAnsi="Arial"/>
          <w:color w:val="2D3748"/>
          <w:sz w:val="22"/>
          <w:szCs w:val="22"/>
        </w:rPr>
        <w:t xml:space="preserve">NexaCore operates under a structured hybrid work model. We believe that the best outcomes result from intentional, purposeful use of both in-office and remote work environments. This policy applies to all employees in roles designated as "Hybrid Eligible." Role eligibility is determined by the employee's job level, function, and business unit requirements.</w:t>
      </w:r>
    </w:p>
    <w:p>
      <w:pPr>
        <w:pStyle w:val="Heading2"/>
        <w:spacing w:after="120" w:before="320"/>
      </w:pPr>
      <w:r>
        <w:rPr>
          <w:rFonts w:ascii="Arial" w:cs="Arial" w:eastAsia="Arial" w:hAnsi="Arial"/>
          <w:b/>
          <w:bCs/>
          <w:color w:val="2E6DB4"/>
          <w:sz w:val="28"/>
          <w:szCs w:val="28"/>
        </w:rPr>
        <w:t xml:space="preserve">4.2  In-Office Requirements</w:t>
      </w:r>
    </w:p>
    <w:p>
      <w:pPr>
        <w:spacing w:after="120" w:line="276"/>
        <w:jc w:val="both"/>
      </w:pPr>
      <w:r>
        <w:rPr>
          <w:rFonts w:ascii="Arial" w:cs="Arial" w:eastAsia="Arial" w:hAnsi="Arial"/>
          <w:color w:val="2D3748"/>
          <w:sz w:val="22"/>
          <w:szCs w:val="22"/>
        </w:rPr>
        <w:t xml:space="preserve">Hybrid Eligible employees are required to be present in the office a minimum of three days per calendar week. The specific in-office days must be agreed upon with the employee's direct manager, with consideration given to team collaboration needs, client commitments, and project cycles.</w:t>
      </w:r>
    </w:p>
    <w:p>
      <w:pPr>
        <w:spacing w:after="0" w:before="80"/>
      </w:pPr>
      <w:r>
        <w:t xml:space="preserve"/>
      </w:r>
    </w:p>
    <w:p>
      <w:pPr>
        <w:spacing w:after="120" w:line="276"/>
        <w:jc w:val="left"/>
      </w:pPr>
      <w:r>
        <w:rPr>
          <w:rFonts w:ascii="Arial" w:cs="Arial" w:eastAsia="Arial" w:hAnsi="Arial"/>
          <w:color w:val="2D3748"/>
          <w:sz w:val="22"/>
          <w:szCs w:val="22"/>
        </w:rPr>
        <w:t xml:space="preserve">The following roles are classified as Office-Required and are not eligible for the standard hybrid schedule:</w:t>
      </w:r>
    </w:p>
    <w:p>
      <w:pPr>
        <w:pStyle w:val="ListParagraph"/>
        <w:numPr>
          <w:ilvl w:val="0"/>
          <w:numId w:val="2"/>
        </w:numPr>
        <w:spacing w:after="80"/>
      </w:pPr>
      <w:r>
        <w:rPr>
          <w:rFonts w:ascii="Arial" w:cs="Arial" w:eastAsia="Arial" w:hAnsi="Arial"/>
          <w:color w:val="2D3748"/>
          <w:sz w:val="22"/>
          <w:szCs w:val="22"/>
        </w:rPr>
        <w:t xml:space="preserve">Data Centre Operations staff</w:t>
      </w:r>
    </w:p>
    <w:p>
      <w:pPr>
        <w:pStyle w:val="ListParagraph"/>
        <w:numPr>
          <w:ilvl w:val="0"/>
          <w:numId w:val="2"/>
        </w:numPr>
        <w:spacing w:after="80"/>
      </w:pPr>
      <w:r>
        <w:rPr>
          <w:rFonts w:ascii="Arial" w:cs="Arial" w:eastAsia="Arial" w:hAnsi="Arial"/>
          <w:color w:val="2D3748"/>
          <w:sz w:val="22"/>
          <w:szCs w:val="22"/>
        </w:rPr>
        <w:t xml:space="preserve">Facilities and IT Support technicians requiring on-site access</w:t>
      </w:r>
    </w:p>
    <w:p>
      <w:pPr>
        <w:pStyle w:val="ListParagraph"/>
        <w:numPr>
          <w:ilvl w:val="0"/>
          <w:numId w:val="2"/>
        </w:numPr>
        <w:spacing w:after="80"/>
      </w:pPr>
      <w:r>
        <w:rPr>
          <w:rFonts w:ascii="Arial" w:cs="Arial" w:eastAsia="Arial" w:hAnsi="Arial"/>
          <w:color w:val="2D3748"/>
          <w:sz w:val="22"/>
          <w:szCs w:val="22"/>
        </w:rPr>
        <w:t xml:space="preserve">Roles designated as Office-Required in the signed offer letter or a subsequent role change letter</w:t>
      </w:r>
    </w:p>
    <w:p>
      <w:pPr>
        <w:pStyle w:val="Heading2"/>
        <w:spacing w:after="120" w:before="320"/>
      </w:pPr>
      <w:r>
        <w:rPr>
          <w:rFonts w:ascii="Arial" w:cs="Arial" w:eastAsia="Arial" w:hAnsi="Arial"/>
          <w:b/>
          <w:bCs/>
          <w:color w:val="2E6DB4"/>
          <w:sz w:val="28"/>
          <w:szCs w:val="28"/>
        </w:rPr>
        <w:t xml:space="preserve">4.3  Expectations for In-Office Days</w:t>
      </w:r>
    </w:p>
    <w:p>
      <w:pPr>
        <w:spacing w:after="120" w:line="276"/>
        <w:jc w:val="both"/>
      </w:pPr>
      <w:r>
        <w:rPr>
          <w:rFonts w:ascii="Arial" w:cs="Arial" w:eastAsia="Arial" w:hAnsi="Arial"/>
          <w:color w:val="2D3748"/>
          <w:sz w:val="22"/>
          <w:szCs w:val="22"/>
        </w:rPr>
        <w:t xml:space="preserve">In-office days should be used purposefully for activities that benefit most from physical co-presence, including team stand-ups, design reviews, cross-functional collaboration, mentoring, client meetings, and brainstorming sessions. Employees are expected to be present and engaged — not simply logging in from a desk to attend virtual meetings.</w:t>
      </w:r>
    </w:p>
    <w:p>
      <w:pPr>
        <w:pStyle w:val="Heading2"/>
        <w:spacing w:after="120" w:before="320"/>
      </w:pPr>
      <w:r>
        <w:rPr>
          <w:rFonts w:ascii="Arial" w:cs="Arial" w:eastAsia="Arial" w:hAnsi="Arial"/>
          <w:b/>
          <w:bCs/>
          <w:color w:val="2E6DB4"/>
          <w:sz w:val="28"/>
          <w:szCs w:val="28"/>
        </w:rPr>
        <w:t xml:space="preserve">4.4  Expectations for Remote Days</w:t>
      </w:r>
    </w:p>
    <w:p>
      <w:pPr>
        <w:spacing w:after="120" w:line="276"/>
        <w:jc w:val="both"/>
      </w:pPr>
      <w:r>
        <w:rPr>
          <w:rFonts w:ascii="Arial" w:cs="Arial" w:eastAsia="Arial" w:hAnsi="Arial"/>
          <w:color w:val="2D3748"/>
          <w:sz w:val="22"/>
          <w:szCs w:val="22"/>
        </w:rPr>
        <w:t xml:space="preserve">On designated remote days, employees are expected to be available during core business hours, maintain effective communication through approved channels (Microsoft Teams, email), and complete deliverables to the same standard as if working on-site. Employees must have a suitable home working environment (see Section 13 — Remote Work Guidelines).</w:t>
      </w:r>
    </w:p>
    <w:p>
      <w:pPr>
        <w:pStyle w:val="Heading2"/>
        <w:spacing w:after="120" w:before="320"/>
      </w:pPr>
      <w:r>
        <w:rPr>
          <w:rFonts w:ascii="Arial" w:cs="Arial" w:eastAsia="Arial" w:hAnsi="Arial"/>
          <w:b/>
          <w:bCs/>
          <w:color w:val="2E6DB4"/>
          <w:sz w:val="28"/>
          <w:szCs w:val="28"/>
        </w:rPr>
        <w:t xml:space="preserve">4.5  Equipment and Connectivity</w:t>
      </w:r>
    </w:p>
    <w:p>
      <w:pPr>
        <w:spacing w:after="120" w:line="276"/>
        <w:jc w:val="both"/>
      </w:pPr>
      <w:r>
        <w:rPr>
          <w:rFonts w:ascii="Arial" w:cs="Arial" w:eastAsia="Arial" w:hAnsi="Arial"/>
          <w:color w:val="2D3748"/>
          <w:sz w:val="22"/>
          <w:szCs w:val="22"/>
        </w:rPr>
        <w:t xml:space="preserve">NexaCore will provide all employees in Hybrid Eligible roles with a standard equipment package including a laptop, headset, and VPN access. Employees may request additional peripherals (external monitor, docking station, keyboard) through the IT Service Portal. NexaCore does not subsidise home internet costs except in jurisdictions where such contributions are legally required.</w:t>
      </w:r>
    </w:p>
    <w:p>
      <w:pPr>
        <w:pStyle w:val="Heading2"/>
        <w:spacing w:after="120" w:before="320"/>
      </w:pPr>
      <w:r>
        <w:rPr>
          <w:rFonts w:ascii="Arial" w:cs="Arial" w:eastAsia="Arial" w:hAnsi="Arial"/>
          <w:b/>
          <w:bCs/>
          <w:color w:val="2E6DB4"/>
          <w:sz w:val="28"/>
          <w:szCs w:val="28"/>
        </w:rPr>
        <w:t xml:space="preserve">4.6  International and Cross-Border Remote Work</w:t>
      </w:r>
    </w:p>
    <w:p>
      <w:pPr>
        <w:spacing w:after="120" w:line="276"/>
        <w:jc w:val="both"/>
      </w:pPr>
      <w:r>
        <w:rPr>
          <w:rFonts w:ascii="Arial" w:cs="Arial" w:eastAsia="Arial" w:hAnsi="Arial"/>
          <w:color w:val="2D3748"/>
          <w:sz w:val="22"/>
          <w:szCs w:val="22"/>
        </w:rPr>
        <w:t xml:space="preserve">Employees may not work remotely from a country other than their designated country of employment without prior approval from both their manager and the Global Mobility team. Cross-border remote work may trigger tax, immigration, permanent establishment, or data residency obligations. Requests must be submitted at least 30 days in advance at globalmobility@nexacore.com.</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5  —  Attendance Policy</w:t>
      </w:r>
    </w:p>
    <w:p>
      <w:pPr>
        <w:pStyle w:val="Heading2"/>
        <w:spacing w:after="120" w:before="320"/>
      </w:pPr>
      <w:r>
        <w:rPr>
          <w:rFonts w:ascii="Arial" w:cs="Arial" w:eastAsia="Arial" w:hAnsi="Arial"/>
          <w:b/>
          <w:bCs/>
          <w:color w:val="2E6DB4"/>
          <w:sz w:val="28"/>
          <w:szCs w:val="28"/>
        </w:rPr>
        <w:t xml:space="preserve">5.1  Attendance Expectations</w:t>
      </w:r>
    </w:p>
    <w:p>
      <w:pPr>
        <w:spacing w:after="120" w:line="276"/>
        <w:jc w:val="both"/>
      </w:pPr>
      <w:r>
        <w:rPr>
          <w:rFonts w:ascii="Arial" w:cs="Arial" w:eastAsia="Arial" w:hAnsi="Arial"/>
          <w:color w:val="2D3748"/>
          <w:sz w:val="22"/>
          <w:szCs w:val="22"/>
        </w:rPr>
        <w:t xml:space="preserve">Reliable attendance is a fundamental professional obligation. Employees are expected to be present and fully engaged during their scheduled working hours. Consistent attendance ensures that team commitments are met, customers are served effectively, and colleagues are not unreasonably burdened.</w:t>
      </w:r>
    </w:p>
    <w:p>
      <w:pPr>
        <w:pStyle w:val="Heading2"/>
        <w:spacing w:after="120" w:before="320"/>
      </w:pPr>
      <w:r>
        <w:rPr>
          <w:rFonts w:ascii="Arial" w:cs="Arial" w:eastAsia="Arial" w:hAnsi="Arial"/>
          <w:b/>
          <w:bCs/>
          <w:color w:val="2E6DB4"/>
          <w:sz w:val="28"/>
          <w:szCs w:val="28"/>
        </w:rPr>
        <w:t xml:space="preserve">5.2  Reporting Absences</w:t>
      </w:r>
    </w:p>
    <w:p>
      <w:pPr>
        <w:spacing w:after="120" w:line="276"/>
        <w:jc w:val="both"/>
      </w:pPr>
      <w:r>
        <w:rPr>
          <w:rFonts w:ascii="Arial" w:cs="Arial" w:eastAsia="Arial" w:hAnsi="Arial"/>
          <w:color w:val="2D3748"/>
          <w:sz w:val="22"/>
          <w:szCs w:val="22"/>
        </w:rPr>
        <w:t xml:space="preserve">In the event of an unplanned absence, the employee must notify their direct manager as early as possible and no later than 30 minutes after their scheduled start time. Notification must be given directly — leaving a voicemail or sending a message to a colleague is not sufficient unless the manager is unreachable. Absences must also be logged in the Time &amp; Attendance system (Workday) on the day of the absence or upon return.</w:t>
      </w:r>
    </w:p>
    <w:p>
      <w:pPr>
        <w:pStyle w:val="Heading2"/>
        <w:spacing w:after="120" w:before="320"/>
      </w:pPr>
      <w:r>
        <w:rPr>
          <w:rFonts w:ascii="Arial" w:cs="Arial" w:eastAsia="Arial" w:hAnsi="Arial"/>
          <w:b/>
          <w:bCs/>
          <w:color w:val="2E6DB4"/>
          <w:sz w:val="28"/>
          <w:szCs w:val="28"/>
        </w:rPr>
        <w:t xml:space="preserve">5.3  Patterns of Absence</w:t>
      </w:r>
    </w:p>
    <w:p>
      <w:pPr>
        <w:spacing w:after="120" w:line="276"/>
        <w:jc w:val="both"/>
      </w:pPr>
      <w:r>
        <w:rPr>
          <w:rFonts w:ascii="Arial" w:cs="Arial" w:eastAsia="Arial" w:hAnsi="Arial"/>
          <w:color w:val="2D3748"/>
          <w:sz w:val="22"/>
          <w:szCs w:val="22"/>
        </w:rPr>
        <w:t xml:space="preserve">NexaCore monitors absence patterns including, but not limited to, frequent Monday or Friday absences, absences immediately preceding or following public holidays, and repeated short-term absences. Patterns that suggest misuse of the attendance policy will be addressed through a supportive discussion with the manager and, where appropriate, a formal attendance review. The company will always consider whether underlying health conditions or personal circumstances may be a contributing factor.</w:t>
      </w:r>
    </w:p>
    <w:p>
      <w:pPr>
        <w:pStyle w:val="Heading2"/>
        <w:spacing w:after="120" w:before="320"/>
      </w:pPr>
      <w:r>
        <w:rPr>
          <w:rFonts w:ascii="Arial" w:cs="Arial" w:eastAsia="Arial" w:hAnsi="Arial"/>
          <w:b/>
          <w:bCs/>
          <w:color w:val="2E6DB4"/>
          <w:sz w:val="28"/>
          <w:szCs w:val="28"/>
        </w:rPr>
        <w:t xml:space="preserve">5.4  Lateness and Early Departure</w:t>
      </w:r>
    </w:p>
    <w:p>
      <w:pPr>
        <w:spacing w:after="120" w:line="276"/>
        <w:jc w:val="both"/>
      </w:pPr>
      <w:r>
        <w:rPr>
          <w:rFonts w:ascii="Arial" w:cs="Arial" w:eastAsia="Arial" w:hAnsi="Arial"/>
          <w:color w:val="2D3748"/>
          <w:sz w:val="22"/>
          <w:szCs w:val="22"/>
        </w:rPr>
        <w:t xml:space="preserve">Occasional lateness due to unforeseen circumstances is understood. However, habitual lateness or a pattern of early departures without authorisation is not acceptable. Employees should communicate proactively with their manager if they are running late. Persistent lateness may be addressed under the Disciplinary Policy (Section 12).</w:t>
      </w:r>
    </w:p>
    <w:p>
      <w:pPr>
        <w:pStyle w:val="Heading2"/>
        <w:spacing w:after="120" w:before="320"/>
      </w:pPr>
      <w:r>
        <w:rPr>
          <w:rFonts w:ascii="Arial" w:cs="Arial" w:eastAsia="Arial" w:hAnsi="Arial"/>
          <w:b/>
          <w:bCs/>
          <w:color w:val="2E6DB4"/>
          <w:sz w:val="28"/>
          <w:szCs w:val="28"/>
        </w:rPr>
        <w:t xml:space="preserve">5.5  Absence Management</w:t>
      </w:r>
    </w:p>
    <w:p>
      <w:pPr>
        <w:spacing w:after="120" w:line="276"/>
        <w:jc w:val="both"/>
      </w:pPr>
      <w:r>
        <w:rPr>
          <w:rFonts w:ascii="Arial" w:cs="Arial" w:eastAsia="Arial" w:hAnsi="Arial"/>
          <w:color w:val="2D3748"/>
          <w:sz w:val="22"/>
          <w:szCs w:val="22"/>
        </w:rPr>
        <w:t xml:space="preserve">Following a return from any absence of three or more consecutive days, the employee's manager will conduct a brief return-to-work conversation to support the employee's reintegration and understand whether any adjustments are required. This is a supportive process, not a disciplinary measure.</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6  —  Leave Overview</w:t>
      </w:r>
    </w:p>
    <w:p>
      <w:pPr>
        <w:pStyle w:val="Heading2"/>
        <w:spacing w:after="120" w:before="320"/>
      </w:pPr>
      <w:r>
        <w:rPr>
          <w:rFonts w:ascii="Arial" w:cs="Arial" w:eastAsia="Arial" w:hAnsi="Arial"/>
          <w:b/>
          <w:bCs/>
          <w:color w:val="2E6DB4"/>
          <w:sz w:val="28"/>
          <w:szCs w:val="28"/>
        </w:rPr>
        <w:t xml:space="preserve">6.1  Annual Leave</w:t>
      </w:r>
    </w:p>
    <w:p>
      <w:pPr>
        <w:spacing w:after="120" w:line="276"/>
        <w:jc w:val="both"/>
      </w:pPr>
      <w:r>
        <w:rPr>
          <w:rFonts w:ascii="Arial" w:cs="Arial" w:eastAsia="Arial" w:hAnsi="Arial"/>
          <w:color w:val="2D3748"/>
          <w:sz w:val="22"/>
          <w:szCs w:val="22"/>
        </w:rPr>
        <w:t xml:space="preserve">Full-time employees accrue paid annual leave based on their employee grade and tenure. Leave entitlements are detailed below. Accrual begins on the first day of employment. Leave year runs from January 1 to December 31.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Grade / Tenure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Annual Leave Entitlement</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Individual Contributor (IC1–IC3)</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20 days per year</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Senior Individual Contributor (IC4–IC5)</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22 days per year</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Manager &amp; Director (M1–D3)</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25 days per year</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Vice President and above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Unlimited with manager approval</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After 5 years of service (all grades)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+2 additional days</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After 10 years of service (all grades)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+3 additional days</w:t>
            </w:r>
          </w:p>
        </w:tc>
      </w:tr>
    </w:tbl>
    <w:p>
      <w:pPr>
        <w:spacing w:after="0" w:before="160"/>
      </w:pPr>
      <w:r>
        <w:t xml:space="preserve"/>
      </w:r>
    </w:p>
    <w:p>
      <w:pPr>
        <w:spacing w:after="120" w:line="276"/>
        <w:jc w:val="both"/>
      </w:pPr>
      <w:r>
        <w:rPr>
          <w:rFonts w:ascii="Arial" w:cs="Arial" w:eastAsia="Arial" w:hAnsi="Arial"/>
          <w:color w:val="2D3748"/>
          <w:sz w:val="22"/>
          <w:szCs w:val="22"/>
        </w:rPr>
        <w:t xml:space="preserve">Unused leave of up to five days may be carried forward into the following leave year. Carried-forward leave must be used by March 31. NexaCore does not pay out unused annual leave except on termination of employment and where required by local law.</w:t>
      </w:r>
    </w:p>
    <w:p>
      <w:pPr>
        <w:pStyle w:val="Heading2"/>
        <w:spacing w:after="120" w:before="320"/>
      </w:pPr>
      <w:r>
        <w:rPr>
          <w:rFonts w:ascii="Arial" w:cs="Arial" w:eastAsia="Arial" w:hAnsi="Arial"/>
          <w:b/>
          <w:bCs/>
          <w:color w:val="2E6DB4"/>
          <w:sz w:val="28"/>
          <w:szCs w:val="28"/>
        </w:rPr>
        <w:t xml:space="preserve">6.2  Sick Leave</w:t>
      </w:r>
    </w:p>
    <w:p>
      <w:pPr>
        <w:spacing w:after="120" w:line="276"/>
        <w:jc w:val="both"/>
      </w:pPr>
      <w:r>
        <w:rPr>
          <w:rFonts w:ascii="Arial" w:cs="Arial" w:eastAsia="Arial" w:hAnsi="Arial"/>
          <w:color w:val="2D3748"/>
          <w:sz w:val="22"/>
          <w:szCs w:val="22"/>
        </w:rPr>
        <w:t xml:space="preserve">NexaCore provides a minimum of 10 days of paid sick leave per year for personal illness or medical appointments. Sick leave does not roll over. Medical certification is required for any absence exceeding three consecutive days. Employees experiencing long-term illness will be supported through NexaCore's Enhanced Medical Leave policy and may be eligible for disability insurance benefits as provided through the regional benefits programme.</w:t>
      </w:r>
    </w:p>
    <w:p>
      <w:pPr>
        <w:pStyle w:val="Heading2"/>
        <w:spacing w:after="120" w:before="320"/>
      </w:pPr>
      <w:r>
        <w:rPr>
          <w:rFonts w:ascii="Arial" w:cs="Arial" w:eastAsia="Arial" w:hAnsi="Arial"/>
          <w:b/>
          <w:bCs/>
          <w:color w:val="2E6DB4"/>
          <w:sz w:val="28"/>
          <w:szCs w:val="28"/>
        </w:rPr>
        <w:t xml:space="preserve">6.3  Parental Leave</w:t>
      </w:r>
    </w:p>
    <w:p>
      <w:pPr>
        <w:spacing w:after="120" w:line="276"/>
        <w:jc w:val="left"/>
      </w:pPr>
      <w:r>
        <w:rPr>
          <w:rFonts w:ascii="Arial" w:cs="Arial" w:eastAsia="Arial" w:hAnsi="Arial"/>
          <w:color w:val="2D3748"/>
          <w:sz w:val="22"/>
          <w:szCs w:val="22"/>
        </w:rPr>
        <w:t xml:space="preserve">NexaCore is proud to offer industry-leading parental leave to all qualifying employees:</w:t>
      </w:r>
    </w:p>
    <w:p>
      <w:pPr>
        <w:pStyle w:val="ListParagraph"/>
        <w:numPr>
          <w:ilvl w:val="0"/>
          <w:numId w:val="2"/>
        </w:numPr>
        <w:spacing w:after="80"/>
      </w:pPr>
      <w:r>
        <w:rPr>
          <w:rFonts w:ascii="Arial" w:cs="Arial" w:eastAsia="Arial" w:hAnsi="Arial"/>
          <w:color w:val="2D3748"/>
          <w:sz w:val="22"/>
          <w:szCs w:val="22"/>
        </w:rPr>
        <w:t xml:space="preserve">Primary caregiver leave: 20 weeks of fully paid leave.</w:t>
      </w:r>
    </w:p>
    <w:p>
      <w:pPr>
        <w:pStyle w:val="ListParagraph"/>
        <w:numPr>
          <w:ilvl w:val="0"/>
          <w:numId w:val="2"/>
        </w:numPr>
        <w:spacing w:after="80"/>
      </w:pPr>
      <w:r>
        <w:rPr>
          <w:rFonts w:ascii="Arial" w:cs="Arial" w:eastAsia="Arial" w:hAnsi="Arial"/>
          <w:color w:val="2D3748"/>
          <w:sz w:val="22"/>
          <w:szCs w:val="22"/>
        </w:rPr>
        <w:t xml:space="preserve">Secondary caregiver / partner leave: 10 weeks of fully paid leave.</w:t>
      </w:r>
    </w:p>
    <w:p>
      <w:pPr>
        <w:pStyle w:val="ListParagraph"/>
        <w:numPr>
          <w:ilvl w:val="0"/>
          <w:numId w:val="2"/>
        </w:numPr>
        <w:spacing w:after="80"/>
      </w:pPr>
      <w:r>
        <w:rPr>
          <w:rFonts w:ascii="Arial" w:cs="Arial" w:eastAsia="Arial" w:hAnsi="Arial"/>
          <w:color w:val="2D3748"/>
          <w:sz w:val="22"/>
          <w:szCs w:val="22"/>
        </w:rPr>
        <w:t xml:space="preserve">Adoption leave: Same entitlements as birth parent leave apply.</w:t>
      </w:r>
    </w:p>
    <w:p>
      <w:pPr>
        <w:pStyle w:val="ListParagraph"/>
        <w:numPr>
          <w:ilvl w:val="0"/>
          <w:numId w:val="2"/>
        </w:numPr>
        <w:spacing w:after="80"/>
      </w:pPr>
      <w:r>
        <w:rPr>
          <w:rFonts w:ascii="Arial" w:cs="Arial" w:eastAsia="Arial" w:hAnsi="Arial"/>
          <w:color w:val="2D3748"/>
          <w:sz w:val="22"/>
          <w:szCs w:val="22"/>
        </w:rPr>
        <w:t xml:space="preserve">Employees must provide at least 8 weeks' written notice to their manager and People Partner before the expected leave start date.</w:t>
      </w:r>
    </w:p>
    <w:p>
      <w:pPr>
        <w:pStyle w:val="ListParagraph"/>
        <w:numPr>
          <w:ilvl w:val="0"/>
          <w:numId w:val="2"/>
        </w:numPr>
        <w:spacing w:after="80"/>
      </w:pPr>
      <w:r>
        <w:rPr>
          <w:rFonts w:ascii="Arial" w:cs="Arial" w:eastAsia="Arial" w:hAnsi="Arial"/>
          <w:color w:val="2D3748"/>
          <w:sz w:val="22"/>
          <w:szCs w:val="22"/>
        </w:rPr>
        <w:t xml:space="preserve">Return-to-work support, including a phased-return programme, is available through the People &amp; Culture team.</w:t>
      </w:r>
    </w:p>
    <w:p>
      <w:pPr>
        <w:pStyle w:val="Heading2"/>
        <w:spacing w:after="120" w:before="320"/>
      </w:pPr>
      <w:r>
        <w:rPr>
          <w:rFonts w:ascii="Arial" w:cs="Arial" w:eastAsia="Arial" w:hAnsi="Arial"/>
          <w:b/>
          <w:bCs/>
          <w:color w:val="2E6DB4"/>
          <w:sz w:val="28"/>
          <w:szCs w:val="28"/>
        </w:rPr>
        <w:t xml:space="preserve">6.4  Bereavement Leave</w:t>
      </w:r>
    </w:p>
    <w:p>
      <w:pPr>
        <w:spacing w:after="120" w:line="276"/>
        <w:jc w:val="left"/>
      </w:pPr>
      <w:r>
        <w:rPr>
          <w:rFonts w:ascii="Arial" w:cs="Arial" w:eastAsia="Arial" w:hAnsi="Arial"/>
          <w:color w:val="2D3748"/>
          <w:sz w:val="22"/>
          <w:szCs w:val="22"/>
        </w:rPr>
        <w:t xml:space="preserve">NexaCore provides the following paid bereavement leave:</w:t>
      </w:r>
    </w:p>
    <w:p>
      <w:pPr>
        <w:pStyle w:val="ListParagraph"/>
        <w:numPr>
          <w:ilvl w:val="0"/>
          <w:numId w:val="2"/>
        </w:numPr>
        <w:spacing w:after="80"/>
      </w:pPr>
      <w:r>
        <w:rPr>
          <w:rFonts w:ascii="Arial" w:cs="Arial" w:eastAsia="Arial" w:hAnsi="Arial"/>
          <w:color w:val="2D3748"/>
          <w:sz w:val="22"/>
          <w:szCs w:val="22"/>
        </w:rPr>
        <w:t xml:space="preserve">Immediate family (spouse, domestic partner, parent, sibling, child, grandparent): 5 days.</w:t>
      </w:r>
    </w:p>
    <w:p>
      <w:pPr>
        <w:pStyle w:val="ListParagraph"/>
        <w:numPr>
          <w:ilvl w:val="0"/>
          <w:numId w:val="2"/>
        </w:numPr>
        <w:spacing w:after="80"/>
      </w:pPr>
      <w:r>
        <w:rPr>
          <w:rFonts w:ascii="Arial" w:cs="Arial" w:eastAsia="Arial" w:hAnsi="Arial"/>
          <w:color w:val="2D3748"/>
          <w:sz w:val="22"/>
          <w:szCs w:val="22"/>
        </w:rPr>
        <w:t xml:space="preserve">Extended family (aunt, uncle, in-law, grandchild): 3 days.</w:t>
      </w:r>
    </w:p>
    <w:p>
      <w:pPr>
        <w:pStyle w:val="ListParagraph"/>
        <w:numPr>
          <w:ilvl w:val="0"/>
          <w:numId w:val="2"/>
        </w:numPr>
        <w:spacing w:after="80"/>
      </w:pPr>
      <w:r>
        <w:rPr>
          <w:rFonts w:ascii="Arial" w:cs="Arial" w:eastAsia="Arial" w:hAnsi="Arial"/>
          <w:color w:val="2D3748"/>
          <w:sz w:val="22"/>
          <w:szCs w:val="22"/>
        </w:rPr>
        <w:t xml:space="preserve">Close personal friend: 1 day with manager approval.</w:t>
      </w:r>
    </w:p>
    <w:p>
      <w:pPr>
        <w:spacing w:after="120" w:line="276"/>
        <w:jc w:val="both"/>
      </w:pPr>
      <w:r>
        <w:rPr>
          <w:rFonts w:ascii="Arial" w:cs="Arial" w:eastAsia="Arial" w:hAnsi="Arial"/>
          <w:color w:val="2D3748"/>
          <w:sz w:val="22"/>
          <w:szCs w:val="22"/>
        </w:rPr>
        <w:t xml:space="preserve">Additional unpaid or annual leave may be taken with manager approval. NexaCore recognises that grief is personal; managers are encouraged to use discretion and compassion in applying this policy.</w:t>
      </w:r>
    </w:p>
    <w:p>
      <w:pPr>
        <w:pStyle w:val="Heading2"/>
        <w:spacing w:after="120" w:before="320"/>
      </w:pPr>
      <w:r>
        <w:rPr>
          <w:rFonts w:ascii="Arial" w:cs="Arial" w:eastAsia="Arial" w:hAnsi="Arial"/>
          <w:b/>
          <w:bCs/>
          <w:color w:val="2E6DB4"/>
          <w:sz w:val="28"/>
          <w:szCs w:val="28"/>
        </w:rPr>
        <w:t xml:space="preserve">6.5  Public / Bank Holidays</w:t>
      </w:r>
    </w:p>
    <w:p>
      <w:pPr>
        <w:spacing w:after="120" w:line="276"/>
        <w:jc w:val="both"/>
      </w:pPr>
      <w:r>
        <w:rPr>
          <w:rFonts w:ascii="Arial" w:cs="Arial" w:eastAsia="Arial" w:hAnsi="Arial"/>
          <w:color w:val="2D3748"/>
          <w:sz w:val="22"/>
          <w:szCs w:val="22"/>
        </w:rPr>
        <w:t xml:space="preserve">Employees are entitled to all nationally recognised public holidays in their country of employment. A published schedule of applicable holidays by region is maintained on NexaHub and updated annually each October. Employees required to work on a public holiday will receive compensatory time off at a rate of 1.5x, or cash payment where local law requires.</w:t>
      </w:r>
    </w:p>
    <w:p>
      <w:pPr>
        <w:pStyle w:val="Heading2"/>
        <w:spacing w:after="120" w:before="320"/>
      </w:pPr>
      <w:r>
        <w:rPr>
          <w:rFonts w:ascii="Arial" w:cs="Arial" w:eastAsia="Arial" w:hAnsi="Arial"/>
          <w:b/>
          <w:bCs/>
          <w:color w:val="2E6DB4"/>
          <w:sz w:val="28"/>
          <w:szCs w:val="28"/>
        </w:rPr>
        <w:t xml:space="preserve">6.6  Additional Leave Types</w:t>
      </w:r>
    </w:p>
    <w:p>
      <w:pPr>
        <w:spacing w:after="120" w:line="276"/>
        <w:jc w:val="left"/>
      </w:pPr>
      <w:r>
        <w:rPr>
          <w:rFonts w:ascii="Arial" w:cs="Arial" w:eastAsia="Arial" w:hAnsi="Arial"/>
          <w:color w:val="2D3748"/>
          <w:sz w:val="22"/>
          <w:szCs w:val="22"/>
        </w:rPr>
        <w:t xml:space="preserve">NexaCore also offers the following leave provisions, subject to applicable policy documents available on NexaHub:</w:t>
      </w:r>
    </w:p>
    <w:p>
      <w:pPr>
        <w:pStyle w:val="ListParagraph"/>
        <w:numPr>
          <w:ilvl w:val="0"/>
          <w:numId w:val="2"/>
        </w:numPr>
        <w:spacing w:after="80"/>
      </w:pPr>
      <w:r>
        <w:rPr>
          <w:rFonts w:ascii="Arial" w:cs="Arial" w:eastAsia="Arial" w:hAnsi="Arial"/>
          <w:color w:val="2D3748"/>
          <w:sz w:val="22"/>
          <w:szCs w:val="22"/>
        </w:rPr>
        <w:t xml:space="preserve">Jury Duty Leave: Full pay for the duration of jury service, up to 20 days.</w:t>
      </w:r>
    </w:p>
    <w:p>
      <w:pPr>
        <w:pStyle w:val="ListParagraph"/>
        <w:numPr>
          <w:ilvl w:val="0"/>
          <w:numId w:val="2"/>
        </w:numPr>
        <w:spacing w:after="80"/>
      </w:pPr>
      <w:r>
        <w:rPr>
          <w:rFonts w:ascii="Arial" w:cs="Arial" w:eastAsia="Arial" w:hAnsi="Arial"/>
          <w:color w:val="2D3748"/>
          <w:sz w:val="22"/>
          <w:szCs w:val="22"/>
        </w:rPr>
        <w:t xml:space="preserve">Military / Reserve Training Leave: As required by applicable law.</w:t>
      </w:r>
    </w:p>
    <w:p>
      <w:pPr>
        <w:pStyle w:val="ListParagraph"/>
        <w:numPr>
          <w:ilvl w:val="0"/>
          <w:numId w:val="2"/>
        </w:numPr>
        <w:spacing w:after="80"/>
      </w:pPr>
      <w:r>
        <w:rPr>
          <w:rFonts w:ascii="Arial" w:cs="Arial" w:eastAsia="Arial" w:hAnsi="Arial"/>
          <w:color w:val="2D3748"/>
          <w:sz w:val="22"/>
          <w:szCs w:val="22"/>
        </w:rPr>
        <w:t xml:space="preserve">Volunteering Leave: 2 paid days per year for approved charitable activities.</w:t>
      </w:r>
    </w:p>
    <w:p>
      <w:pPr>
        <w:pStyle w:val="ListParagraph"/>
        <w:numPr>
          <w:ilvl w:val="0"/>
          <w:numId w:val="2"/>
        </w:numPr>
        <w:spacing w:after="80"/>
      </w:pPr>
      <w:r>
        <w:rPr>
          <w:rFonts w:ascii="Arial" w:cs="Arial" w:eastAsia="Arial" w:hAnsi="Arial"/>
          <w:color w:val="2D3748"/>
          <w:sz w:val="22"/>
          <w:szCs w:val="22"/>
        </w:rPr>
        <w:t xml:space="preserve">Study / Exam Leave: Up to 2 days per examination for approved professional certifications.</w:t>
      </w:r>
    </w:p>
    <w:p>
      <w:pPr>
        <w:pStyle w:val="ListParagraph"/>
        <w:numPr>
          <w:ilvl w:val="0"/>
          <w:numId w:val="2"/>
        </w:numPr>
        <w:spacing w:after="80"/>
      </w:pPr>
      <w:r>
        <w:rPr>
          <w:rFonts w:ascii="Arial" w:cs="Arial" w:eastAsia="Arial" w:hAnsi="Arial"/>
          <w:color w:val="2D3748"/>
          <w:sz w:val="22"/>
          <w:szCs w:val="22"/>
        </w:rPr>
        <w:t xml:space="preserve">Emergency Dependant Care Leave: Up to 5 days per year for urgent dependant care needs.</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7  —  Workplace Ethics</w:t>
      </w:r>
    </w:p>
    <w:p>
      <w:pPr>
        <w:pStyle w:val="Heading2"/>
        <w:spacing w:after="120" w:before="320"/>
      </w:pPr>
      <w:r>
        <w:rPr>
          <w:rFonts w:ascii="Arial" w:cs="Arial" w:eastAsia="Arial" w:hAnsi="Arial"/>
          <w:b/>
          <w:bCs/>
          <w:color w:val="2E6DB4"/>
          <w:sz w:val="28"/>
          <w:szCs w:val="28"/>
        </w:rPr>
        <w:t xml:space="preserve">7.1  Commitment to Ethical Conduct</w:t>
      </w:r>
    </w:p>
    <w:p>
      <w:pPr>
        <w:spacing w:after="120" w:line="276"/>
        <w:jc w:val="both"/>
      </w:pPr>
      <w:r>
        <w:rPr>
          <w:rFonts w:ascii="Arial" w:cs="Arial" w:eastAsia="Arial" w:hAnsi="Arial"/>
          <w:color w:val="2D3748"/>
          <w:sz w:val="22"/>
          <w:szCs w:val="22"/>
        </w:rPr>
        <w:t xml:space="preserve">NexaCore's long-term success depends on the trust of our customers, investors, partners, and the communities in which we operate. That trust is earned through consistent ethical behaviour — not just in large decisions, but in every interaction, every day.</w:t>
      </w:r>
    </w:p>
    <w:p>
      <w:pPr>
        <w:pStyle w:val="Heading2"/>
        <w:spacing w:after="120" w:before="320"/>
      </w:pPr>
      <w:r>
        <w:rPr>
          <w:rFonts w:ascii="Arial" w:cs="Arial" w:eastAsia="Arial" w:hAnsi="Arial"/>
          <w:b/>
          <w:bCs/>
          <w:color w:val="2E6DB4"/>
          <w:sz w:val="28"/>
          <w:szCs w:val="28"/>
        </w:rPr>
        <w:t xml:space="preserve">7.2  Insider Trading Prohibition</w:t>
      </w:r>
    </w:p>
    <w:p>
      <w:pPr>
        <w:spacing w:after="120" w:line="276"/>
        <w:jc w:val="both"/>
      </w:pPr>
      <w:r>
        <w:rPr>
          <w:rFonts w:ascii="Arial" w:cs="Arial" w:eastAsia="Arial" w:hAnsi="Arial"/>
          <w:color w:val="2D3748"/>
          <w:sz w:val="22"/>
          <w:szCs w:val="22"/>
        </w:rPr>
        <w:t xml:space="preserve">Employees who possess material non-public information about NexaCore or its business partners are strictly prohibited from trading in NexaCore securities or the securities of those partners, or from tipping others who may trade. Violation of insider trading laws constitutes a serious criminal offence. Questions regarding trading windows and pre-clearance requirements should be directed to the Legal team at legal@nexacore.com.</w:t>
      </w:r>
    </w:p>
    <w:p>
      <w:pPr>
        <w:pStyle w:val="Heading2"/>
        <w:spacing w:after="120" w:before="320"/>
      </w:pPr>
      <w:r>
        <w:rPr>
          <w:rFonts w:ascii="Arial" w:cs="Arial" w:eastAsia="Arial" w:hAnsi="Arial"/>
          <w:b/>
          <w:bCs/>
          <w:color w:val="2E6DB4"/>
          <w:sz w:val="28"/>
          <w:szCs w:val="28"/>
        </w:rPr>
        <w:t xml:space="preserve">7.3  Accurate Business Records</w:t>
      </w:r>
    </w:p>
    <w:p>
      <w:pPr>
        <w:spacing w:after="120" w:line="276"/>
        <w:jc w:val="both"/>
      </w:pPr>
      <w:r>
        <w:rPr>
          <w:rFonts w:ascii="Arial" w:cs="Arial" w:eastAsia="Arial" w:hAnsi="Arial"/>
          <w:color w:val="2D3748"/>
          <w:sz w:val="22"/>
          <w:szCs w:val="22"/>
        </w:rPr>
        <w:t xml:space="preserve">All employees who contribute to financial records, time reporting, expense claims, customer invoicing, or any other business documentation are responsible for ensuring those records are complete, accurate, and not misleading. Falsification of business records is a terminable offence and may result in referral to law enforcement authorities.</w:t>
      </w:r>
    </w:p>
    <w:p>
      <w:pPr>
        <w:pStyle w:val="Heading2"/>
        <w:spacing w:after="120" w:before="320"/>
      </w:pPr>
      <w:r>
        <w:rPr>
          <w:rFonts w:ascii="Arial" w:cs="Arial" w:eastAsia="Arial" w:hAnsi="Arial"/>
          <w:b/>
          <w:bCs/>
          <w:color w:val="2E6DB4"/>
          <w:sz w:val="28"/>
          <w:szCs w:val="28"/>
        </w:rPr>
        <w:t xml:space="preserve">7.4  Social Media and Public Communications</w:t>
      </w:r>
    </w:p>
    <w:p>
      <w:pPr>
        <w:spacing w:after="120" w:line="276"/>
        <w:jc w:val="both"/>
      </w:pPr>
      <w:r>
        <w:rPr>
          <w:rFonts w:ascii="Arial" w:cs="Arial" w:eastAsia="Arial" w:hAnsi="Arial"/>
          <w:color w:val="2D3748"/>
          <w:sz w:val="22"/>
          <w:szCs w:val="22"/>
        </w:rPr>
        <w:t xml:space="preserve">Employees are free to maintain personal social media accounts and to express personal views. However, employees must not:</w:t>
      </w:r>
    </w:p>
    <w:p>
      <w:pPr>
        <w:pStyle w:val="ListParagraph"/>
        <w:numPr>
          <w:ilvl w:val="0"/>
          <w:numId w:val="2"/>
        </w:numPr>
        <w:spacing w:after="80"/>
      </w:pPr>
      <w:r>
        <w:rPr>
          <w:rFonts w:ascii="Arial" w:cs="Arial" w:eastAsia="Arial" w:hAnsi="Arial"/>
          <w:color w:val="2D3748"/>
          <w:sz w:val="22"/>
          <w:szCs w:val="22"/>
        </w:rPr>
        <w:t xml:space="preserve">Disclose confidential NexaCore information on any public platform.</w:t>
      </w:r>
    </w:p>
    <w:p>
      <w:pPr>
        <w:pStyle w:val="ListParagraph"/>
        <w:numPr>
          <w:ilvl w:val="0"/>
          <w:numId w:val="2"/>
        </w:numPr>
        <w:spacing w:after="80"/>
      </w:pPr>
      <w:r>
        <w:rPr>
          <w:rFonts w:ascii="Arial" w:cs="Arial" w:eastAsia="Arial" w:hAnsi="Arial"/>
          <w:color w:val="2D3748"/>
          <w:sz w:val="22"/>
          <w:szCs w:val="22"/>
        </w:rPr>
        <w:t xml:space="preserve">Imply they are speaking on behalf of NexaCore unless explicitly authorised to do so.</w:t>
      </w:r>
    </w:p>
    <w:p>
      <w:pPr>
        <w:pStyle w:val="ListParagraph"/>
        <w:numPr>
          <w:ilvl w:val="0"/>
          <w:numId w:val="2"/>
        </w:numPr>
        <w:spacing w:after="80"/>
      </w:pPr>
      <w:r>
        <w:rPr>
          <w:rFonts w:ascii="Arial" w:cs="Arial" w:eastAsia="Arial" w:hAnsi="Arial"/>
          <w:color w:val="2D3748"/>
          <w:sz w:val="22"/>
          <w:szCs w:val="22"/>
        </w:rPr>
        <w:t xml:space="preserve">Make disparaging, defamatory, or harassing statements about NexaCore, its employees, or its customers.</w:t>
      </w:r>
    </w:p>
    <w:p>
      <w:pPr>
        <w:pStyle w:val="ListParagraph"/>
        <w:numPr>
          <w:ilvl w:val="0"/>
          <w:numId w:val="2"/>
        </w:numPr>
        <w:spacing w:after="80"/>
      </w:pPr>
      <w:r>
        <w:rPr>
          <w:rFonts w:ascii="Arial" w:cs="Arial" w:eastAsia="Arial" w:hAnsi="Arial"/>
          <w:color w:val="2D3748"/>
          <w:sz w:val="22"/>
          <w:szCs w:val="22"/>
        </w:rPr>
        <w:t xml:space="preserve">Post content that would violate NexaCore's Anti-Harassment Policy (Section 8).</w:t>
      </w:r>
    </w:p>
    <w:p>
      <w:pPr>
        <w:spacing w:after="120" w:line="276"/>
        <w:jc w:val="both"/>
      </w:pPr>
      <w:r>
        <w:rPr>
          <w:rFonts w:ascii="Arial" w:cs="Arial" w:eastAsia="Arial" w:hAnsi="Arial"/>
          <w:color w:val="2D3748"/>
          <w:sz w:val="22"/>
          <w:szCs w:val="22"/>
        </w:rPr>
        <w:t xml:space="preserve">The Communications team maintains a Media &amp; Social Media Policy that provides additional guidance and is available on NexaHub.</w:t>
      </w:r>
    </w:p>
    <w:p>
      <w:pPr>
        <w:pStyle w:val="Heading2"/>
        <w:spacing w:after="120" w:before="320"/>
      </w:pPr>
      <w:r>
        <w:rPr>
          <w:rFonts w:ascii="Arial" w:cs="Arial" w:eastAsia="Arial" w:hAnsi="Arial"/>
          <w:b/>
          <w:bCs/>
          <w:color w:val="2E6DB4"/>
          <w:sz w:val="28"/>
          <w:szCs w:val="28"/>
        </w:rPr>
        <w:t xml:space="preserve">7.5  Political Activities</w:t>
      </w:r>
    </w:p>
    <w:p>
      <w:pPr>
        <w:spacing w:after="120" w:line="276"/>
        <w:jc w:val="both"/>
      </w:pPr>
      <w:r>
        <w:rPr>
          <w:rFonts w:ascii="Arial" w:cs="Arial" w:eastAsia="Arial" w:hAnsi="Arial"/>
          <w:color w:val="2D3748"/>
          <w:sz w:val="22"/>
          <w:szCs w:val="22"/>
        </w:rPr>
        <w:t xml:space="preserve">NexaCore respects employees' rights to engage in personal political activity. However, no employee may use NexaCore resources — including time, equipment, funds, or facilities — for personal political activities. NexaCore does not make political contributions on behalf of any individual employee and does not endorse candidates for political office.</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8  —  Anti-Harassment &amp; Non-Discrimination Policy</w:t>
      </w:r>
    </w:p>
    <w:p>
      <w:pPr>
        <w:pStyle w:val="Heading2"/>
        <w:spacing w:after="120" w:before="320"/>
      </w:pPr>
      <w:r>
        <w:rPr>
          <w:rFonts w:ascii="Arial" w:cs="Arial" w:eastAsia="Arial" w:hAnsi="Arial"/>
          <w:b/>
          <w:bCs/>
          <w:color w:val="2E6DB4"/>
          <w:sz w:val="28"/>
          <w:szCs w:val="28"/>
        </w:rPr>
        <w:t xml:space="preserve">8.1  Our Commitment</w:t>
      </w:r>
    </w:p>
    <w:p>
      <w:pPr>
        <w:spacing w:after="120" w:line="276"/>
        <w:jc w:val="both"/>
      </w:pPr>
      <w:r>
        <w:rPr>
          <w:rFonts w:ascii="Arial" w:cs="Arial" w:eastAsia="Arial" w:hAnsi="Arial"/>
          <w:color w:val="2D3748"/>
          <w:sz w:val="22"/>
          <w:szCs w:val="22"/>
        </w:rPr>
        <w:t xml:space="preserve">NexaCore is unconditionally committed to providing a work environment that is free from harassment, discrimination, and bullying. Every employee has the right to work in a professional environment that promotes equal opportunity and where decisions are made on the basis of merit, qualifications, and business need.</w:t>
      </w:r>
    </w:p>
    <w:p>
      <w:pPr>
        <w:pStyle w:val="Heading2"/>
        <w:spacing w:after="120" w:before="320"/>
      </w:pPr>
      <w:r>
        <w:rPr>
          <w:rFonts w:ascii="Arial" w:cs="Arial" w:eastAsia="Arial" w:hAnsi="Arial"/>
          <w:b/>
          <w:bCs/>
          <w:color w:val="2E6DB4"/>
          <w:sz w:val="28"/>
          <w:szCs w:val="28"/>
        </w:rPr>
        <w:t xml:space="preserve">8.2  Protected Characteristics</w:t>
      </w:r>
    </w:p>
    <w:p>
      <w:pPr>
        <w:spacing w:after="120" w:line="276"/>
        <w:jc w:val="left"/>
      </w:pPr>
      <w:r>
        <w:rPr>
          <w:rFonts w:ascii="Arial" w:cs="Arial" w:eastAsia="Arial" w:hAnsi="Arial"/>
          <w:color w:val="2D3748"/>
          <w:sz w:val="22"/>
          <w:szCs w:val="22"/>
        </w:rPr>
        <w:t xml:space="preserve">NexaCore prohibits discrimination, harassment, and bullying on the basis of any protected characteristic, including but not limited to:</w:t>
      </w:r>
    </w:p>
    <w:p>
      <w:pPr>
        <w:pStyle w:val="ListParagraph"/>
        <w:numPr>
          <w:ilvl w:val="0"/>
          <w:numId w:val="2"/>
        </w:numPr>
        <w:spacing w:after="80"/>
      </w:pPr>
      <w:r>
        <w:rPr>
          <w:rFonts w:ascii="Arial" w:cs="Arial" w:eastAsia="Arial" w:hAnsi="Arial"/>
          <w:color w:val="2D3748"/>
          <w:sz w:val="22"/>
          <w:szCs w:val="22"/>
        </w:rPr>
        <w:t xml:space="preserve">Race, colour, national origin, or ethnicity</w:t>
      </w:r>
    </w:p>
    <w:p>
      <w:pPr>
        <w:pStyle w:val="ListParagraph"/>
        <w:numPr>
          <w:ilvl w:val="0"/>
          <w:numId w:val="2"/>
        </w:numPr>
        <w:spacing w:after="80"/>
      </w:pPr>
      <w:r>
        <w:rPr>
          <w:rFonts w:ascii="Arial" w:cs="Arial" w:eastAsia="Arial" w:hAnsi="Arial"/>
          <w:color w:val="2D3748"/>
          <w:sz w:val="22"/>
          <w:szCs w:val="22"/>
        </w:rPr>
        <w:t xml:space="preserve">Gender, gender identity, or gender expression</w:t>
      </w:r>
    </w:p>
    <w:p>
      <w:pPr>
        <w:pStyle w:val="ListParagraph"/>
        <w:numPr>
          <w:ilvl w:val="0"/>
          <w:numId w:val="2"/>
        </w:numPr>
        <w:spacing w:after="80"/>
      </w:pPr>
      <w:r>
        <w:rPr>
          <w:rFonts w:ascii="Arial" w:cs="Arial" w:eastAsia="Arial" w:hAnsi="Arial"/>
          <w:color w:val="2D3748"/>
          <w:sz w:val="22"/>
          <w:szCs w:val="22"/>
        </w:rPr>
        <w:t xml:space="preserve">Sexual orientation</w:t>
      </w:r>
    </w:p>
    <w:p>
      <w:pPr>
        <w:pStyle w:val="ListParagraph"/>
        <w:numPr>
          <w:ilvl w:val="0"/>
          <w:numId w:val="2"/>
        </w:numPr>
        <w:spacing w:after="80"/>
      </w:pPr>
      <w:r>
        <w:rPr>
          <w:rFonts w:ascii="Arial" w:cs="Arial" w:eastAsia="Arial" w:hAnsi="Arial"/>
          <w:color w:val="2D3748"/>
          <w:sz w:val="22"/>
          <w:szCs w:val="22"/>
        </w:rPr>
        <w:t xml:space="preserve">Age</w:t>
      </w:r>
    </w:p>
    <w:p>
      <w:pPr>
        <w:pStyle w:val="ListParagraph"/>
        <w:numPr>
          <w:ilvl w:val="0"/>
          <w:numId w:val="2"/>
        </w:numPr>
        <w:spacing w:after="80"/>
      </w:pPr>
      <w:r>
        <w:rPr>
          <w:rFonts w:ascii="Arial" w:cs="Arial" w:eastAsia="Arial" w:hAnsi="Arial"/>
          <w:color w:val="2D3748"/>
          <w:sz w:val="22"/>
          <w:szCs w:val="22"/>
        </w:rPr>
        <w:t xml:space="preserve">Disability or medical condition</w:t>
      </w:r>
    </w:p>
    <w:p>
      <w:pPr>
        <w:pStyle w:val="ListParagraph"/>
        <w:numPr>
          <w:ilvl w:val="0"/>
          <w:numId w:val="2"/>
        </w:numPr>
        <w:spacing w:after="80"/>
      </w:pPr>
      <w:r>
        <w:rPr>
          <w:rFonts w:ascii="Arial" w:cs="Arial" w:eastAsia="Arial" w:hAnsi="Arial"/>
          <w:color w:val="2D3748"/>
          <w:sz w:val="22"/>
          <w:szCs w:val="22"/>
        </w:rPr>
        <w:t xml:space="preserve">Religion or creed</w:t>
      </w:r>
    </w:p>
    <w:p>
      <w:pPr>
        <w:pStyle w:val="ListParagraph"/>
        <w:numPr>
          <w:ilvl w:val="0"/>
          <w:numId w:val="2"/>
        </w:numPr>
        <w:spacing w:after="80"/>
      </w:pPr>
      <w:r>
        <w:rPr>
          <w:rFonts w:ascii="Arial" w:cs="Arial" w:eastAsia="Arial" w:hAnsi="Arial"/>
          <w:color w:val="2D3748"/>
          <w:sz w:val="22"/>
          <w:szCs w:val="22"/>
        </w:rPr>
        <w:t xml:space="preserve">Marital or family status</w:t>
      </w:r>
    </w:p>
    <w:p>
      <w:pPr>
        <w:pStyle w:val="ListParagraph"/>
        <w:numPr>
          <w:ilvl w:val="0"/>
          <w:numId w:val="2"/>
        </w:numPr>
        <w:spacing w:after="80"/>
      </w:pPr>
      <w:r>
        <w:rPr>
          <w:rFonts w:ascii="Arial" w:cs="Arial" w:eastAsia="Arial" w:hAnsi="Arial"/>
          <w:color w:val="2D3748"/>
          <w:sz w:val="22"/>
          <w:szCs w:val="22"/>
        </w:rPr>
        <w:t xml:space="preserve">Pregnancy, parental, or caregiver status</w:t>
      </w:r>
    </w:p>
    <w:p>
      <w:pPr>
        <w:pStyle w:val="ListParagraph"/>
        <w:numPr>
          <w:ilvl w:val="0"/>
          <w:numId w:val="2"/>
        </w:numPr>
        <w:spacing w:after="80"/>
      </w:pPr>
      <w:r>
        <w:rPr>
          <w:rFonts w:ascii="Arial" w:cs="Arial" w:eastAsia="Arial" w:hAnsi="Arial"/>
          <w:color w:val="2D3748"/>
          <w:sz w:val="22"/>
          <w:szCs w:val="22"/>
        </w:rPr>
        <w:t xml:space="preserve">Veteran or military status</w:t>
      </w:r>
    </w:p>
    <w:p>
      <w:pPr>
        <w:pStyle w:val="ListParagraph"/>
        <w:numPr>
          <w:ilvl w:val="0"/>
          <w:numId w:val="2"/>
        </w:numPr>
        <w:spacing w:after="80"/>
      </w:pPr>
      <w:r>
        <w:rPr>
          <w:rFonts w:ascii="Arial" w:cs="Arial" w:eastAsia="Arial" w:hAnsi="Arial"/>
          <w:color w:val="2D3748"/>
          <w:sz w:val="22"/>
          <w:szCs w:val="22"/>
        </w:rPr>
        <w:t xml:space="preserve">Any other characteristic protected under applicable law</w:t>
      </w:r>
    </w:p>
    <w:p>
      <w:pPr>
        <w:pStyle w:val="Heading2"/>
        <w:spacing w:after="120" w:before="320"/>
      </w:pPr>
      <w:r>
        <w:rPr>
          <w:rFonts w:ascii="Arial" w:cs="Arial" w:eastAsia="Arial" w:hAnsi="Arial"/>
          <w:b/>
          <w:bCs/>
          <w:color w:val="2E6DB4"/>
          <w:sz w:val="28"/>
          <w:szCs w:val="28"/>
        </w:rPr>
        <w:t xml:space="preserve">8.3  Definition of Harassment</w:t>
      </w:r>
    </w:p>
    <w:p>
      <w:pPr>
        <w:spacing w:after="120" w:line="276"/>
        <w:jc w:val="both"/>
      </w:pPr>
      <w:r>
        <w:rPr>
          <w:rFonts w:ascii="Arial" w:cs="Arial" w:eastAsia="Arial" w:hAnsi="Arial"/>
          <w:color w:val="2D3748"/>
          <w:sz w:val="22"/>
          <w:szCs w:val="22"/>
        </w:rPr>
        <w:t xml:space="preserve">Harassment is unwelcome conduct based on a protected characteristic that is severe or pervasive enough to create a hostile, intimidating, or offensive work environment, or that results in an adverse employment decision. Harassment can take many forms, including verbal comments, jokes, slurs, physical conduct, electronic communications, images, or gestures.</w:t>
      </w:r>
    </w:p>
    <w:p>
      <w:pPr>
        <w:spacing w:after="120" w:line="276"/>
        <w:jc w:val="both"/>
      </w:pPr>
      <w:r>
        <w:rPr>
          <w:rFonts w:ascii="Arial" w:cs="Arial" w:eastAsia="Arial" w:hAnsi="Arial"/>
          <w:color w:val="2D3748"/>
          <w:sz w:val="22"/>
          <w:szCs w:val="22"/>
        </w:rPr>
        <w:t xml:space="preserve">Sexual harassment includes unwelcome sexual advances, requests for sexual favours, and other verbal or physical conduct of a sexual nature when: (i) submission is made a condition of employment; (ii) submission or rejection affects employment decisions; or (iii) such conduct unreasonably interferes with work performance or creates an intimidating, hostile, or offensive environment.</w:t>
      </w:r>
    </w:p>
    <w:p>
      <w:pPr>
        <w:pStyle w:val="Heading2"/>
        <w:spacing w:after="120" w:before="320"/>
      </w:pPr>
      <w:r>
        <w:rPr>
          <w:rFonts w:ascii="Arial" w:cs="Arial" w:eastAsia="Arial" w:hAnsi="Arial"/>
          <w:b/>
          <w:bCs/>
          <w:color w:val="2E6DB4"/>
          <w:sz w:val="28"/>
          <w:szCs w:val="28"/>
        </w:rPr>
        <w:t xml:space="preserve">8.4  Reporting Procedures</w:t>
      </w:r>
    </w:p>
    <w:p>
      <w:pPr>
        <w:spacing w:after="120" w:line="276"/>
        <w:jc w:val="left"/>
      </w:pPr>
      <w:r>
        <w:rPr>
          <w:rFonts w:ascii="Arial" w:cs="Arial" w:eastAsia="Arial" w:hAnsi="Arial"/>
          <w:color w:val="2D3748"/>
          <w:sz w:val="22"/>
          <w:szCs w:val="22"/>
        </w:rPr>
        <w:t xml:space="preserve">Any employee who believes they have experienced or witnessed harassment or discrimination should report the conduct promptly through one of the following channels:</w:t>
      </w:r>
    </w:p>
    <w:p>
      <w:pPr>
        <w:pStyle w:val="ListParagraph"/>
        <w:numPr>
          <w:ilvl w:val="0"/>
          <w:numId w:val="2"/>
        </w:numPr>
        <w:spacing w:after="80"/>
      </w:pPr>
      <w:r>
        <w:rPr>
          <w:rFonts w:ascii="Arial" w:cs="Arial" w:eastAsia="Arial" w:hAnsi="Arial"/>
          <w:color w:val="2D3748"/>
          <w:sz w:val="22"/>
          <w:szCs w:val="22"/>
        </w:rPr>
        <w:t xml:space="preserve">Directly to their direct manager (if the manager is not the subject of the complaint).</w:t>
      </w:r>
    </w:p>
    <w:p>
      <w:pPr>
        <w:pStyle w:val="ListParagraph"/>
        <w:numPr>
          <w:ilvl w:val="0"/>
          <w:numId w:val="2"/>
        </w:numPr>
        <w:spacing w:after="80"/>
      </w:pPr>
      <w:r>
        <w:rPr>
          <w:rFonts w:ascii="Arial" w:cs="Arial" w:eastAsia="Arial" w:hAnsi="Arial"/>
          <w:color w:val="2D3748"/>
          <w:sz w:val="22"/>
          <w:szCs w:val="22"/>
        </w:rPr>
        <w:t xml:space="preserve">To their People Partner or any member of the People &amp; Culture team.</w:t>
      </w:r>
    </w:p>
    <w:p>
      <w:pPr>
        <w:pStyle w:val="ListParagraph"/>
        <w:numPr>
          <w:ilvl w:val="0"/>
          <w:numId w:val="2"/>
        </w:numPr>
        <w:spacing w:after="80"/>
      </w:pPr>
      <w:r>
        <w:rPr>
          <w:rFonts w:ascii="Arial" w:cs="Arial" w:eastAsia="Arial" w:hAnsi="Arial"/>
          <w:color w:val="2D3748"/>
          <w:sz w:val="22"/>
          <w:szCs w:val="22"/>
        </w:rPr>
        <w:t xml:space="preserve">Via the confidential NexaLine ethics reporting hotline (ethics.nexacore.com or 1-800-NEX-ETHI).</w:t>
      </w:r>
    </w:p>
    <w:p>
      <w:pPr>
        <w:spacing w:after="120" w:line="276"/>
        <w:jc w:val="both"/>
      </w:pPr>
      <w:r>
        <w:rPr>
          <w:rFonts w:ascii="Arial" w:cs="Arial" w:eastAsia="Arial" w:hAnsi="Arial"/>
          <w:color w:val="2D3748"/>
          <w:sz w:val="22"/>
          <w:szCs w:val="22"/>
        </w:rPr>
        <w:t xml:space="preserve">Reports will be investigated promptly, impartially, and with appropriate confidentiality. NexaCore prohibits retaliation against anyone who makes a good-faith report or participates in an investigation.</w:t>
      </w:r>
    </w:p>
    <w:p>
      <w:pPr>
        <w:pStyle w:val="Heading2"/>
        <w:spacing w:after="120" w:before="320"/>
      </w:pPr>
      <w:r>
        <w:rPr>
          <w:rFonts w:ascii="Arial" w:cs="Arial" w:eastAsia="Arial" w:hAnsi="Arial"/>
          <w:b/>
          <w:bCs/>
          <w:color w:val="2E6DB4"/>
          <w:sz w:val="28"/>
          <w:szCs w:val="28"/>
        </w:rPr>
        <w:t xml:space="preserve">8.5  Investigation Process</w:t>
      </w:r>
    </w:p>
    <w:p>
      <w:pPr>
        <w:spacing w:after="120" w:line="276"/>
        <w:jc w:val="both"/>
      </w:pPr>
      <w:r>
        <w:rPr>
          <w:rFonts w:ascii="Arial" w:cs="Arial" w:eastAsia="Arial" w:hAnsi="Arial"/>
          <w:color w:val="2D3748"/>
          <w:sz w:val="22"/>
          <w:szCs w:val="22"/>
        </w:rPr>
        <w:t xml:space="preserve">Upon receipt of a report, the People &amp; Culture team will acknowledge receipt within two business days and will designate an investigator. Investigations will typically be completed within 30 business days, subject to complexity. Parties involved will be notified of outcomes to the extent permitted by confidentiality requirements. Where a violation is substantiated, NexaCore will take appropriate corrective action up to and including termination of employment.</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9  —  Information Technology Usage Policy</w:t>
      </w:r>
    </w:p>
    <w:p>
      <w:pPr>
        <w:pStyle w:val="Heading2"/>
        <w:spacing w:after="120" w:before="320"/>
      </w:pPr>
      <w:r>
        <w:rPr>
          <w:rFonts w:ascii="Arial" w:cs="Arial" w:eastAsia="Arial" w:hAnsi="Arial"/>
          <w:b/>
          <w:bCs/>
          <w:color w:val="2E6DB4"/>
          <w:sz w:val="28"/>
          <w:szCs w:val="28"/>
        </w:rPr>
        <w:t xml:space="preserve">9.1  Scope and Applicability</w:t>
      </w:r>
    </w:p>
    <w:p>
      <w:pPr>
        <w:spacing w:after="120" w:line="276"/>
        <w:jc w:val="both"/>
      </w:pPr>
      <w:r>
        <w:rPr>
          <w:rFonts w:ascii="Arial" w:cs="Arial" w:eastAsia="Arial" w:hAnsi="Arial"/>
          <w:color w:val="2D3748"/>
          <w:sz w:val="22"/>
          <w:szCs w:val="22"/>
        </w:rPr>
        <w:t xml:space="preserve">This policy governs the use of all NexaCore-owned or NexaCore-managed information technology assets and systems, including hardware, software, networks, cloud services, email, and communication platforms. It applies to all employees, contractors, and third parties who access NexaCore systems.</w:t>
      </w:r>
    </w:p>
    <w:p>
      <w:pPr>
        <w:pStyle w:val="Heading2"/>
        <w:spacing w:after="120" w:before="320"/>
      </w:pPr>
      <w:r>
        <w:rPr>
          <w:rFonts w:ascii="Arial" w:cs="Arial" w:eastAsia="Arial" w:hAnsi="Arial"/>
          <w:b/>
          <w:bCs/>
          <w:color w:val="2E6DB4"/>
          <w:sz w:val="28"/>
          <w:szCs w:val="28"/>
        </w:rPr>
        <w:t xml:space="preserve">9.2  Acceptable Use</w:t>
      </w:r>
    </w:p>
    <w:p>
      <w:pPr>
        <w:spacing w:after="120" w:line="276"/>
        <w:jc w:val="both"/>
      </w:pPr>
      <w:r>
        <w:rPr>
          <w:rFonts w:ascii="Arial" w:cs="Arial" w:eastAsia="Arial" w:hAnsi="Arial"/>
          <w:color w:val="2D3748"/>
          <w:sz w:val="22"/>
          <w:szCs w:val="22"/>
        </w:rPr>
        <w:t xml:space="preserve">NexaCore technology resources are provided primarily for business purposes. Limited personal use is permitted provided it: (a) does not interfere with work productivity; (b) does not consume significant network bandwidth or storage; (c) complies with this policy and all applicable laws; and (d) does not involve inappropriate content.</w:t>
      </w:r>
    </w:p>
    <w:p>
      <w:pPr>
        <w:pStyle w:val="Heading2"/>
        <w:spacing w:after="120" w:before="320"/>
      </w:pPr>
      <w:r>
        <w:rPr>
          <w:rFonts w:ascii="Arial" w:cs="Arial" w:eastAsia="Arial" w:hAnsi="Arial"/>
          <w:b/>
          <w:bCs/>
          <w:color w:val="2E6DB4"/>
          <w:sz w:val="28"/>
          <w:szCs w:val="28"/>
        </w:rPr>
        <w:t xml:space="preserve">9.3  Prohibited Uses</w:t>
      </w:r>
    </w:p>
    <w:p>
      <w:pPr>
        <w:spacing w:after="120" w:line="276"/>
        <w:jc w:val="left"/>
      </w:pPr>
      <w:r>
        <w:rPr>
          <w:rFonts w:ascii="Arial" w:cs="Arial" w:eastAsia="Arial" w:hAnsi="Arial"/>
          <w:color w:val="2D3748"/>
          <w:sz w:val="22"/>
          <w:szCs w:val="22"/>
        </w:rPr>
        <w:t xml:space="preserve">The following uses of NexaCore systems are strictly prohibited:</w:t>
      </w:r>
    </w:p>
    <w:p>
      <w:pPr>
        <w:pStyle w:val="ListParagraph"/>
        <w:numPr>
          <w:ilvl w:val="0"/>
          <w:numId w:val="2"/>
        </w:numPr>
        <w:spacing w:after="80"/>
      </w:pPr>
      <w:r>
        <w:rPr>
          <w:rFonts w:ascii="Arial" w:cs="Arial" w:eastAsia="Arial" w:hAnsi="Arial"/>
          <w:color w:val="2D3748"/>
          <w:sz w:val="22"/>
          <w:szCs w:val="22"/>
        </w:rPr>
        <w:t xml:space="preserve">Accessing, downloading, storing, or transmitting obscene, offensive, or illegal material.</w:t>
      </w:r>
    </w:p>
    <w:p>
      <w:pPr>
        <w:pStyle w:val="ListParagraph"/>
        <w:numPr>
          <w:ilvl w:val="0"/>
          <w:numId w:val="2"/>
        </w:numPr>
        <w:spacing w:after="80"/>
      </w:pPr>
      <w:r>
        <w:rPr>
          <w:rFonts w:ascii="Arial" w:cs="Arial" w:eastAsia="Arial" w:hAnsi="Arial"/>
          <w:color w:val="2D3748"/>
          <w:sz w:val="22"/>
          <w:szCs w:val="22"/>
        </w:rPr>
        <w:t xml:space="preserve">Sharing NexaCore credentials or granting unauthorised system access to any individual.</w:t>
      </w:r>
    </w:p>
    <w:p>
      <w:pPr>
        <w:pStyle w:val="ListParagraph"/>
        <w:numPr>
          <w:ilvl w:val="0"/>
          <w:numId w:val="2"/>
        </w:numPr>
        <w:spacing w:after="80"/>
      </w:pPr>
      <w:r>
        <w:rPr>
          <w:rFonts w:ascii="Arial" w:cs="Arial" w:eastAsia="Arial" w:hAnsi="Arial"/>
          <w:color w:val="2D3748"/>
          <w:sz w:val="22"/>
          <w:szCs w:val="22"/>
        </w:rPr>
        <w:t xml:space="preserve">Circumventing security controls, including installing unauthorised software or using personal VPNs on NexaCore devices.</w:t>
      </w:r>
    </w:p>
    <w:p>
      <w:pPr>
        <w:pStyle w:val="ListParagraph"/>
        <w:numPr>
          <w:ilvl w:val="0"/>
          <w:numId w:val="2"/>
        </w:numPr>
        <w:spacing w:after="80"/>
      </w:pPr>
      <w:r>
        <w:rPr>
          <w:rFonts w:ascii="Arial" w:cs="Arial" w:eastAsia="Arial" w:hAnsi="Arial"/>
          <w:color w:val="2D3748"/>
          <w:sz w:val="22"/>
          <w:szCs w:val="22"/>
        </w:rPr>
        <w:t xml:space="preserve">Using NexaCore systems to conduct personal business activities or to operate a secondary employer or business.</w:t>
      </w:r>
    </w:p>
    <w:p>
      <w:pPr>
        <w:pStyle w:val="ListParagraph"/>
        <w:numPr>
          <w:ilvl w:val="0"/>
          <w:numId w:val="2"/>
        </w:numPr>
        <w:spacing w:after="80"/>
      </w:pPr>
      <w:r>
        <w:rPr>
          <w:rFonts w:ascii="Arial" w:cs="Arial" w:eastAsia="Arial" w:hAnsi="Arial"/>
          <w:color w:val="2D3748"/>
          <w:sz w:val="22"/>
          <w:szCs w:val="22"/>
        </w:rPr>
        <w:t xml:space="preserve">Mining cryptocurrency or running non-authorised background processes on NexaCore hardware.</w:t>
      </w:r>
    </w:p>
    <w:p>
      <w:pPr>
        <w:pStyle w:val="ListParagraph"/>
        <w:numPr>
          <w:ilvl w:val="0"/>
          <w:numId w:val="2"/>
        </w:numPr>
        <w:spacing w:after="80"/>
      </w:pPr>
      <w:r>
        <w:rPr>
          <w:rFonts w:ascii="Arial" w:cs="Arial" w:eastAsia="Arial" w:hAnsi="Arial"/>
          <w:color w:val="2D3748"/>
          <w:sz w:val="22"/>
          <w:szCs w:val="22"/>
        </w:rPr>
        <w:t xml:space="preserve">Attempting to access systems, data, or accounts to which you are not authorised.</w:t>
      </w:r>
    </w:p>
    <w:p>
      <w:pPr>
        <w:pStyle w:val="ListParagraph"/>
        <w:numPr>
          <w:ilvl w:val="0"/>
          <w:numId w:val="2"/>
        </w:numPr>
        <w:spacing w:after="80"/>
      </w:pPr>
      <w:r>
        <w:rPr>
          <w:rFonts w:ascii="Arial" w:cs="Arial" w:eastAsia="Arial" w:hAnsi="Arial"/>
          <w:color w:val="2D3748"/>
          <w:sz w:val="22"/>
          <w:szCs w:val="22"/>
        </w:rPr>
        <w:t xml:space="preserve">Sending bulk unsolicited communications (spam) from NexaCore systems.</w:t>
      </w:r>
    </w:p>
    <w:p>
      <w:pPr>
        <w:pStyle w:val="Heading2"/>
        <w:spacing w:after="120" w:before="320"/>
      </w:pPr>
      <w:r>
        <w:rPr>
          <w:rFonts w:ascii="Arial" w:cs="Arial" w:eastAsia="Arial" w:hAnsi="Arial"/>
          <w:b/>
          <w:bCs/>
          <w:color w:val="2E6DB4"/>
          <w:sz w:val="28"/>
          <w:szCs w:val="28"/>
        </w:rPr>
        <w:t xml:space="preserve">9.4  Data Classification and Handling</w:t>
      </w:r>
    </w:p>
    <w:p>
      <w:pPr>
        <w:spacing w:after="120" w:line="276"/>
        <w:jc w:val="both"/>
      </w:pPr>
      <w:r>
        <w:rPr>
          <w:rFonts w:ascii="Arial" w:cs="Arial" w:eastAsia="Arial" w:hAnsi="Arial"/>
          <w:color w:val="2D3748"/>
          <w:sz w:val="22"/>
          <w:szCs w:val="22"/>
        </w:rPr>
        <w:t xml:space="preserve">NexaCore data is classified as Public, Internal, Confidential, or Restricted. Employees must handle data in accordance with its classification. Confidential and Restricted data must be encrypted at rest and in transit, shared only on a need-to-know basis, and must not be stored on personal devices or unauthorised cloud services. The full Data Classification and Handling Standard is available on the Information Security portal on NexaHub.</w:t>
      </w:r>
    </w:p>
    <w:p>
      <w:pPr>
        <w:pStyle w:val="Heading2"/>
        <w:spacing w:after="120" w:before="320"/>
      </w:pPr>
      <w:r>
        <w:rPr>
          <w:rFonts w:ascii="Arial" w:cs="Arial" w:eastAsia="Arial" w:hAnsi="Arial"/>
          <w:b/>
          <w:bCs/>
          <w:color w:val="2E6DB4"/>
          <w:sz w:val="28"/>
          <w:szCs w:val="28"/>
        </w:rPr>
        <w:t xml:space="preserve">9.5  Password and Access Management</w:t>
      </w:r>
    </w:p>
    <w:p>
      <w:pPr>
        <w:spacing w:after="120" w:line="276"/>
        <w:jc w:val="both"/>
      </w:pPr>
      <w:r>
        <w:rPr>
          <w:rFonts w:ascii="Arial" w:cs="Arial" w:eastAsia="Arial" w:hAnsi="Arial"/>
          <w:color w:val="2D3748"/>
          <w:sz w:val="22"/>
          <w:szCs w:val="22"/>
        </w:rPr>
        <w:t xml:space="preserve">All NexaCore accounts must be protected by strong, unique passwords meeting the minimum complexity requirements set by the IT Security team. Multi-factor authentication (MFA) is mandatory for all corporate accounts and all systems that contain Confidential or Restricted data. Employees must not share passwords under any circumstances and must report any suspected account compromise to the Security Operations Centre immediately at soc@nexacore.com.</w:t>
      </w:r>
    </w:p>
    <w:p>
      <w:pPr>
        <w:pStyle w:val="Heading2"/>
        <w:spacing w:after="120" w:before="320"/>
      </w:pPr>
      <w:r>
        <w:rPr>
          <w:rFonts w:ascii="Arial" w:cs="Arial" w:eastAsia="Arial" w:hAnsi="Arial"/>
          <w:b/>
          <w:bCs/>
          <w:color w:val="2E6DB4"/>
          <w:sz w:val="28"/>
          <w:szCs w:val="28"/>
        </w:rPr>
        <w:t xml:space="preserve">9.6  Device Security</w:t>
      </w:r>
    </w:p>
    <w:p>
      <w:pPr>
        <w:spacing w:after="120" w:line="276"/>
        <w:jc w:val="both"/>
      </w:pPr>
      <w:r>
        <w:rPr>
          <w:rFonts w:ascii="Arial" w:cs="Arial" w:eastAsia="Arial" w:hAnsi="Arial"/>
          <w:color w:val="2D3748"/>
          <w:sz w:val="22"/>
          <w:szCs w:val="22"/>
        </w:rPr>
        <w:t xml:space="preserve">NexaCore devices must have approved endpoint security software installed and must not be altered or jailbroken. Employees must lock their screen when away from their device, report lost or stolen devices to IT within two hours of discovery, and return all devices upon termination of employment. NexaCore reserves the right to remotely wipe any company-managed device if it is lost, stolen, or compromised.</w:t>
      </w:r>
    </w:p>
    <w:p>
      <w:pPr>
        <w:pStyle w:val="Heading2"/>
        <w:spacing w:after="120" w:before="320"/>
      </w:pPr>
      <w:r>
        <w:rPr>
          <w:rFonts w:ascii="Arial" w:cs="Arial" w:eastAsia="Arial" w:hAnsi="Arial"/>
          <w:b/>
          <w:bCs/>
          <w:color w:val="2E6DB4"/>
          <w:sz w:val="28"/>
          <w:szCs w:val="28"/>
        </w:rPr>
        <w:t xml:space="preserve">9.7  Monitoring</w:t>
      </w:r>
    </w:p>
    <w:p>
      <w:pPr>
        <w:spacing w:after="120" w:line="276"/>
        <w:jc w:val="both"/>
      </w:pPr>
      <w:r>
        <w:rPr>
          <w:rFonts w:ascii="Arial" w:cs="Arial" w:eastAsia="Arial" w:hAnsi="Arial"/>
          <w:color w:val="2D3748"/>
          <w:sz w:val="22"/>
          <w:szCs w:val="22"/>
        </w:rPr>
        <w:t xml:space="preserve">To the extent permitted by applicable law, NexaCore reserves the right to monitor, access, review, audit, and disclose all information transmitted, stored, or received using NexaCore systems. Employees should have no expectation of privacy when using NexaCore systems, networks, or equipment for any purpose. Any personal use of company systems is done at the employee's own risk.</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10  —  Employee Responsibilities</w:t>
      </w:r>
    </w:p>
    <w:p>
      <w:pPr>
        <w:pStyle w:val="Heading2"/>
        <w:spacing w:after="120" w:before="320"/>
      </w:pPr>
      <w:r>
        <w:rPr>
          <w:rFonts w:ascii="Arial" w:cs="Arial" w:eastAsia="Arial" w:hAnsi="Arial"/>
          <w:b/>
          <w:bCs/>
          <w:color w:val="2E6DB4"/>
          <w:sz w:val="28"/>
          <w:szCs w:val="28"/>
        </w:rPr>
        <w:t xml:space="preserve">10.1  General Duties</w:t>
      </w:r>
    </w:p>
    <w:p>
      <w:pPr>
        <w:spacing w:after="120" w:line="276"/>
        <w:jc w:val="left"/>
      </w:pPr>
      <w:r>
        <w:rPr>
          <w:rFonts w:ascii="Arial" w:cs="Arial" w:eastAsia="Arial" w:hAnsi="Arial"/>
          <w:color w:val="2D3748"/>
          <w:sz w:val="22"/>
          <w:szCs w:val="22"/>
        </w:rPr>
        <w:t xml:space="preserve">Every NexaCore employee is expected to:</w:t>
      </w:r>
    </w:p>
    <w:p>
      <w:pPr>
        <w:pStyle w:val="ListParagraph"/>
        <w:numPr>
          <w:ilvl w:val="0"/>
          <w:numId w:val="2"/>
        </w:numPr>
        <w:spacing w:after="80"/>
      </w:pPr>
      <w:r>
        <w:rPr>
          <w:rFonts w:ascii="Arial" w:cs="Arial" w:eastAsia="Arial" w:hAnsi="Arial"/>
          <w:color w:val="2D3748"/>
          <w:sz w:val="22"/>
          <w:szCs w:val="22"/>
        </w:rPr>
        <w:t xml:space="preserve">Perform their role with the skill, care, and diligence reasonably expected of a person in that position.</w:t>
      </w:r>
    </w:p>
    <w:p>
      <w:pPr>
        <w:pStyle w:val="ListParagraph"/>
        <w:numPr>
          <w:ilvl w:val="0"/>
          <w:numId w:val="2"/>
        </w:numPr>
        <w:spacing w:after="80"/>
      </w:pPr>
      <w:r>
        <w:rPr>
          <w:rFonts w:ascii="Arial" w:cs="Arial" w:eastAsia="Arial" w:hAnsi="Arial"/>
          <w:color w:val="2D3748"/>
          <w:sz w:val="22"/>
          <w:szCs w:val="22"/>
        </w:rPr>
        <w:t xml:space="preserve">Follow all lawful and reasonable instructions from their manager and leadership team.</w:t>
      </w:r>
    </w:p>
    <w:p>
      <w:pPr>
        <w:pStyle w:val="ListParagraph"/>
        <w:numPr>
          <w:ilvl w:val="0"/>
          <w:numId w:val="2"/>
        </w:numPr>
        <w:spacing w:after="80"/>
      </w:pPr>
      <w:r>
        <w:rPr>
          <w:rFonts w:ascii="Arial" w:cs="Arial" w:eastAsia="Arial" w:hAnsi="Arial"/>
          <w:color w:val="2D3748"/>
          <w:sz w:val="22"/>
          <w:szCs w:val="22"/>
        </w:rPr>
        <w:t xml:space="preserve">Act in the best interests of NexaCore and its customers at all times.</w:t>
      </w:r>
    </w:p>
    <w:p>
      <w:pPr>
        <w:pStyle w:val="ListParagraph"/>
        <w:numPr>
          <w:ilvl w:val="0"/>
          <w:numId w:val="2"/>
        </w:numPr>
        <w:spacing w:after="80"/>
      </w:pPr>
      <w:r>
        <w:rPr>
          <w:rFonts w:ascii="Arial" w:cs="Arial" w:eastAsia="Arial" w:hAnsi="Arial"/>
          <w:color w:val="2D3748"/>
          <w:sz w:val="22"/>
          <w:szCs w:val="22"/>
        </w:rPr>
        <w:t xml:space="preserve">Comply with all policies, procedures, and standards outlined in this Handbook and in supplementary policy documents published on NexaHub.</w:t>
      </w:r>
    </w:p>
    <w:p>
      <w:pPr>
        <w:pStyle w:val="ListParagraph"/>
        <w:numPr>
          <w:ilvl w:val="0"/>
          <w:numId w:val="2"/>
        </w:numPr>
        <w:spacing w:after="80"/>
      </w:pPr>
      <w:r>
        <w:rPr>
          <w:rFonts w:ascii="Arial" w:cs="Arial" w:eastAsia="Arial" w:hAnsi="Arial"/>
          <w:color w:val="2D3748"/>
          <w:sz w:val="22"/>
          <w:szCs w:val="22"/>
        </w:rPr>
        <w:t xml:space="preserve">Maintain up-to-date professional skills relevant to their role, including completion of all mandatory training programmes.</w:t>
      </w:r>
    </w:p>
    <w:p>
      <w:pPr>
        <w:pStyle w:val="ListParagraph"/>
        <w:numPr>
          <w:ilvl w:val="0"/>
          <w:numId w:val="2"/>
        </w:numPr>
        <w:spacing w:after="80"/>
      </w:pPr>
      <w:r>
        <w:rPr>
          <w:rFonts w:ascii="Arial" w:cs="Arial" w:eastAsia="Arial" w:hAnsi="Arial"/>
          <w:color w:val="2D3748"/>
          <w:sz w:val="22"/>
          <w:szCs w:val="22"/>
        </w:rPr>
        <w:t xml:space="preserve">Keep their employment and personal information updated in Workday, including banking details, emergency contacts, and address changes.</w:t>
      </w:r>
    </w:p>
    <w:p>
      <w:pPr>
        <w:pStyle w:val="Heading2"/>
        <w:spacing w:after="120" w:before="320"/>
      </w:pPr>
      <w:r>
        <w:rPr>
          <w:rFonts w:ascii="Arial" w:cs="Arial" w:eastAsia="Arial" w:hAnsi="Arial"/>
          <w:b/>
          <w:bCs/>
          <w:color w:val="2E6DB4"/>
          <w:sz w:val="28"/>
          <w:szCs w:val="28"/>
        </w:rPr>
        <w:t xml:space="preserve">10.2  Mandatory Training</w:t>
      </w:r>
    </w:p>
    <w:p>
      <w:pPr>
        <w:spacing w:after="120" w:line="276"/>
        <w:jc w:val="left"/>
      </w:pPr>
      <w:r>
        <w:rPr>
          <w:rFonts w:ascii="Arial" w:cs="Arial" w:eastAsia="Arial" w:hAnsi="Arial"/>
          <w:color w:val="2D3748"/>
          <w:sz w:val="22"/>
          <w:szCs w:val="22"/>
        </w:rPr>
        <w:t xml:space="preserve">NexaCore requires all employees to complete a set of mandatory annual training courses via the NexaLearn platform. Courses that are mandatory for all employees include:</w:t>
      </w:r>
    </w:p>
    <w:p>
      <w:pPr>
        <w:pStyle w:val="ListParagraph"/>
        <w:numPr>
          <w:ilvl w:val="0"/>
          <w:numId w:val="2"/>
        </w:numPr>
        <w:spacing w:after="80"/>
      </w:pPr>
      <w:r>
        <w:rPr>
          <w:rFonts w:ascii="Arial" w:cs="Arial" w:eastAsia="Arial" w:hAnsi="Arial"/>
          <w:color w:val="2D3748"/>
          <w:sz w:val="22"/>
          <w:szCs w:val="22"/>
        </w:rPr>
        <w:t xml:space="preserve">Information Security Awareness (annual, 60 minutes)</w:t>
      </w:r>
    </w:p>
    <w:p>
      <w:pPr>
        <w:pStyle w:val="ListParagraph"/>
        <w:numPr>
          <w:ilvl w:val="0"/>
          <w:numId w:val="2"/>
        </w:numPr>
        <w:spacing w:after="80"/>
      </w:pPr>
      <w:r>
        <w:rPr>
          <w:rFonts w:ascii="Arial" w:cs="Arial" w:eastAsia="Arial" w:hAnsi="Arial"/>
          <w:color w:val="2D3748"/>
          <w:sz w:val="22"/>
          <w:szCs w:val="22"/>
        </w:rPr>
        <w:t xml:space="preserve">Anti-Harassment and Respectful Workplace (annual, 45 minutes)</w:t>
      </w:r>
    </w:p>
    <w:p>
      <w:pPr>
        <w:pStyle w:val="ListParagraph"/>
        <w:numPr>
          <w:ilvl w:val="0"/>
          <w:numId w:val="2"/>
        </w:numPr>
        <w:spacing w:after="80"/>
      </w:pPr>
      <w:r>
        <w:rPr>
          <w:rFonts w:ascii="Arial" w:cs="Arial" w:eastAsia="Arial" w:hAnsi="Arial"/>
          <w:color w:val="2D3748"/>
          <w:sz w:val="22"/>
          <w:szCs w:val="22"/>
        </w:rPr>
        <w:t xml:space="preserve">Code of Conduct and Ethics (annual, 30 minutes)</w:t>
      </w:r>
    </w:p>
    <w:p>
      <w:pPr>
        <w:pStyle w:val="ListParagraph"/>
        <w:numPr>
          <w:ilvl w:val="0"/>
          <w:numId w:val="2"/>
        </w:numPr>
        <w:spacing w:after="80"/>
      </w:pPr>
      <w:r>
        <w:rPr>
          <w:rFonts w:ascii="Arial" w:cs="Arial" w:eastAsia="Arial" w:hAnsi="Arial"/>
          <w:color w:val="2D3748"/>
          <w:sz w:val="22"/>
          <w:szCs w:val="22"/>
        </w:rPr>
        <w:t xml:space="preserve">Data Privacy Fundamentals (annual, 45 minutes)</w:t>
      </w:r>
    </w:p>
    <w:p>
      <w:pPr>
        <w:pStyle w:val="ListParagraph"/>
        <w:numPr>
          <w:ilvl w:val="0"/>
          <w:numId w:val="2"/>
        </w:numPr>
        <w:spacing w:after="80"/>
      </w:pPr>
      <w:r>
        <w:rPr>
          <w:rFonts w:ascii="Arial" w:cs="Arial" w:eastAsia="Arial" w:hAnsi="Arial"/>
          <w:color w:val="2D3748"/>
          <w:sz w:val="22"/>
          <w:szCs w:val="22"/>
        </w:rPr>
        <w:t xml:space="preserve">Health &amp; Safety Induction (on joining, 60 minutes)</w:t>
      </w:r>
    </w:p>
    <w:p>
      <w:pPr>
        <w:spacing w:after="120" w:line="276"/>
        <w:jc w:val="both"/>
      </w:pPr>
      <w:r>
        <w:rPr>
          <w:rFonts w:ascii="Arial" w:cs="Arial" w:eastAsia="Arial" w:hAnsi="Arial"/>
          <w:color w:val="2D3748"/>
          <w:sz w:val="22"/>
          <w:szCs w:val="22"/>
        </w:rPr>
        <w:t xml:space="preserve">Completion of mandatory training is a condition of continued employment. Employees who fail to complete mandatory training within the designated deadline will be placed on a compliance notice by their manager.</w:t>
      </w:r>
    </w:p>
    <w:p>
      <w:pPr>
        <w:pStyle w:val="Heading2"/>
        <w:spacing w:after="120" w:before="320"/>
      </w:pPr>
      <w:r>
        <w:rPr>
          <w:rFonts w:ascii="Arial" w:cs="Arial" w:eastAsia="Arial" w:hAnsi="Arial"/>
          <w:b/>
          <w:bCs/>
          <w:color w:val="2E6DB4"/>
          <w:sz w:val="28"/>
          <w:szCs w:val="28"/>
        </w:rPr>
        <w:t xml:space="preserve">10.3  Health &amp; Safety Obligations</w:t>
      </w:r>
    </w:p>
    <w:p>
      <w:pPr>
        <w:spacing w:after="120" w:line="276"/>
        <w:jc w:val="both"/>
      </w:pPr>
      <w:r>
        <w:rPr>
          <w:rFonts w:ascii="Arial" w:cs="Arial" w:eastAsia="Arial" w:hAnsi="Arial"/>
          <w:color w:val="2D3748"/>
          <w:sz w:val="22"/>
          <w:szCs w:val="22"/>
        </w:rPr>
        <w:t xml:space="preserve">Employees are responsible for taking reasonable care of their own health and safety and the health and safety of those around them. Employees must report any workplace hazards, accidents, near-misses, or injuries to their manager and to the Facilities team immediately. NexaCore will not retaliate against any employee for raising a genuine health and safety concern.</w:t>
      </w:r>
    </w:p>
    <w:p>
      <w:pPr>
        <w:pStyle w:val="Heading2"/>
        <w:spacing w:after="120" w:before="320"/>
      </w:pPr>
      <w:r>
        <w:rPr>
          <w:rFonts w:ascii="Arial" w:cs="Arial" w:eastAsia="Arial" w:hAnsi="Arial"/>
          <w:b/>
          <w:bCs/>
          <w:color w:val="2E6DB4"/>
          <w:sz w:val="28"/>
          <w:szCs w:val="28"/>
        </w:rPr>
        <w:t xml:space="preserve">10.4  Intellectual Property</w:t>
      </w:r>
    </w:p>
    <w:p>
      <w:pPr>
        <w:spacing w:after="120" w:line="276"/>
        <w:jc w:val="both"/>
      </w:pPr>
      <w:r>
        <w:rPr>
          <w:rFonts w:ascii="Arial" w:cs="Arial" w:eastAsia="Arial" w:hAnsi="Arial"/>
          <w:color w:val="2D3748"/>
          <w:sz w:val="22"/>
          <w:szCs w:val="22"/>
        </w:rPr>
        <w:t xml:space="preserve">All work product, inventions, developments, discoveries, improvements, and creative works produced by an employee in the course of their employment with NexaCore, or using NexaCore resources, are the exclusive intellectual property of NexaCore. Employees must promptly disclose any inventions or developments to their manager and the Legal team. Employees may not use NexaCore's name, logo, patents, trademarks, or other intellectual property without prior written authorisation.</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11  —  Performance Management</w:t>
      </w:r>
    </w:p>
    <w:p>
      <w:pPr>
        <w:pStyle w:val="Heading2"/>
        <w:spacing w:after="120" w:before="320"/>
      </w:pPr>
      <w:r>
        <w:rPr>
          <w:rFonts w:ascii="Arial" w:cs="Arial" w:eastAsia="Arial" w:hAnsi="Arial"/>
          <w:b/>
          <w:bCs/>
          <w:color w:val="2E6DB4"/>
          <w:sz w:val="28"/>
          <w:szCs w:val="28"/>
        </w:rPr>
        <w:t xml:space="preserve">11.1  Philosophy</w:t>
      </w:r>
    </w:p>
    <w:p>
      <w:pPr>
        <w:spacing w:after="120" w:line="276"/>
        <w:jc w:val="both"/>
      </w:pPr>
      <w:r>
        <w:rPr>
          <w:rFonts w:ascii="Arial" w:cs="Arial" w:eastAsia="Arial" w:hAnsi="Arial"/>
          <w:color w:val="2D3748"/>
          <w:sz w:val="22"/>
          <w:szCs w:val="22"/>
        </w:rPr>
        <w:t xml:space="preserve">NexaCore's performance management philosophy is built on continuous dialogue, clear goal-setting, genuine recognition, and honest developmental feedback. We believe that every employee deserves to know exactly how they are performing and what they can do to grow. Performance management is a year-round activity, not an annual event.</w:t>
      </w:r>
    </w:p>
    <w:p>
      <w:pPr>
        <w:pStyle w:val="Heading2"/>
        <w:spacing w:after="120" w:before="320"/>
      </w:pPr>
      <w:r>
        <w:rPr>
          <w:rFonts w:ascii="Arial" w:cs="Arial" w:eastAsia="Arial" w:hAnsi="Arial"/>
          <w:b/>
          <w:bCs/>
          <w:color w:val="2E6DB4"/>
          <w:sz w:val="28"/>
          <w:szCs w:val="28"/>
        </w:rPr>
        <w:t xml:space="preserve">11.2  Goal Setting</w:t>
      </w:r>
    </w:p>
    <w:p>
      <w:pPr>
        <w:spacing w:after="120" w:line="276"/>
        <w:jc w:val="both"/>
      </w:pPr>
      <w:r>
        <w:rPr>
          <w:rFonts w:ascii="Arial" w:cs="Arial" w:eastAsia="Arial" w:hAnsi="Arial"/>
          <w:color w:val="2D3748"/>
          <w:sz w:val="22"/>
          <w:szCs w:val="22"/>
        </w:rPr>
        <w:t xml:space="preserve">At the beginning of each performance year (January), employees and their managers will co-create a set of SMART goals using the OKR (Objectives and Key Results) framework. Goals must align with the employee's team objectives and with NexaCore's annual company priorities. Goals are documented in Workday and remain visible to both employee and manager throughout the year. Mid-year reviews provide a structured opportunity to adjust goals in light of changing business circumstances.</w:t>
      </w:r>
    </w:p>
    <w:p>
      <w:pPr>
        <w:pStyle w:val="Heading2"/>
        <w:spacing w:after="120" w:before="320"/>
      </w:pPr>
      <w:r>
        <w:rPr>
          <w:rFonts w:ascii="Arial" w:cs="Arial" w:eastAsia="Arial" w:hAnsi="Arial"/>
          <w:b/>
          <w:bCs/>
          <w:color w:val="2E6DB4"/>
          <w:sz w:val="28"/>
          <w:szCs w:val="28"/>
        </w:rPr>
        <w:t xml:space="preserve">11.3  Regular Check-ins</w:t>
      </w:r>
    </w:p>
    <w:p>
      <w:pPr>
        <w:spacing w:after="120" w:line="276"/>
        <w:jc w:val="both"/>
      </w:pPr>
      <w:r>
        <w:rPr>
          <w:rFonts w:ascii="Arial" w:cs="Arial" w:eastAsia="Arial" w:hAnsi="Arial"/>
          <w:color w:val="2D3748"/>
          <w:sz w:val="22"/>
          <w:szCs w:val="22"/>
        </w:rPr>
        <w:t xml:space="preserve">Managers and employees are expected to hold structured 1:1 check-in meetings at a minimum of bi-weekly frequency. Check-in topics should include progress against goals, blockers, wellbeing, career development, and any immediate operational needs. A shared check-in agenda template is available on NexaHub.</w:t>
      </w:r>
    </w:p>
    <w:p>
      <w:pPr>
        <w:pStyle w:val="Heading2"/>
        <w:spacing w:after="120" w:before="320"/>
      </w:pPr>
      <w:r>
        <w:rPr>
          <w:rFonts w:ascii="Arial" w:cs="Arial" w:eastAsia="Arial" w:hAnsi="Arial"/>
          <w:b/>
          <w:bCs/>
          <w:color w:val="2E6DB4"/>
          <w:sz w:val="28"/>
          <w:szCs w:val="28"/>
        </w:rPr>
        <w:t xml:space="preserve">11.4  Mid-Year Review</w:t>
      </w:r>
    </w:p>
    <w:p>
      <w:pPr>
        <w:spacing w:after="120" w:line="276"/>
        <w:jc w:val="both"/>
      </w:pPr>
      <w:r>
        <w:rPr>
          <w:rFonts w:ascii="Arial" w:cs="Arial" w:eastAsia="Arial" w:hAnsi="Arial"/>
          <w:color w:val="2D3748"/>
          <w:sz w:val="22"/>
          <w:szCs w:val="22"/>
        </w:rPr>
        <w:t xml:space="preserve">NexaCore conducts a formal mid-year review in July. The mid-year review includes: (i) a self-assessment by the employee; (ii) a written assessment by the manager; and (iii) a structured conversation covering performance to date, development areas, and any goal revisions needed for the second half of the year. Mid-year ratings are advisory, not final.</w:t>
      </w:r>
    </w:p>
    <w:p>
      <w:pPr>
        <w:pStyle w:val="Heading2"/>
        <w:spacing w:after="120" w:before="320"/>
      </w:pPr>
      <w:r>
        <w:rPr>
          <w:rFonts w:ascii="Arial" w:cs="Arial" w:eastAsia="Arial" w:hAnsi="Arial"/>
          <w:b/>
          <w:bCs/>
          <w:color w:val="2E6DB4"/>
          <w:sz w:val="28"/>
          <w:szCs w:val="28"/>
        </w:rPr>
        <w:t xml:space="preserve">11.5  Annual Performance Review</w:t>
      </w:r>
    </w:p>
    <w:p>
      <w:pPr>
        <w:spacing w:after="120" w:line="276"/>
        <w:jc w:val="left"/>
      </w:pPr>
      <w:r>
        <w:rPr>
          <w:rFonts w:ascii="Arial" w:cs="Arial" w:eastAsia="Arial" w:hAnsi="Arial"/>
          <w:color w:val="2D3748"/>
          <w:sz w:val="22"/>
          <w:szCs w:val="22"/>
        </w:rPr>
        <w:t xml:space="preserve">The annual performance review cycle runs from November to December, with calibration completed by the end of January. Employees receive a final performance rating on a five-point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Rating</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Description</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5 — Exceptional</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Consistently and significantly exceeded all goals; role model of NexaCore values.</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4 — Exceeds Expectations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Exceeded most goals and demonstrated strong NexaCore values in action.</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3 — Meets Expectations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Achieved all core goals and demonstrated NexaCore values consistently.</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2 — Partially Meets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Met some goals but fell short on others; improvement required in specific areas.</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1 — Below Expectations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Did not meet most goals; a formal performance improvement plan will be initiated.</w:t>
            </w:r>
          </w:p>
        </w:tc>
      </w:tr>
    </w:tbl>
    <w:p>
      <w:pPr>
        <w:spacing w:after="0" w:before="160"/>
      </w:pPr>
      <w:r>
        <w:t xml:space="preserve"/>
      </w:r>
    </w:p>
    <w:p>
      <w:pPr>
        <w:pStyle w:val="Heading2"/>
        <w:spacing w:after="120" w:before="320"/>
      </w:pPr>
      <w:r>
        <w:rPr>
          <w:rFonts w:ascii="Arial" w:cs="Arial" w:eastAsia="Arial" w:hAnsi="Arial"/>
          <w:b/>
          <w:bCs/>
          <w:color w:val="2E6DB4"/>
          <w:sz w:val="28"/>
          <w:szCs w:val="28"/>
        </w:rPr>
        <w:t xml:space="preserve">11.6  Performance Improvement Plans</w:t>
      </w:r>
    </w:p>
    <w:p>
      <w:pPr>
        <w:spacing w:after="120" w:line="276"/>
        <w:jc w:val="both"/>
      </w:pPr>
      <w:r>
        <w:rPr>
          <w:rFonts w:ascii="Arial" w:cs="Arial" w:eastAsia="Arial" w:hAnsi="Arial"/>
          <w:color w:val="2D3748"/>
          <w:sz w:val="22"/>
          <w:szCs w:val="22"/>
        </w:rPr>
        <w:t xml:space="preserve">Where an employee's performance falls significantly below the standard expected for their role, the manager and People Partner will develop a written Performance Improvement Plan (PIP). A PIP sets out specific performance gaps, measurable targets, a support structure, and a defined review period (typically 60 to 90 days). The purpose of a PIP is to provide a structured, supported opportunity for improvement. Where performance does not improve sufficiently during a PIP, further action may be taken under the Disciplinary Policy.</w:t>
      </w:r>
    </w:p>
    <w:p>
      <w:pPr>
        <w:pStyle w:val="Heading2"/>
        <w:spacing w:after="120" w:before="320"/>
      </w:pPr>
      <w:r>
        <w:rPr>
          <w:rFonts w:ascii="Arial" w:cs="Arial" w:eastAsia="Arial" w:hAnsi="Arial"/>
          <w:b/>
          <w:bCs/>
          <w:color w:val="2E6DB4"/>
          <w:sz w:val="28"/>
          <w:szCs w:val="28"/>
        </w:rPr>
        <w:t xml:space="preserve">11.7  Compensation Reviews</w:t>
      </w:r>
    </w:p>
    <w:p>
      <w:pPr>
        <w:spacing w:after="120" w:line="276"/>
        <w:jc w:val="both"/>
      </w:pPr>
      <w:r>
        <w:rPr>
          <w:rFonts w:ascii="Arial" w:cs="Arial" w:eastAsia="Arial" w:hAnsi="Arial"/>
          <w:color w:val="2D3748"/>
          <w:sz w:val="22"/>
          <w:szCs w:val="22"/>
        </w:rPr>
        <w:t xml:space="preserve">Annual salary reviews are linked to performance ratings and take effect on April 1 each year. Eligibility requires a minimum of six months of completed employment before the review date. Merit increase guidelines are communicated to managers by the Total Rewards team in February, subject to business financial performance and applicable legal requirements.</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12  —  Disciplinary Actions</w:t>
      </w:r>
    </w:p>
    <w:p>
      <w:pPr>
        <w:pStyle w:val="Heading2"/>
        <w:spacing w:after="120" w:before="320"/>
      </w:pPr>
      <w:r>
        <w:rPr>
          <w:rFonts w:ascii="Arial" w:cs="Arial" w:eastAsia="Arial" w:hAnsi="Arial"/>
          <w:b/>
          <w:bCs/>
          <w:color w:val="2E6DB4"/>
          <w:sz w:val="28"/>
          <w:szCs w:val="28"/>
        </w:rPr>
        <w:t xml:space="preserve">12.1  Purpose</w:t>
      </w:r>
    </w:p>
    <w:p>
      <w:pPr>
        <w:spacing w:after="120" w:line="276"/>
        <w:jc w:val="both"/>
      </w:pPr>
      <w:r>
        <w:rPr>
          <w:rFonts w:ascii="Arial" w:cs="Arial" w:eastAsia="Arial" w:hAnsi="Arial"/>
          <w:color w:val="2D3748"/>
          <w:sz w:val="22"/>
          <w:szCs w:val="22"/>
        </w:rPr>
        <w:t xml:space="preserve">The purpose of NexaCore's Disciplinary Policy is to address conduct and performance concerns in a fair, consistent, and transparent manner. NexaCore's approach is corrective where possible — the aim is to help employees meet the required standards of conduct and performance, not simply to impose sanctions. However, some conduct is so serious that immediate termination is warranted.</w:t>
      </w:r>
    </w:p>
    <w:p>
      <w:pPr>
        <w:pStyle w:val="Heading2"/>
        <w:spacing w:after="120" w:before="320"/>
      </w:pPr>
      <w:r>
        <w:rPr>
          <w:rFonts w:ascii="Arial" w:cs="Arial" w:eastAsia="Arial" w:hAnsi="Arial"/>
          <w:b/>
          <w:bCs/>
          <w:color w:val="2E6DB4"/>
          <w:sz w:val="28"/>
          <w:szCs w:val="28"/>
        </w:rPr>
        <w:t xml:space="preserve">12.2  Disciplinary Process</w:t>
      </w:r>
    </w:p>
    <w:p>
      <w:pPr>
        <w:spacing w:after="120" w:line="276"/>
        <w:jc w:val="both"/>
      </w:pPr>
      <w:r>
        <w:rPr>
          <w:rFonts w:ascii="Arial" w:cs="Arial" w:eastAsia="Arial" w:hAnsi="Arial"/>
          <w:color w:val="2D3748"/>
          <w:sz w:val="22"/>
          <w:szCs w:val="22"/>
        </w:rPr>
        <w:t xml:space="preserve">The standard disciplinary process consists of the following steps, although NexaCore reserves the right to begin at any step depending on the severity of the conduct:</w:t>
      </w:r>
    </w:p>
    <w:p>
      <w:pPr>
        <w:spacing w:after="0" w:before="80"/>
      </w:pPr>
      <w:r>
        <w:t xml:space="preserve"/>
      </w:r>
    </w:p>
    <w:p>
      <w:pPr>
        <w:pStyle w:val="ListParagraph"/>
        <w:numPr>
          <w:ilvl w:val="0"/>
          <w:numId w:val="2"/>
        </w:numPr>
        <w:spacing w:after="80"/>
      </w:pPr>
      <w:r>
        <w:rPr>
          <w:rFonts w:ascii="Arial" w:cs="Arial" w:eastAsia="Arial" w:hAnsi="Arial"/>
          <w:color w:val="2D3748"/>
          <w:sz w:val="22"/>
          <w:szCs w:val="22"/>
        </w:rPr>
        <w:t xml:space="preserve">Step 1 — Informal Discussion: For minor issues, the manager will have a private, documented conversation with the employee outlining the concern and the expected improvement.</w:t>
      </w:r>
    </w:p>
    <w:p>
      <w:pPr>
        <w:pStyle w:val="ListParagraph"/>
        <w:numPr>
          <w:ilvl w:val="0"/>
          <w:numId w:val="2"/>
        </w:numPr>
        <w:spacing w:after="80"/>
      </w:pPr>
      <w:r>
        <w:rPr>
          <w:rFonts w:ascii="Arial" w:cs="Arial" w:eastAsia="Arial" w:hAnsi="Arial"/>
          <w:color w:val="2D3748"/>
          <w:sz w:val="22"/>
          <w:szCs w:val="22"/>
        </w:rPr>
        <w:t xml:space="preserve">Step 2 — Written Warning: A formal written warning will be issued where informal discussions have not produced the required improvement, or where the conduct is sufficiently serious. A written warning remains on file for 12 months.</w:t>
      </w:r>
    </w:p>
    <w:p>
      <w:pPr>
        <w:pStyle w:val="ListParagraph"/>
        <w:numPr>
          <w:ilvl w:val="0"/>
          <w:numId w:val="2"/>
        </w:numPr>
        <w:spacing w:after="80"/>
      </w:pPr>
      <w:r>
        <w:rPr>
          <w:rFonts w:ascii="Arial" w:cs="Arial" w:eastAsia="Arial" w:hAnsi="Arial"/>
          <w:color w:val="2D3748"/>
          <w:sz w:val="22"/>
          <w:szCs w:val="22"/>
        </w:rPr>
        <w:t xml:space="preserve">Step 3 — Final Written Warning: A final written warning is issued for repeated or more serious offences. A final written warning remains on file for 24 months.</w:t>
      </w:r>
    </w:p>
    <w:p>
      <w:pPr>
        <w:pStyle w:val="ListParagraph"/>
        <w:numPr>
          <w:ilvl w:val="0"/>
          <w:numId w:val="2"/>
        </w:numPr>
        <w:spacing w:after="80"/>
      </w:pPr>
      <w:r>
        <w:rPr>
          <w:rFonts w:ascii="Arial" w:cs="Arial" w:eastAsia="Arial" w:hAnsi="Arial"/>
          <w:color w:val="2D3748"/>
          <w:sz w:val="22"/>
          <w:szCs w:val="22"/>
        </w:rPr>
        <w:t xml:space="preserve">Step 4 — Termination: Where conduct does not improve following a final written warning, or where the offence is sufficiently serious, employment may be terminated.</w:t>
      </w:r>
    </w:p>
    <w:p>
      <w:pPr>
        <w:pStyle w:val="Heading2"/>
        <w:spacing w:after="120" w:before="320"/>
      </w:pPr>
      <w:r>
        <w:rPr>
          <w:rFonts w:ascii="Arial" w:cs="Arial" w:eastAsia="Arial" w:hAnsi="Arial"/>
          <w:b/>
          <w:bCs/>
          <w:color w:val="2E6DB4"/>
          <w:sz w:val="28"/>
          <w:szCs w:val="28"/>
        </w:rPr>
        <w:t xml:space="preserve">12.3  Gross Misconduct</w:t>
      </w:r>
    </w:p>
    <w:p>
      <w:pPr>
        <w:spacing w:after="120" w:line="276"/>
        <w:jc w:val="both"/>
      </w:pPr>
      <w:r>
        <w:rPr>
          <w:rFonts w:ascii="Arial" w:cs="Arial" w:eastAsia="Arial" w:hAnsi="Arial"/>
          <w:color w:val="2D3748"/>
          <w:sz w:val="22"/>
          <w:szCs w:val="22"/>
        </w:rPr>
        <w:t xml:space="preserve">Gross misconduct is conduct that is so serious that it fundamentally breaches the employment relationship. In cases of suspected gross misconduct, NexaCore may suspend the employee on full pay while an investigation is conducted. If the investigation confirms the misconduct, NexaCore may terminate employment without notice or payment in lieu of notice.</w:t>
      </w:r>
    </w:p>
    <w:p>
      <w:pPr>
        <w:spacing w:after="120" w:line="276"/>
        <w:jc w:val="left"/>
      </w:pPr>
      <w:r>
        <w:rPr>
          <w:rFonts w:ascii="Arial" w:cs="Arial" w:eastAsia="Arial" w:hAnsi="Arial"/>
          <w:color w:val="2D3748"/>
          <w:sz w:val="22"/>
          <w:szCs w:val="22"/>
        </w:rPr>
        <w:t xml:space="preserve">Examples of conduct that may constitute gross misconduct include (but are not limited to):</w:t>
      </w:r>
    </w:p>
    <w:p>
      <w:pPr>
        <w:pStyle w:val="ListParagraph"/>
        <w:numPr>
          <w:ilvl w:val="0"/>
          <w:numId w:val="2"/>
        </w:numPr>
        <w:spacing w:after="80"/>
      </w:pPr>
      <w:r>
        <w:rPr>
          <w:rFonts w:ascii="Arial" w:cs="Arial" w:eastAsia="Arial" w:hAnsi="Arial"/>
          <w:color w:val="2D3748"/>
          <w:sz w:val="22"/>
          <w:szCs w:val="22"/>
        </w:rPr>
        <w:t xml:space="preserve">Fraud, theft, or misappropriation of company or client assets</w:t>
      </w:r>
    </w:p>
    <w:p>
      <w:pPr>
        <w:pStyle w:val="ListParagraph"/>
        <w:numPr>
          <w:ilvl w:val="0"/>
          <w:numId w:val="2"/>
        </w:numPr>
        <w:spacing w:after="80"/>
      </w:pPr>
      <w:r>
        <w:rPr>
          <w:rFonts w:ascii="Arial" w:cs="Arial" w:eastAsia="Arial" w:hAnsi="Arial"/>
          <w:color w:val="2D3748"/>
          <w:sz w:val="22"/>
          <w:szCs w:val="22"/>
        </w:rPr>
        <w:t xml:space="preserve">Falsification of business records or expenses</w:t>
      </w:r>
    </w:p>
    <w:p>
      <w:pPr>
        <w:pStyle w:val="ListParagraph"/>
        <w:numPr>
          <w:ilvl w:val="0"/>
          <w:numId w:val="2"/>
        </w:numPr>
        <w:spacing w:after="80"/>
      </w:pPr>
      <w:r>
        <w:rPr>
          <w:rFonts w:ascii="Arial" w:cs="Arial" w:eastAsia="Arial" w:hAnsi="Arial"/>
          <w:color w:val="2D3748"/>
          <w:sz w:val="22"/>
          <w:szCs w:val="22"/>
        </w:rPr>
        <w:t xml:space="preserve">Physical assault, threats of violence, or intimidating behaviour</w:t>
      </w:r>
    </w:p>
    <w:p>
      <w:pPr>
        <w:pStyle w:val="ListParagraph"/>
        <w:numPr>
          <w:ilvl w:val="0"/>
          <w:numId w:val="2"/>
        </w:numPr>
        <w:spacing w:after="80"/>
      </w:pPr>
      <w:r>
        <w:rPr>
          <w:rFonts w:ascii="Arial" w:cs="Arial" w:eastAsia="Arial" w:hAnsi="Arial"/>
          <w:color w:val="2D3748"/>
          <w:sz w:val="22"/>
          <w:szCs w:val="22"/>
        </w:rPr>
        <w:t xml:space="preserve">Serious harassment, discrimination, or bullying</w:t>
      </w:r>
    </w:p>
    <w:p>
      <w:pPr>
        <w:pStyle w:val="ListParagraph"/>
        <w:numPr>
          <w:ilvl w:val="0"/>
          <w:numId w:val="2"/>
        </w:numPr>
        <w:spacing w:after="80"/>
      </w:pPr>
      <w:r>
        <w:rPr>
          <w:rFonts w:ascii="Arial" w:cs="Arial" w:eastAsia="Arial" w:hAnsi="Arial"/>
          <w:color w:val="2D3748"/>
          <w:sz w:val="22"/>
          <w:szCs w:val="22"/>
        </w:rPr>
        <w:t xml:space="preserve">Breach of confidentiality or trade secret protection obligations</w:t>
      </w:r>
    </w:p>
    <w:p>
      <w:pPr>
        <w:pStyle w:val="ListParagraph"/>
        <w:numPr>
          <w:ilvl w:val="0"/>
          <w:numId w:val="2"/>
        </w:numPr>
        <w:spacing w:after="80"/>
      </w:pPr>
      <w:r>
        <w:rPr>
          <w:rFonts w:ascii="Arial" w:cs="Arial" w:eastAsia="Arial" w:hAnsi="Arial"/>
          <w:color w:val="2D3748"/>
          <w:sz w:val="22"/>
          <w:szCs w:val="22"/>
        </w:rPr>
        <w:t xml:space="preserve">Serious violation of the Information Security Policy</w:t>
      </w:r>
    </w:p>
    <w:p>
      <w:pPr>
        <w:pStyle w:val="ListParagraph"/>
        <w:numPr>
          <w:ilvl w:val="0"/>
          <w:numId w:val="2"/>
        </w:numPr>
        <w:spacing w:after="80"/>
      </w:pPr>
      <w:r>
        <w:rPr>
          <w:rFonts w:ascii="Arial" w:cs="Arial" w:eastAsia="Arial" w:hAnsi="Arial"/>
          <w:color w:val="2D3748"/>
          <w:sz w:val="22"/>
          <w:szCs w:val="22"/>
        </w:rPr>
        <w:t xml:space="preserve">Being under the influence of alcohol or illegal substances while at work</w:t>
      </w:r>
    </w:p>
    <w:p>
      <w:pPr>
        <w:pStyle w:val="ListParagraph"/>
        <w:numPr>
          <w:ilvl w:val="0"/>
          <w:numId w:val="2"/>
        </w:numPr>
        <w:spacing w:after="80"/>
      </w:pPr>
      <w:r>
        <w:rPr>
          <w:rFonts w:ascii="Arial" w:cs="Arial" w:eastAsia="Arial" w:hAnsi="Arial"/>
          <w:color w:val="2D3748"/>
          <w:sz w:val="22"/>
          <w:szCs w:val="22"/>
        </w:rPr>
        <w:t xml:space="preserve">Deliberate destruction of company property</w:t>
      </w:r>
    </w:p>
    <w:p>
      <w:pPr>
        <w:pStyle w:val="Heading2"/>
        <w:spacing w:after="120" w:before="320"/>
      </w:pPr>
      <w:r>
        <w:rPr>
          <w:rFonts w:ascii="Arial" w:cs="Arial" w:eastAsia="Arial" w:hAnsi="Arial"/>
          <w:b/>
          <w:bCs/>
          <w:color w:val="2E6DB4"/>
          <w:sz w:val="28"/>
          <w:szCs w:val="28"/>
        </w:rPr>
        <w:t xml:space="preserve">12.4  Right to Representation</w:t>
      </w:r>
    </w:p>
    <w:p>
      <w:pPr>
        <w:spacing w:after="120" w:line="276"/>
        <w:jc w:val="both"/>
      </w:pPr>
      <w:r>
        <w:rPr>
          <w:rFonts w:ascii="Arial" w:cs="Arial" w:eastAsia="Arial" w:hAnsi="Arial"/>
          <w:color w:val="2D3748"/>
          <w:sz w:val="22"/>
          <w:szCs w:val="22"/>
        </w:rPr>
        <w:t xml:space="preserve">At any formal disciplinary hearing, the employee has the right to be accompanied by a workplace colleague or a trade union representative (where applicable). The employee may not be represented by a legal counsel in internal hearings unless NexaCore agrees otherwise or applicable law requires it.</w:t>
      </w:r>
    </w:p>
    <w:p>
      <w:pPr>
        <w:pStyle w:val="Heading2"/>
        <w:spacing w:after="120" w:before="320"/>
      </w:pPr>
      <w:r>
        <w:rPr>
          <w:rFonts w:ascii="Arial" w:cs="Arial" w:eastAsia="Arial" w:hAnsi="Arial"/>
          <w:b/>
          <w:bCs/>
          <w:color w:val="2E6DB4"/>
          <w:sz w:val="28"/>
          <w:szCs w:val="28"/>
        </w:rPr>
        <w:t xml:space="preserve">12.5  Appeals</w:t>
      </w:r>
    </w:p>
    <w:p>
      <w:pPr>
        <w:spacing w:after="120" w:line="276"/>
        <w:jc w:val="both"/>
      </w:pPr>
      <w:r>
        <w:rPr>
          <w:rFonts w:ascii="Arial" w:cs="Arial" w:eastAsia="Arial" w:hAnsi="Arial"/>
          <w:color w:val="2D3748"/>
          <w:sz w:val="22"/>
          <w:szCs w:val="22"/>
        </w:rPr>
        <w:t xml:space="preserve">An employee who receives a disciplinary sanction may appeal within 10 business days of receiving the outcome in writing. Appeals must be submitted in writing to the People &amp; Culture team and should set out the grounds for appeal clearly. Appeals will be heard by a manager of a higher level than the original decision-maker who was not involved in the initial investigation.</w:t>
      </w:r>
    </w:p>
    <w:p>
      <w:pPr>
        <w:pBdr>
          <w:bottom w:val="single" w:color="D0D5DD" w:sz="2" w:space="1"/>
        </w:pBdr>
        <w:spacing w:after="240" w:before="240"/>
      </w:pPr>
      <w:r>
        <w:t xml:space="preserve"/>
      </w:r>
    </w:p>
    <w:p>
      <w:r>
        <w:br w:type="page"/>
      </w:r>
    </w:p>
    <w:p>
      <w:pPr>
        <w:pStyle w:val="Heading1"/>
        <w:pBdr>
          <w:bottom w:val="single" w:color="1B3A6B" w:sz="8" w:space="6"/>
        </w:pBdr>
        <w:spacing w:after="160" w:before="480"/>
      </w:pPr>
      <w:r>
        <w:rPr>
          <w:rFonts w:ascii="Arial" w:cs="Arial" w:eastAsia="Arial" w:hAnsi="Arial"/>
          <w:b/>
          <w:bCs/>
          <w:color w:val="1B3A6B"/>
          <w:sz w:val="36"/>
          <w:szCs w:val="36"/>
        </w:rPr>
        <w:t xml:space="preserve">Section 13  —  Remote Work Guidelines</w:t>
      </w:r>
    </w:p>
    <w:p>
      <w:pPr>
        <w:pStyle w:val="Heading2"/>
        <w:spacing w:after="120" w:before="320"/>
      </w:pPr>
      <w:r>
        <w:rPr>
          <w:rFonts w:ascii="Arial" w:cs="Arial" w:eastAsia="Arial" w:hAnsi="Arial"/>
          <w:b/>
          <w:bCs/>
          <w:color w:val="2E6DB4"/>
          <w:sz w:val="28"/>
          <w:szCs w:val="28"/>
        </w:rPr>
        <w:t xml:space="preserve">13.1  Overview</w:t>
      </w:r>
    </w:p>
    <w:p>
      <w:pPr>
        <w:spacing w:after="120" w:line="276"/>
        <w:jc w:val="both"/>
      </w:pPr>
      <w:r>
        <w:rPr>
          <w:rFonts w:ascii="Arial" w:cs="Arial" w:eastAsia="Arial" w:hAnsi="Arial"/>
          <w:color w:val="2D3748"/>
          <w:sz w:val="22"/>
          <w:szCs w:val="22"/>
        </w:rPr>
        <w:t xml:space="preserve">Remote work is a trusted arrangement and a significant benefit of employment at NexaCore. The effectiveness of remote work depends on employees maintaining a professional environment, reliable connectivity, strong communication habits, and a clear mental separation between work and personal life. These guidelines apply to all employees working remotely, whether full-time remote or on hybrid remote days.</w:t>
      </w:r>
    </w:p>
    <w:p>
      <w:pPr>
        <w:pStyle w:val="Heading2"/>
        <w:spacing w:after="120" w:before="320"/>
      </w:pPr>
      <w:r>
        <w:rPr>
          <w:rFonts w:ascii="Arial" w:cs="Arial" w:eastAsia="Arial" w:hAnsi="Arial"/>
          <w:b/>
          <w:bCs/>
          <w:color w:val="2E6DB4"/>
          <w:sz w:val="28"/>
          <w:szCs w:val="28"/>
        </w:rPr>
        <w:t xml:space="preserve">13.2  Designated Work Environment</w:t>
      </w:r>
    </w:p>
    <w:p>
      <w:pPr>
        <w:spacing w:after="120" w:line="276"/>
        <w:jc w:val="left"/>
      </w:pPr>
      <w:r>
        <w:rPr>
          <w:rFonts w:ascii="Arial" w:cs="Arial" w:eastAsia="Arial" w:hAnsi="Arial"/>
          <w:color w:val="2D3748"/>
          <w:sz w:val="22"/>
          <w:szCs w:val="22"/>
        </w:rPr>
        <w:t xml:space="preserve">Employees working remotely must have access to a dedicated, safe, and ergonomic workspace with:</w:t>
      </w:r>
    </w:p>
    <w:p>
      <w:pPr>
        <w:pStyle w:val="ListParagraph"/>
        <w:numPr>
          <w:ilvl w:val="0"/>
          <w:numId w:val="2"/>
        </w:numPr>
        <w:spacing w:after="80"/>
      </w:pPr>
      <w:r>
        <w:rPr>
          <w:rFonts w:ascii="Arial" w:cs="Arial" w:eastAsia="Arial" w:hAnsi="Arial"/>
          <w:color w:val="2D3748"/>
          <w:sz w:val="22"/>
          <w:szCs w:val="22"/>
        </w:rPr>
        <w:t xml:space="preserve">A stable broadband internet connection with a minimum speed of 25 Mbps download and 10 Mbps upload.</w:t>
      </w:r>
    </w:p>
    <w:p>
      <w:pPr>
        <w:pStyle w:val="ListParagraph"/>
        <w:numPr>
          <w:ilvl w:val="0"/>
          <w:numId w:val="2"/>
        </w:numPr>
        <w:spacing w:after="80"/>
      </w:pPr>
      <w:r>
        <w:rPr>
          <w:rFonts w:ascii="Arial" w:cs="Arial" w:eastAsia="Arial" w:hAnsi="Arial"/>
          <w:color w:val="2D3748"/>
          <w:sz w:val="22"/>
          <w:szCs w:val="22"/>
        </w:rPr>
        <w:t xml:space="preserve">A quiet environment suitable for professional video calls without excessive background noise or visual distractions.</w:t>
      </w:r>
    </w:p>
    <w:p>
      <w:pPr>
        <w:pStyle w:val="ListParagraph"/>
        <w:numPr>
          <w:ilvl w:val="0"/>
          <w:numId w:val="2"/>
        </w:numPr>
        <w:spacing w:after="80"/>
      </w:pPr>
      <w:r>
        <w:rPr>
          <w:rFonts w:ascii="Arial" w:cs="Arial" w:eastAsia="Arial" w:hAnsi="Arial"/>
          <w:color w:val="2D3748"/>
          <w:sz w:val="22"/>
          <w:szCs w:val="22"/>
        </w:rPr>
        <w:t xml:space="preserve">Adequate lighting and a suitable desk and chair that support healthy posture.</w:t>
      </w:r>
    </w:p>
    <w:p>
      <w:pPr>
        <w:pStyle w:val="ListParagraph"/>
        <w:numPr>
          <w:ilvl w:val="0"/>
          <w:numId w:val="2"/>
        </w:numPr>
        <w:spacing w:after="80"/>
      </w:pPr>
      <w:r>
        <w:rPr>
          <w:rFonts w:ascii="Arial" w:cs="Arial" w:eastAsia="Arial" w:hAnsi="Arial"/>
          <w:color w:val="2D3748"/>
          <w:sz w:val="22"/>
          <w:szCs w:val="22"/>
        </w:rPr>
        <w:t xml:space="preserve">A private space where confidential business conversations cannot be overheard by non-NexaCore individuals.</w:t>
      </w:r>
    </w:p>
    <w:p>
      <w:pPr>
        <w:spacing w:after="120" w:line="276"/>
        <w:jc w:val="both"/>
      </w:pPr>
      <w:r>
        <w:rPr>
          <w:rFonts w:ascii="Arial" w:cs="Arial" w:eastAsia="Arial" w:hAnsi="Arial"/>
          <w:color w:val="2D3748"/>
          <w:sz w:val="22"/>
          <w:szCs w:val="22"/>
        </w:rPr>
        <w:t xml:space="preserve">Employees working from co-working spaces or cafes must use a VPN at all times and must not conduct confidential calls in public areas.</w:t>
      </w:r>
    </w:p>
    <w:p>
      <w:pPr>
        <w:pStyle w:val="Heading2"/>
        <w:spacing w:after="120" w:before="320"/>
      </w:pPr>
      <w:r>
        <w:rPr>
          <w:rFonts w:ascii="Arial" w:cs="Arial" w:eastAsia="Arial" w:hAnsi="Arial"/>
          <w:b/>
          <w:bCs/>
          <w:color w:val="2E6DB4"/>
          <w:sz w:val="28"/>
          <w:szCs w:val="28"/>
        </w:rPr>
        <w:t xml:space="preserve">13.3  Availability and Responsiveness</w:t>
      </w:r>
    </w:p>
    <w:p>
      <w:pPr>
        <w:spacing w:after="120" w:line="276"/>
        <w:jc w:val="both"/>
      </w:pPr>
      <w:r>
        <w:rPr>
          <w:rFonts w:ascii="Arial" w:cs="Arial" w:eastAsia="Arial" w:hAnsi="Arial"/>
          <w:color w:val="2D3748"/>
          <w:sz w:val="22"/>
          <w:szCs w:val="22"/>
        </w:rPr>
        <w:t xml:space="preserve">Remote employees must be reachable on Microsoft Teams and email during core business hours in their time zone. Responses to messages and emails from teammates are expected within two hours during core hours. Employees should update their Teams status to accurately reflect their availability and should set an Out of Office message when taking leave or are otherwise unavailable.</w:t>
      </w:r>
    </w:p>
    <w:p>
      <w:pPr>
        <w:pStyle w:val="Heading2"/>
        <w:spacing w:after="120" w:before="320"/>
      </w:pPr>
      <w:r>
        <w:rPr>
          <w:rFonts w:ascii="Arial" w:cs="Arial" w:eastAsia="Arial" w:hAnsi="Arial"/>
          <w:b/>
          <w:bCs/>
          <w:color w:val="2E6DB4"/>
          <w:sz w:val="28"/>
          <w:szCs w:val="28"/>
        </w:rPr>
        <w:t xml:space="preserve">13.4  Professional Standards on Video Calls</w:t>
      </w:r>
    </w:p>
    <w:p>
      <w:pPr>
        <w:spacing w:after="120" w:line="276"/>
        <w:jc w:val="left"/>
      </w:pPr>
      <w:r>
        <w:rPr>
          <w:rFonts w:ascii="Arial" w:cs="Arial" w:eastAsia="Arial" w:hAnsi="Arial"/>
          <w:color w:val="2D3748"/>
          <w:sz w:val="22"/>
          <w:szCs w:val="22"/>
        </w:rPr>
        <w:t xml:space="preserve">When participating in video meetings as a remote employee, employees are expected to:</w:t>
      </w:r>
    </w:p>
    <w:p>
      <w:pPr>
        <w:pStyle w:val="ListParagraph"/>
        <w:numPr>
          <w:ilvl w:val="0"/>
          <w:numId w:val="2"/>
        </w:numPr>
        <w:spacing w:after="80"/>
      </w:pPr>
      <w:r>
        <w:rPr>
          <w:rFonts w:ascii="Arial" w:cs="Arial" w:eastAsia="Arial" w:hAnsi="Arial"/>
          <w:color w:val="2D3748"/>
          <w:sz w:val="22"/>
          <w:szCs w:val="22"/>
        </w:rPr>
        <w:t xml:space="preserve">Appear on camera unless there are extenuating circumstances. Camera-on participation fosters connection and trust.</w:t>
      </w:r>
    </w:p>
    <w:p>
      <w:pPr>
        <w:pStyle w:val="ListParagraph"/>
        <w:numPr>
          <w:ilvl w:val="0"/>
          <w:numId w:val="2"/>
        </w:numPr>
        <w:spacing w:after="80"/>
      </w:pPr>
      <w:r>
        <w:rPr>
          <w:rFonts w:ascii="Arial" w:cs="Arial" w:eastAsia="Arial" w:hAnsi="Arial"/>
          <w:color w:val="2D3748"/>
          <w:sz w:val="22"/>
          <w:szCs w:val="22"/>
        </w:rPr>
        <w:t xml:space="preserve">Use a professional or approved virtual background if the physical environment is unsuitable.</w:t>
      </w:r>
    </w:p>
    <w:p>
      <w:pPr>
        <w:pStyle w:val="ListParagraph"/>
        <w:numPr>
          <w:ilvl w:val="0"/>
          <w:numId w:val="2"/>
        </w:numPr>
        <w:spacing w:after="80"/>
      </w:pPr>
      <w:r>
        <w:rPr>
          <w:rFonts w:ascii="Arial" w:cs="Arial" w:eastAsia="Arial" w:hAnsi="Arial"/>
          <w:color w:val="2D3748"/>
          <w:sz w:val="22"/>
          <w:szCs w:val="22"/>
        </w:rPr>
        <w:t xml:space="preserve">Dress appropriately for a professional business context.</w:t>
      </w:r>
    </w:p>
    <w:p>
      <w:pPr>
        <w:pStyle w:val="ListParagraph"/>
        <w:numPr>
          <w:ilvl w:val="0"/>
          <w:numId w:val="2"/>
        </w:numPr>
        <w:spacing w:after="80"/>
      </w:pPr>
      <w:r>
        <w:rPr>
          <w:rFonts w:ascii="Arial" w:cs="Arial" w:eastAsia="Arial" w:hAnsi="Arial"/>
          <w:color w:val="2D3748"/>
          <w:sz w:val="22"/>
          <w:szCs w:val="22"/>
        </w:rPr>
        <w:t xml:space="preserve">Join meetings on time and minimise background interruptions.</w:t>
      </w:r>
    </w:p>
    <w:p>
      <w:pPr>
        <w:pStyle w:val="Heading2"/>
        <w:spacing w:after="120" w:before="320"/>
      </w:pPr>
      <w:r>
        <w:rPr>
          <w:rFonts w:ascii="Arial" w:cs="Arial" w:eastAsia="Arial" w:hAnsi="Arial"/>
          <w:b/>
          <w:bCs/>
          <w:color w:val="2E6DB4"/>
          <w:sz w:val="28"/>
          <w:szCs w:val="28"/>
        </w:rPr>
        <w:t xml:space="preserve">13.5  Security Requirements</w:t>
      </w:r>
    </w:p>
    <w:p>
      <w:pPr>
        <w:spacing w:after="120" w:line="276"/>
        <w:jc w:val="left"/>
      </w:pPr>
      <w:r>
        <w:rPr>
          <w:rFonts w:ascii="Arial" w:cs="Arial" w:eastAsia="Arial" w:hAnsi="Arial"/>
          <w:color w:val="2D3748"/>
          <w:sz w:val="22"/>
          <w:szCs w:val="22"/>
        </w:rPr>
        <w:t xml:space="preserve">Remote employees bear heightened responsibility for information security. All remote work must be conducted on NexaCore-issued devices. Personal devices must not be used to access Confidential or Restricted NexaCore data. Employees must:</w:t>
      </w:r>
    </w:p>
    <w:p>
      <w:pPr>
        <w:pStyle w:val="ListParagraph"/>
        <w:numPr>
          <w:ilvl w:val="0"/>
          <w:numId w:val="2"/>
        </w:numPr>
        <w:spacing w:after="80"/>
      </w:pPr>
      <w:r>
        <w:rPr>
          <w:rFonts w:ascii="Arial" w:cs="Arial" w:eastAsia="Arial" w:hAnsi="Arial"/>
          <w:color w:val="2D3748"/>
          <w:sz w:val="22"/>
          <w:szCs w:val="22"/>
        </w:rPr>
        <w:t xml:space="preserve">Connect via NexaCore's approved VPN for all work-related activity requiring access to internal systems.</w:t>
      </w:r>
    </w:p>
    <w:p>
      <w:pPr>
        <w:pStyle w:val="ListParagraph"/>
        <w:numPr>
          <w:ilvl w:val="0"/>
          <w:numId w:val="2"/>
        </w:numPr>
        <w:spacing w:after="80"/>
      </w:pPr>
      <w:r>
        <w:rPr>
          <w:rFonts w:ascii="Arial" w:cs="Arial" w:eastAsia="Arial" w:hAnsi="Arial"/>
          <w:color w:val="2D3748"/>
          <w:sz w:val="22"/>
          <w:szCs w:val="22"/>
        </w:rPr>
        <w:t xml:space="preserve">Ensure their home router uses WPA2 or WPA3 encryption with a strong, unique password.</w:t>
      </w:r>
    </w:p>
    <w:p>
      <w:pPr>
        <w:pStyle w:val="ListParagraph"/>
        <w:numPr>
          <w:ilvl w:val="0"/>
          <w:numId w:val="2"/>
        </w:numPr>
        <w:spacing w:after="80"/>
      </w:pPr>
      <w:r>
        <w:rPr>
          <w:rFonts w:ascii="Arial" w:cs="Arial" w:eastAsia="Arial" w:hAnsi="Arial"/>
          <w:color w:val="2D3748"/>
          <w:sz w:val="22"/>
          <w:szCs w:val="22"/>
        </w:rPr>
        <w:t xml:space="preserve">Never connect to unsecured public Wi-Fi networks while accessing NexaCore systems.</w:t>
      </w:r>
    </w:p>
    <w:p>
      <w:pPr>
        <w:pStyle w:val="ListParagraph"/>
        <w:numPr>
          <w:ilvl w:val="0"/>
          <w:numId w:val="2"/>
        </w:numPr>
        <w:spacing w:after="80"/>
      </w:pPr>
      <w:r>
        <w:rPr>
          <w:rFonts w:ascii="Arial" w:cs="Arial" w:eastAsia="Arial" w:hAnsi="Arial"/>
          <w:color w:val="2D3748"/>
          <w:sz w:val="22"/>
          <w:szCs w:val="22"/>
        </w:rPr>
        <w:t xml:space="preserve">Keep device screens locked when not in active use and ensure family members or other individuals do not have access to NexaCore equipment or data.</w:t>
      </w:r>
    </w:p>
    <w:p>
      <w:pPr>
        <w:pStyle w:val="Heading2"/>
        <w:spacing w:after="120" w:before="320"/>
      </w:pPr>
      <w:r>
        <w:rPr>
          <w:rFonts w:ascii="Arial" w:cs="Arial" w:eastAsia="Arial" w:hAnsi="Arial"/>
          <w:b/>
          <w:bCs/>
          <w:color w:val="2E6DB4"/>
          <w:sz w:val="28"/>
          <w:szCs w:val="28"/>
        </w:rPr>
        <w:t xml:space="preserve">13.6  Health, Wellbeing, and Work-Life Balance</w:t>
      </w:r>
    </w:p>
    <w:p>
      <w:pPr>
        <w:spacing w:after="120" w:line="276"/>
        <w:jc w:val="both"/>
      </w:pPr>
      <w:r>
        <w:rPr>
          <w:rFonts w:ascii="Arial" w:cs="Arial" w:eastAsia="Arial" w:hAnsi="Arial"/>
          <w:color w:val="2D3748"/>
          <w:sz w:val="22"/>
          <w:szCs w:val="22"/>
        </w:rPr>
        <w:t xml:space="preserve">NexaCore encourages all remote employees to structure their workday with clear start and end times, scheduled breaks, and a deliberate end-of-work ritual. Working excessive hours consistently is not productive and is not a measure of performance at NexaCore. Employees are encouraged to utilise the Employee Assistance Programme (EAP), accessible at eap.nexacore.com, which provides free and confidential counselling, financial guidance, and wellbeing coaching.</w:t>
      </w:r>
    </w:p>
    <w:p>
      <w:pPr>
        <w:pStyle w:val="Heading2"/>
        <w:spacing w:after="120" w:before="320"/>
      </w:pPr>
      <w:r>
        <w:rPr>
          <w:rFonts w:ascii="Arial" w:cs="Arial" w:eastAsia="Arial" w:hAnsi="Arial"/>
          <w:b/>
          <w:bCs/>
          <w:color w:val="2E6DB4"/>
          <w:sz w:val="28"/>
          <w:szCs w:val="28"/>
        </w:rPr>
        <w:t xml:space="preserve">13.7  Home Office Health &amp; Safety</w:t>
      </w:r>
    </w:p>
    <w:p>
      <w:pPr>
        <w:spacing w:after="120" w:line="276"/>
        <w:jc w:val="both"/>
      </w:pPr>
      <w:r>
        <w:rPr>
          <w:rFonts w:ascii="Arial" w:cs="Arial" w:eastAsia="Arial" w:hAnsi="Arial"/>
          <w:color w:val="2D3748"/>
          <w:sz w:val="22"/>
          <w:szCs w:val="22"/>
        </w:rPr>
        <w:t xml:space="preserve">Employees are responsible for ensuring that their home workspace meets basic health and safety standards. NexaCore recommends conducting a self-assessment using the Home Workstation Checklist available on NexaHub. Employees who experience work-related physical discomfort such as musculoskeletal strain or eye strain should contact Occupational Health at occupationalhealth@nexacore.com for support and guidance.</w:t>
      </w:r>
    </w:p>
    <w:p>
      <w:pPr>
        <w:pBdr>
          <w:bottom w:val="single" w:color="D0D5DD" w:sz="2" w:space="1"/>
        </w:pBdr>
        <w:spacing w:after="240" w:before="240"/>
      </w:pPr>
      <w:r>
        <w:t xml:space="preserve"/>
      </w:r>
    </w:p>
    <w:p>
      <w:pPr>
        <w:pStyle w:val="Heading1"/>
        <w:pBdr>
          <w:bottom w:val="single" w:color="1B3A6B" w:sz="8" w:space="6"/>
        </w:pBdr>
        <w:spacing w:after="160" w:before="480"/>
      </w:pPr>
      <w:r>
        <w:rPr>
          <w:rFonts w:ascii="Arial" w:cs="Arial" w:eastAsia="Arial" w:hAnsi="Arial"/>
          <w:b/>
          <w:bCs/>
          <w:color w:val="1B3A6B"/>
          <w:sz w:val="36"/>
          <w:szCs w:val="36"/>
        </w:rPr>
        <w:t xml:space="preserve">Section 14  —  Acknowledgement and Agreement</w:t>
      </w:r>
    </w:p>
    <w:p>
      <w:pPr>
        <w:spacing w:after="120" w:line="276"/>
        <w:jc w:val="both"/>
      </w:pPr>
      <w:r>
        <w:rPr>
          <w:rFonts w:ascii="Arial" w:cs="Arial" w:eastAsia="Arial" w:hAnsi="Arial"/>
          <w:color w:val="2D3748"/>
          <w:sz w:val="22"/>
          <w:szCs w:val="22"/>
        </w:rPr>
        <w:t xml:space="preserve">Employees are required to sign a separate digital acknowledgement confirming that they have received, read, and understood this Employee Handbook. The acknowledgement form is available in Workday under the "Documents" tab and must be completed within 10 business days of employment commencement, or within 10 business days of receiving a revised version of the Handbook.</w:t>
      </w:r>
    </w:p>
    <w:p>
      <w:pPr>
        <w:spacing w:after="120" w:line="276"/>
        <w:jc w:val="left"/>
      </w:pPr>
      <w:r>
        <w:rPr>
          <w:rFonts w:ascii="Arial" w:cs="Arial" w:eastAsia="Arial" w:hAnsi="Arial"/>
          <w:b/>
          <w:bCs/>
          <w:color w:val="2D3748"/>
          <w:sz w:val="22"/>
          <w:szCs w:val="22"/>
        </w:rPr>
        <w:t xml:space="preserve">By signing the acknowledgement, the employee confirms that:</w:t>
      </w:r>
    </w:p>
    <w:p>
      <w:pPr>
        <w:pStyle w:val="ListParagraph"/>
        <w:numPr>
          <w:ilvl w:val="0"/>
          <w:numId w:val="2"/>
        </w:numPr>
        <w:spacing w:after="80"/>
      </w:pPr>
      <w:r>
        <w:rPr>
          <w:rFonts w:ascii="Arial" w:cs="Arial" w:eastAsia="Arial" w:hAnsi="Arial"/>
          <w:color w:val="2D3748"/>
          <w:sz w:val="22"/>
          <w:szCs w:val="22"/>
        </w:rPr>
        <w:t xml:space="preserve">They have received and read the NexaCore Employee Handbook (Version 3.2, effective January 1, 2025).</w:t>
      </w:r>
    </w:p>
    <w:p>
      <w:pPr>
        <w:pStyle w:val="ListParagraph"/>
        <w:numPr>
          <w:ilvl w:val="0"/>
          <w:numId w:val="2"/>
        </w:numPr>
        <w:spacing w:after="80"/>
      </w:pPr>
      <w:r>
        <w:rPr>
          <w:rFonts w:ascii="Arial" w:cs="Arial" w:eastAsia="Arial" w:hAnsi="Arial"/>
          <w:color w:val="2D3748"/>
          <w:sz w:val="22"/>
          <w:szCs w:val="22"/>
        </w:rPr>
        <w:t xml:space="preserve">They understand the policies, standards, and expectations contained herein.</w:t>
      </w:r>
    </w:p>
    <w:p>
      <w:pPr>
        <w:pStyle w:val="ListParagraph"/>
        <w:numPr>
          <w:ilvl w:val="0"/>
          <w:numId w:val="2"/>
        </w:numPr>
        <w:spacing w:after="80"/>
      </w:pPr>
      <w:r>
        <w:rPr>
          <w:rFonts w:ascii="Arial" w:cs="Arial" w:eastAsia="Arial" w:hAnsi="Arial"/>
          <w:color w:val="2D3748"/>
          <w:sz w:val="22"/>
          <w:szCs w:val="22"/>
        </w:rPr>
        <w:t xml:space="preserve">They agree to comply with the policies set out in this Handbook as a condition of employment.</w:t>
      </w:r>
    </w:p>
    <w:p>
      <w:pPr>
        <w:pStyle w:val="ListParagraph"/>
        <w:numPr>
          <w:ilvl w:val="0"/>
          <w:numId w:val="2"/>
        </w:numPr>
        <w:spacing w:after="80"/>
      </w:pPr>
      <w:r>
        <w:rPr>
          <w:rFonts w:ascii="Arial" w:cs="Arial" w:eastAsia="Arial" w:hAnsi="Arial"/>
          <w:color w:val="2D3748"/>
          <w:sz w:val="22"/>
          <w:szCs w:val="22"/>
        </w:rPr>
        <w:t xml:space="preserve">They understand that this Handbook does not constitute a contract of employment and that NexaCore reserves the right to update it at any time with reasonable notice.</w:t>
      </w:r>
    </w:p>
    <w:p>
      <w:pPr>
        <w:spacing w:after="0" w:before="120"/>
      </w:pPr>
      <w:r>
        <w:t xml:space="preserve"/>
      </w:r>
    </w:p>
    <w:p>
      <w:pPr>
        <w:spacing w:after="120" w:line="276"/>
        <w:jc w:val="left"/>
      </w:pPr>
      <w:r>
        <w:rPr>
          <w:rFonts w:ascii="Arial" w:cs="Arial" w:eastAsia="Arial" w:hAnsi="Arial"/>
          <w:color w:val="2D3748"/>
          <w:sz w:val="22"/>
          <w:szCs w:val="22"/>
        </w:rPr>
        <w:t xml:space="preserve">Questions regarding the content of this Handbook should be directed 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Contact</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Details</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People &amp; Culture General Enquiries</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people@nexacore.com</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Ethics &amp; Compliance (NexaLine)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ethics.nexacore.com  |  1-800-NEX-ETHI</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Information Security</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soc@nexacore.com</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Global Mobility</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globalmobility@nexacore.com</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Occupational Health</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occupationalhealth@nexacore.com</w:t>
            </w:r>
          </w:p>
        </w:tc>
      </w:tr>
      <w:tr>
        <w:tc>
          <w:tcPr>
            <w:tcW w:type="dxa" w:w="2200"/>
            <w:tcBorders>
              <w:top w:val="single" w:color="D0D5DD" w:sz="1"/>
              <w:left w:val="single" w:color="D0D5DD" w:sz="1"/>
              <w:bottom w:val="single" w:color="D0D5DD" w:sz="1"/>
              <w:right w:val="single" w:color="D0D5DD" w:sz="1"/>
            </w:tcBorders>
            <w:shd w:fill="F5F6F8" w:val="clear"/>
            <w:tcMar>
              <w:top w:type="dxa" w:w="80"/>
              <w:left w:type="dxa" w:w="120"/>
              <w:bottom w:type="dxa" w:w="80"/>
              <w:right w:type="dxa" w:w="120"/>
            </w:tcMar>
          </w:tcPr>
          <w:p>
            <w:r>
              <w:rPr>
                <w:rFonts w:ascii="Arial" w:cs="Arial" w:eastAsia="Arial" w:hAnsi="Arial"/>
                <w:b/>
                <w:bCs/>
                <w:color w:val="1B3A6B"/>
                <w:sz w:val="21"/>
                <w:szCs w:val="21"/>
              </w:rPr>
              <w:t xml:space="preserve">Employee Assistance Programme</w:t>
            </w:r>
          </w:p>
        </w:tc>
        <w:tc>
          <w:tcPr>
            <w:tcW w:type="dxa" w:w="7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2D3748"/>
                <w:sz w:val="21"/>
                <w:szCs w:val="21"/>
              </w:rPr>
              <w:t xml:space="preserve">eap.nexacore.com</w:t>
            </w:r>
          </w:p>
        </w:tc>
      </w:tr>
    </w:tbl>
    <w:p>
      <w:pPr>
        <w:spacing w:after="0" w:before="240"/>
      </w:pPr>
      <w:r>
        <w:t xml:space="preserve"/>
      </w:r>
    </w:p>
    <w:p>
      <w:pPr>
        <w:spacing w:after="120" w:line="276"/>
        <w:jc w:val="left"/>
      </w:pPr>
      <w:r>
        <w:rPr>
          <w:rFonts w:ascii="Arial" w:cs="Arial" w:eastAsia="Arial" w:hAnsi="Arial"/>
          <w:i/>
          <w:iCs/>
          <w:color w:val="888888"/>
          <w:sz w:val="22"/>
          <w:szCs w:val="22"/>
        </w:rPr>
        <w:t xml:space="preserve">This Handbook was approved by the NexaCore Executive Leadership Team on December 15, 2024, and is effective for all employees as of January 1, 2025.</w:t>
      </w:r>
    </w:p>
    <w:p>
      <w:pPr>
        <w:spacing w:after="120" w:line="276"/>
        <w:jc w:val="left"/>
      </w:pPr>
      <w:r>
        <w:rPr>
          <w:rFonts w:ascii="Arial" w:cs="Arial" w:eastAsia="Arial" w:hAnsi="Arial"/>
          <w:i/>
          <w:iCs/>
          <w:color w:val="888888"/>
          <w:sz w:val="22"/>
          <w:szCs w:val="22"/>
        </w:rPr>
        <w:t xml:space="preserve">© 2025 NexaCore Technologies, Inc. All rights reserved. This document is confidential and intended for internal use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360"/>
      </w:tabs>
      <w:spacing w:before="120"/>
    </w:pPr>
    <w:r>
      <w:rPr>
        <w:rFonts w:ascii="Arial" w:cs="Arial" w:eastAsia="Arial" w:hAnsi="Arial"/>
        <w:color w:val="888888"/>
        <w:sz w:val="18"/>
        <w:szCs w:val="18"/>
      </w:rPr>
      <w:t xml:space="preserve">People &amp; Culture Division</w:t>
    </w:r>
    <w:r>
      <w:rPr>
        <w:rFonts w:ascii="Arial" w:cs="Arial" w:eastAsia="Arial" w:hAnsi="Arial"/>
        <w:color w:val="888888"/>
        <w:sz w:val="18"/>
        <w:szCs w:val="18"/>
      </w:rPr>
      <w:t xml:space="preserve">	Page </w:t>
    </w:r>
    <w:r>
      <w:rPr>
        <w:rFonts w:ascii="Arial" w:cs="Arial" w:eastAsia="Arial" w:hAnsi="Arial"/>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9360"/>
      </w:tabs>
      <w:spacing w:after="120"/>
    </w:pPr>
    <w:r>
      <w:rPr>
        <w:rFonts w:ascii="Arial" w:cs="Arial" w:eastAsia="Arial" w:hAnsi="Arial"/>
        <w:color w:val="2E6DB4"/>
        <w:sz w:val="18"/>
        <w:szCs w:val="18"/>
      </w:rPr>
      <w:t xml:space="preserve">NexaCore Technologies  |  Employee Handbook</w:t>
    </w:r>
    <w:r>
      <w:rPr>
        <w:rFonts w:ascii="Arial" w:cs="Arial" w:eastAsia="Arial" w:hAnsi="Arial"/>
        <w:color w:val="888888"/>
        <w:sz w:val="18"/>
        <w:szCs w:val="18"/>
      </w:rPr>
      <w:t xml:space="preserve">	Version 3.2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B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2026-06-05T05:45:33.981Z</dcterms:created>
  <dcterms:modified xsi:type="dcterms:W3CDTF">2026-06-05T05:45:33.981Z</dcterms:modified>
</cp:coreProperties>
</file>

<file path=docProps/custom.xml><?xml version="1.0" encoding="utf-8"?>
<Properties xmlns="http://schemas.openxmlformats.org/officeDocument/2006/custom-properties" xmlns:vt="http://schemas.openxmlformats.org/officeDocument/2006/docPropsVTypes"/>
</file>