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B3A6B"/>
          <w:sz w:val="52"/>
          <w:szCs w:val="52"/>
        </w:rPr>
        <w:t xml:space="preserve">PAYROLL POLICY DOCUMENT</w:t>
      </w:r>
    </w:p>
    <w:p>
      <w:pPr>
        <w:pBdr>
          <w:bottom w:val="single" w:color="0D6E6E" w:sz="8" w:space="1"/>
        </w:pBdr>
        <w:spacing w:after="120"/>
      </w:pPr>
    </w:p>
    <w:p>
      <w:pPr>
        <w:spacing w:after="80" w:before="100"/>
        <w:jc w:val="center"/>
      </w:pPr>
      <w:r>
        <w:rPr>
          <w:rFonts w:ascii="Arial" w:cs="Arial" w:eastAsia="Arial" w:hAnsi="Arial"/>
          <w:i/>
          <w:iCs/>
          <w:color w:val="0D6E6E"/>
          <w:sz w:val="28"/>
          <w:szCs w:val="28"/>
        </w:rPr>
        <w:t xml:space="preserve">Human Resources Department</w:t>
      </w:r>
    </w:p>
    <w:p>
      <w:pPr>
        <w:spacing w:after="80"/>
        <w:jc w:val="center"/>
      </w:pPr>
      <w:r>
        <w:rPr>
          <w:rFonts w:ascii="Arial" w:cs="Arial" w:eastAsia="Arial" w:hAnsi="Arial"/>
          <w:color w:val="444444"/>
          <w:sz w:val="22"/>
          <w:szCs w:val="22"/>
        </w:rPr>
        <w:t xml:space="preserve">Version 1.0  |  Effective Date: April 1, 2025</w:t>
      </w:r>
    </w:p>
    <w:p>
      <w:pPr>
        <w:spacing w:after="80"/>
        <w:jc w:val="center"/>
      </w:pPr>
      <w:r>
        <w:rPr>
          <w:rFonts w:ascii="Arial" w:cs="Arial" w:eastAsia="Arial" w:hAnsi="Arial"/>
          <w:b/>
          <w:bCs/>
          <w:color w:val="C8972B"/>
          <w:sz w:val="22"/>
          <w:szCs w:val="22"/>
        </w:rPr>
        <w:t xml:space="preserve">Classification: Confidential</w:t>
      </w:r>
    </w:p>
    <w:p>
      <w:pPr>
        <w:spacing w:after="0" w:before="80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1B3A6B" w:sz="4"/>
              <w:left w:val="single" w:color="1B3A6B" w:sz="4"/>
              <w:bottom w:val="single" w:color="1B3A6B" w:sz="4"/>
              <w:right w:val="single" w:color="1B3A6B" w:sz="4"/>
            </w:tcBorders>
            <w:shd w:fill="D6E4F0" w:val="clear"/>
            <w:tcMar>
              <w:top w:type="dxa" w:w="200"/>
              <w:left w:type="dxa" w:w="300"/>
              <w:bottom w:type="dxa" w:w="200"/>
              <w:right w:type="dxa" w:w="300"/>
            </w:tcMar>
          </w:tcPr>
          <w:p>
            <w:pPr>
              <w:spacing w:after="80"/>
              <w:jc w:val="center"/>
            </w:pPr>
            <w:r>
              <w:rPr>
                <w:rFonts w:ascii="Arial" w:cs="Arial" w:eastAsia="Arial" w:hAnsi="Arial"/>
                <w:b/>
                <w:bCs/>
                <w:color w:val="1B3A6B"/>
                <w:sz w:val="22"/>
                <w:szCs w:val="22"/>
              </w:rPr>
              <w:t xml:space="preserve">Document Scope</w:t>
            </w:r>
          </w:p>
          <w:p>
            <w:pPr>
              <w:spacing w:after="0"/>
              <w:jc w:val="center"/>
            </w:pPr>
            <w:r>
              <w:rPr>
                <w:rFonts w:ascii="Arial" w:cs="Arial" w:eastAsia="Arial" w:hAnsi="Arial"/>
                <w:color w:val="444444"/>
                <w:sz w:val="19"/>
                <w:szCs w:val="19"/>
              </w:rPr>
              <w:t xml:space="preserve">This policy governs all payroll-related matters for full-time employees, part-time employees, and contractual staff. It outlines salary structures, deductions, benefits computation, statutory compliance, and final settlement procedures.</w:t>
            </w:r>
          </w:p>
        </w:tc>
      </w:tr>
    </w:tbl>
    <w:p>
      <w:pPr>
        <w:spacing w:after="0" w:before="400"/>
      </w:pPr>
    </w:p>
    <w:p>
      <w:r>
        <w:br w:type="page"/>
      </w:r>
    </w:p>
    <w:p>
      <w:pPr>
        <w:pStyle w:val="Heading1"/>
        <w:spacing w:after="160" w:before="400"/>
      </w:pPr>
      <w:r>
        <w:rPr>
          <w:rFonts w:ascii="Arial" w:cs="Arial" w:eastAsia="Arial" w:hAnsi="Arial"/>
          <w:b/>
          <w:bCs/>
          <w:color w:val="1B3A6B"/>
          <w:sz w:val="30"/>
          <w:szCs w:val="30"/>
        </w:rPr>
        <w:t xml:space="preserve">1. Introduction &amp; Scope</w:t>
      </w:r>
    </w:p>
    <w:p>
      <w:pPr>
        <w:pBdr>
          <w:bottom w:val="single" w:color="0D6E6E" w:sz="8" w:space="1"/>
        </w:pBdr>
        <w:spacing w:after="120"/>
      </w:pPr>
    </w:p>
    <w:p>
      <w:pPr>
        <w:spacing w:after="100"/>
      </w:pPr>
      <w:r>
        <w:rPr>
          <w:rFonts w:ascii="Arial" w:cs="Arial" w:eastAsia="Arial" w:hAnsi="Arial"/>
          <w:color w:val="444444"/>
          <w:sz w:val="20"/>
          <w:szCs w:val="20"/>
        </w:rPr>
        <w:t xml:space="preserve">This Payroll Policy Document establishes a transparent, fair, and compliant framework for administering compensation across the organisation. It is binding on the Finance, HR, and Payroll teams and serves as a reference guide for all employees.</w:t>
      </w:r>
    </w:p>
    <w:p>
      <w:pPr>
        <w:spacing w:after="0" w:before="120"/>
      </w:pPr>
    </w:p>
    <w:p>
      <w:pPr>
        <w:pStyle w:val="Heading2"/>
        <w:spacing w:after="120" w:before="280"/>
      </w:pPr>
      <w:r>
        <w:rPr>
          <w:rFonts w:ascii="Arial" w:cs="Arial" w:eastAsia="Arial" w:hAnsi="Arial"/>
          <w:b/>
          <w:bCs/>
          <w:color w:val="0D6E6E"/>
          <w:sz w:val="24"/>
          <w:szCs w:val="24"/>
        </w:rPr>
        <w:t xml:space="preserve">1.1  Purpose</w:t>
      </w:r>
    </w:p>
    <w:p>
      <w:pPr>
        <w:pStyle w:val="ListParagraph"/>
        <w:numPr>
          <w:ilvl w:val="0"/>
          <w:numId w:val="2"/>
        </w:numPr>
        <w:spacing w:after="80"/>
      </w:pPr>
      <w:r>
        <w:rPr>
          <w:rFonts w:ascii="Arial" w:cs="Arial" w:eastAsia="Arial" w:hAnsi="Arial"/>
          <w:color w:val="444444"/>
          <w:sz w:val="20"/>
          <w:szCs w:val="20"/>
        </w:rPr>
        <w:t xml:space="preserve">Ensure timely and accurate salary disbursement to all employees.</w:t>
      </w:r>
    </w:p>
    <w:p>
      <w:pPr>
        <w:pStyle w:val="ListParagraph"/>
        <w:numPr>
          <w:ilvl w:val="0"/>
          <w:numId w:val="2"/>
        </w:numPr>
        <w:spacing w:after="80"/>
      </w:pPr>
      <w:r>
        <w:rPr>
          <w:rFonts w:ascii="Arial" w:cs="Arial" w:eastAsia="Arial" w:hAnsi="Arial"/>
          <w:color w:val="444444"/>
          <w:sz w:val="20"/>
          <w:szCs w:val="20"/>
        </w:rPr>
        <w:t xml:space="preserve">Maintain full compliance with the Income Tax Act, 1961, the Employees' Provident Fund &amp; Miscellaneous Provisions Act, 1952, the Payment of Gratuity Act, 1972, and applicable state labour laws.</w:t>
      </w:r>
    </w:p>
    <w:p>
      <w:pPr>
        <w:pStyle w:val="ListParagraph"/>
        <w:numPr>
          <w:ilvl w:val="0"/>
          <w:numId w:val="2"/>
        </w:numPr>
        <w:spacing w:after="80"/>
      </w:pPr>
      <w:r>
        <w:rPr>
          <w:rFonts w:ascii="Arial" w:cs="Arial" w:eastAsia="Arial" w:hAnsi="Arial"/>
          <w:color w:val="444444"/>
          <w:sz w:val="20"/>
          <w:szCs w:val="20"/>
        </w:rPr>
        <w:t xml:space="preserve">Provide clarity on how gross salary translates to net take-home pay.</w:t>
      </w:r>
    </w:p>
    <w:p>
      <w:pPr>
        <w:pStyle w:val="ListParagraph"/>
        <w:numPr>
          <w:ilvl w:val="0"/>
          <w:numId w:val="2"/>
        </w:numPr>
        <w:spacing w:after="80"/>
      </w:pPr>
      <w:r>
        <w:rPr>
          <w:rFonts w:ascii="Arial" w:cs="Arial" w:eastAsia="Arial" w:hAnsi="Arial"/>
          <w:color w:val="444444"/>
          <w:sz w:val="20"/>
          <w:szCs w:val="20"/>
        </w:rPr>
        <w:t xml:space="preserve">Document processes for revisions, deductions, bonuses, and final settlements.</w:t>
      </w:r>
    </w:p>
    <w:p>
      <w:pPr>
        <w:spacing w:after="0" w:before="120"/>
      </w:pPr>
    </w:p>
    <w:p>
      <w:pPr>
        <w:pStyle w:val="Heading2"/>
        <w:spacing w:after="120" w:before="280"/>
      </w:pPr>
      <w:r>
        <w:rPr>
          <w:rFonts w:ascii="Arial" w:cs="Arial" w:eastAsia="Arial" w:hAnsi="Arial"/>
          <w:b/>
          <w:bCs/>
          <w:color w:val="0D6E6E"/>
          <w:sz w:val="24"/>
          <w:szCs w:val="24"/>
        </w:rPr>
        <w:t xml:space="preserve">1.2  Applicability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80"/>
        <w:gridCol w:w="3280"/>
      </w:tblGrid>
      <w:tr>
        <w:tc>
          <w:tcPr>
            <w:tcW w:type="dxa" w:w="3200"/>
            <w:tcBorders>
              <w:top w:val="single" w:color="0D6E6E" w:sz="4"/>
              <w:left w:val="single" w:color="0D6E6E" w:sz="4"/>
              <w:bottom w:val="single" w:color="0D6E6E" w:sz="4"/>
              <w:right w:val="single" w:color="0D6E6E"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Employee Category</w:t>
            </w:r>
          </w:p>
        </w:tc>
        <w:tc>
          <w:tcPr>
            <w:tcW w:type="dxa" w:w="2880"/>
            <w:tcBorders>
              <w:top w:val="single" w:color="0D6E6E" w:sz="4"/>
              <w:left w:val="single" w:color="0D6E6E" w:sz="4"/>
              <w:bottom w:val="single" w:color="0D6E6E" w:sz="4"/>
              <w:right w:val="single" w:color="0D6E6E"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Covered Under This Policy</w:t>
            </w:r>
          </w:p>
        </w:tc>
        <w:tc>
          <w:tcPr>
            <w:tcW w:type="dxa" w:w="3280"/>
            <w:tcBorders>
              <w:top w:val="single" w:color="0D6E6E" w:sz="4"/>
              <w:left w:val="single" w:color="0D6E6E" w:sz="4"/>
              <w:bottom w:val="single" w:color="0D6E6E" w:sz="4"/>
              <w:right w:val="single" w:color="0D6E6E"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Remarks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Full-Time Permanent</w:t>
            </w:r>
          </w:p>
        </w:tc>
        <w:tc>
          <w:tcPr>
            <w:tcW w:type="dxa" w:w="28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Yes – All sections</w:t>
            </w:r>
          </w:p>
        </w:tc>
        <w:tc>
          <w:tcPr>
            <w:tcW w:type="dxa" w:w="3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Entitled to all benefits</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Part-Time / Flexi</w:t>
            </w:r>
          </w:p>
        </w:tc>
        <w:tc>
          <w:tcPr>
            <w:tcW w:type="dxa" w:w="288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Yes – Sections 2, 3, 4, 8</w:t>
            </w:r>
          </w:p>
        </w:tc>
        <w:tc>
          <w:tcPr>
            <w:tcW w:type="dxa" w:w="328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Pro-rated benefits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Contractual / Third-Party</w:t>
            </w:r>
          </w:p>
        </w:tc>
        <w:tc>
          <w:tcPr>
            <w:tcW w:type="dxa" w:w="28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Partial – Sections 2, 3 only</w:t>
            </w:r>
          </w:p>
        </w:tc>
        <w:tc>
          <w:tcPr>
            <w:tcW w:type="dxa" w:w="3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PF/Gratuity through agency</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Trainees / Interns</w:t>
            </w:r>
          </w:p>
        </w:tc>
        <w:tc>
          <w:tcPr>
            <w:tcW w:type="dxa" w:w="288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Yes – Sections 2, 3, 8</w:t>
            </w:r>
          </w:p>
        </w:tc>
        <w:tc>
          <w:tcPr>
            <w:tcW w:type="dxa" w:w="328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Stipend structure applies</w:t>
            </w:r>
          </w:p>
        </w:tc>
      </w:tr>
    </w:tbl>
    <w:p>
      <w:pPr>
        <w:spacing w:after="0" w:before="120"/>
      </w:pPr>
    </w:p>
    <w:p>
      <w:pPr>
        <w:pStyle w:val="Heading2"/>
        <w:spacing w:after="120" w:before="280"/>
      </w:pPr>
      <w:r>
        <w:rPr>
          <w:rFonts w:ascii="Arial" w:cs="Arial" w:eastAsia="Arial" w:hAnsi="Arial"/>
          <w:b/>
          <w:bCs/>
          <w:color w:val="0D6E6E"/>
          <w:sz w:val="24"/>
          <w:szCs w:val="24"/>
        </w:rPr>
        <w:t xml:space="preserve">1.3  Policy Review Cycle</w:t>
      </w:r>
    </w:p>
    <w:p>
      <w:pPr>
        <w:spacing w:after="100"/>
      </w:pPr>
      <w:r>
        <w:rPr>
          <w:rFonts w:ascii="Arial" w:cs="Arial" w:eastAsia="Arial" w:hAnsi="Arial"/>
          <w:color w:val="444444"/>
          <w:sz w:val="20"/>
          <w:szCs w:val="20"/>
        </w:rPr>
        <w:t xml:space="preserve">This policy is reviewed annually every March or whenever there are significant legislative amendments. Any revisions are communicated to all employees via official email and the HR portal at least 30 days before they take effect.</w:t>
      </w:r>
    </w:p>
    <w:p>
      <w:r>
        <w:br w:type="page"/>
      </w:r>
    </w:p>
    <w:p>
      <w:pPr>
        <w:pStyle w:val="Heading1"/>
        <w:spacing w:after="160" w:before="400"/>
      </w:pPr>
      <w:r>
        <w:rPr>
          <w:rFonts w:ascii="Arial" w:cs="Arial" w:eastAsia="Arial" w:hAnsi="Arial"/>
          <w:b/>
          <w:bCs/>
          <w:color w:val="1B3A6B"/>
          <w:sz w:val="30"/>
          <w:szCs w:val="30"/>
        </w:rPr>
        <w:t xml:space="preserve">2. Salary Structure</w:t>
      </w:r>
    </w:p>
    <w:p>
      <w:pPr>
        <w:pBdr>
          <w:bottom w:val="single" w:color="0D6E6E" w:sz="8" w:space="1"/>
        </w:pBdr>
        <w:spacing w:after="120"/>
      </w:pPr>
    </w:p>
    <w:p>
      <w:pPr>
        <w:spacing w:after="100"/>
      </w:pPr>
      <w:r>
        <w:rPr>
          <w:rFonts w:ascii="Arial" w:cs="Arial" w:eastAsia="Arial" w:hAnsi="Arial"/>
          <w:color w:val="444444"/>
          <w:sz w:val="20"/>
          <w:szCs w:val="20"/>
        </w:rPr>
        <w:t xml:space="preserve">The organisation follows a Cost-to-Company (CTC) model. The CTC is the total annual expenditure incurred by the company for an employee, including fixed pay, variable pay, and employer contributions.</w:t>
      </w:r>
    </w:p>
    <w:p>
      <w:pPr>
        <w:spacing w:after="0" w:before="120"/>
      </w:pPr>
    </w:p>
    <w:p>
      <w:pPr>
        <w:pStyle w:val="Heading2"/>
        <w:spacing w:after="120" w:before="280"/>
      </w:pPr>
      <w:r>
        <w:rPr>
          <w:rFonts w:ascii="Arial" w:cs="Arial" w:eastAsia="Arial" w:hAnsi="Arial"/>
          <w:b/>
          <w:bCs/>
          <w:color w:val="0D6E6E"/>
          <w:sz w:val="24"/>
          <w:szCs w:val="24"/>
        </w:rPr>
        <w:t xml:space="preserve">2.1  CTC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760"/>
        <w:gridCol w:w="2800"/>
      </w:tblGrid>
      <w:tr>
        <w:tc>
          <w:tcPr>
            <w:tcW w:type="dxa" w:w="2800"/>
            <w:tcBorders>
              <w:top w:val="single" w:color="0D6E6E" w:sz="4"/>
              <w:left w:val="single" w:color="0D6E6E" w:sz="4"/>
              <w:bottom w:val="single" w:color="0D6E6E" w:sz="4"/>
              <w:right w:val="single" w:color="0D6E6E"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Component</w:t>
            </w:r>
          </w:p>
        </w:tc>
        <w:tc>
          <w:tcPr>
            <w:tcW w:type="dxa" w:w="2000"/>
            <w:tcBorders>
              <w:top w:val="single" w:color="0D6E6E" w:sz="4"/>
              <w:left w:val="single" w:color="0D6E6E" w:sz="4"/>
              <w:bottom w:val="single" w:color="0D6E6E" w:sz="4"/>
              <w:right w:val="single" w:color="0D6E6E"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 of CTC (Typical)</w:t>
            </w:r>
          </w:p>
        </w:tc>
        <w:tc>
          <w:tcPr>
            <w:tcW w:type="dxa" w:w="1760"/>
            <w:tcBorders>
              <w:top w:val="single" w:color="0D6E6E" w:sz="4"/>
              <w:left w:val="single" w:color="0D6E6E" w:sz="4"/>
              <w:bottom w:val="single" w:color="0D6E6E" w:sz="4"/>
              <w:right w:val="single" w:color="0D6E6E"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Nature</w:t>
            </w:r>
          </w:p>
        </w:tc>
        <w:tc>
          <w:tcPr>
            <w:tcW w:type="dxa" w:w="2800"/>
            <w:tcBorders>
              <w:top w:val="single" w:color="0D6E6E" w:sz="4"/>
              <w:left w:val="single" w:color="0D6E6E" w:sz="4"/>
              <w:bottom w:val="single" w:color="0D6E6E" w:sz="4"/>
              <w:right w:val="single" w:color="0D6E6E"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Taxability</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Basic Salary</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35–40%</w:t>
            </w:r>
          </w:p>
        </w:tc>
        <w:tc>
          <w:tcPr>
            <w:tcW w:type="dxa" w:w="1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Fixed</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Fully taxable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House Rent Allowance (HRA)</w:t>
            </w:r>
          </w:p>
        </w:tc>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40–50% of Basic</w:t>
            </w:r>
          </w:p>
        </w:tc>
        <w:tc>
          <w:tcPr>
            <w:tcW w:type="dxa" w:w="1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Fixed</w:t>
            </w:r>
          </w:p>
        </w:tc>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Partially exempt – Section 10(13A)</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Special Allowance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Balancing figure</w:t>
            </w:r>
          </w:p>
        </w:tc>
        <w:tc>
          <w:tcPr>
            <w:tcW w:type="dxa" w:w="1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Fixed</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Fully taxable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Leave Travel Allowance (LTA)</w:t>
            </w:r>
          </w:p>
        </w:tc>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Fixed annual amount</w:t>
            </w:r>
          </w:p>
        </w:tc>
        <w:tc>
          <w:tcPr>
            <w:tcW w:type="dxa" w:w="1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Fixed</w:t>
            </w:r>
          </w:p>
        </w:tc>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Exempt up to 2 trips in 4 years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Medical Allowance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Up to ₹15,000 p.a.</w:t>
            </w:r>
          </w:p>
        </w:tc>
        <w:tc>
          <w:tcPr>
            <w:tcW w:type="dxa" w:w="1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Fixed</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Exempt with bills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Performance Bonus</w:t>
            </w:r>
          </w:p>
        </w:tc>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5–15% of CTC</w:t>
            </w:r>
          </w:p>
        </w:tc>
        <w:tc>
          <w:tcPr>
            <w:tcW w:type="dxa" w:w="1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Variable</w:t>
            </w:r>
          </w:p>
        </w:tc>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Fully taxable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Employer PF Contribution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12% of Basic (≤₹15,000)</w:t>
            </w:r>
          </w:p>
        </w:tc>
        <w:tc>
          <w:tcPr>
            <w:tcW w:type="dxa" w:w="1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Statutory</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Not taxable in hand</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Employer ESIC Contribution</w:t>
            </w:r>
          </w:p>
        </w:tc>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3.25% of Gross (if applicable)</w:t>
            </w:r>
          </w:p>
        </w:tc>
        <w:tc>
          <w:tcPr>
            <w:tcW w:type="dxa" w:w="1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Statutory</w:t>
            </w:r>
          </w:p>
        </w:tc>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Not taxable in hand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Gratuity Provision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4.81% of Basic</w:t>
            </w:r>
          </w:p>
        </w:tc>
        <w:tc>
          <w:tcPr>
            <w:tcW w:type="dxa" w:w="1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Statutory</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Paid on separation</w:t>
            </w:r>
          </w:p>
        </w:tc>
      </w:tr>
    </w:tbl>
    <w:p>
      <w:pPr>
        <w:spacing w:after="0" w:before="120"/>
      </w:pPr>
    </w:p>
    <w:p>
      <w:pPr>
        <w:pStyle w:val="Heading2"/>
        <w:spacing w:after="120" w:before="280"/>
      </w:pPr>
      <w:r>
        <w:rPr>
          <w:rFonts w:ascii="Arial" w:cs="Arial" w:eastAsia="Arial" w:hAnsi="Arial"/>
          <w:b/>
          <w:bCs/>
          <w:color w:val="0D6E6E"/>
          <w:sz w:val="24"/>
          <w:szCs w:val="24"/>
        </w:rPr>
        <w:t xml:space="preserve">2.2  Salary Bands</w:t>
      </w:r>
    </w:p>
    <w:p>
      <w:pPr>
        <w:spacing w:after="100"/>
      </w:pPr>
      <w:r>
        <w:rPr>
          <w:rFonts w:ascii="Arial" w:cs="Arial" w:eastAsia="Arial" w:hAnsi="Arial"/>
          <w:color w:val="444444"/>
          <w:sz w:val="20"/>
          <w:szCs w:val="20"/>
        </w:rPr>
        <w:t xml:space="preserve">Roles are mapped to salary bands based on job family, seniority level, and market benchmarks reviewed annually.</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560"/>
        <w:gridCol w:w="2200"/>
      </w:tblGrid>
      <w:tr>
        <w:tc>
          <w:tcPr>
            <w:tcW w:type="dxa" w:w="1800"/>
            <w:tcBorders>
              <w:top w:val="single" w:color="0D6E6E" w:sz="4"/>
              <w:left w:val="single" w:color="0D6E6E" w:sz="4"/>
              <w:bottom w:val="single" w:color="0D6E6E" w:sz="4"/>
              <w:right w:val="single" w:color="0D6E6E"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Level</w:t>
            </w:r>
          </w:p>
        </w:tc>
        <w:tc>
          <w:tcPr>
            <w:tcW w:type="dxa" w:w="2800"/>
            <w:tcBorders>
              <w:top w:val="single" w:color="0D6E6E" w:sz="4"/>
              <w:left w:val="single" w:color="0D6E6E" w:sz="4"/>
              <w:bottom w:val="single" w:color="0D6E6E" w:sz="4"/>
              <w:right w:val="single" w:color="0D6E6E"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Designation Examples</w:t>
            </w:r>
          </w:p>
        </w:tc>
        <w:tc>
          <w:tcPr>
            <w:tcW w:type="dxa" w:w="2560"/>
            <w:tcBorders>
              <w:top w:val="single" w:color="0D6E6E" w:sz="4"/>
              <w:left w:val="single" w:color="0D6E6E" w:sz="4"/>
              <w:bottom w:val="single" w:color="0D6E6E" w:sz="4"/>
              <w:right w:val="single" w:color="0D6E6E"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CTC Band (₹ Lakhs p.a.)</w:t>
            </w:r>
          </w:p>
        </w:tc>
        <w:tc>
          <w:tcPr>
            <w:tcW w:type="dxa" w:w="2200"/>
            <w:tcBorders>
              <w:top w:val="single" w:color="0D6E6E" w:sz="4"/>
              <w:left w:val="single" w:color="0D6E6E" w:sz="4"/>
              <w:bottom w:val="single" w:color="0D6E6E" w:sz="4"/>
              <w:right w:val="single" w:color="0D6E6E"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Basic Salary Range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L1 – Associate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Analyst, Executive</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3.0 – 6.0</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₹10,500 – ₹21,000 pm</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L2 – Senior</w:t>
            </w:r>
          </w:p>
        </w:tc>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Sr. Analyst, Sr. Executive</w:t>
            </w:r>
          </w:p>
        </w:tc>
        <w:tc>
          <w:tcPr>
            <w:tcW w:type="dxa" w:w="2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6.0 – 10.0</w:t>
            </w:r>
          </w:p>
        </w:tc>
        <w:tc>
          <w:tcPr>
            <w:tcW w:type="dxa" w:w="2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₹21,000 – ₹35,000 pm</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L3 – Lead / Manager</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Team Lead, Manager</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10.0 – 18.0</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₹35,000 – ₹63,000 pm</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L4 – Senior Manager</w:t>
            </w:r>
          </w:p>
        </w:tc>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Sr. Manager, Principal</w:t>
            </w:r>
          </w:p>
        </w:tc>
        <w:tc>
          <w:tcPr>
            <w:tcW w:type="dxa" w:w="2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18.0 – 30.0</w:t>
            </w:r>
          </w:p>
        </w:tc>
        <w:tc>
          <w:tcPr>
            <w:tcW w:type="dxa" w:w="2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₹63,000 – ₹1,05,000 pm</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L5 – Director+</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Director, VP, CXO</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30.0+</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₹1,05,000+ pm</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72B" w:sz="4"/>
              <w:left w:val="single" w:color="C8972B" w:sz="4"/>
              <w:bottom w:val="single" w:color="C8972B" w:sz="4"/>
              <w:right w:val="single" w:color="C8972B" w:sz="4"/>
            </w:tcBorders>
            <w:shd w:fill="FEF3DC" w:val="clear"/>
            <w:tcMar>
              <w:top w:type="dxa" w:w="100"/>
              <w:left w:type="dxa" w:w="160"/>
              <w:bottom w:type="dxa" w:w="100"/>
              <w:right w:type="dxa" w:w="160"/>
            </w:tcMar>
          </w:tcPr>
          <w:p>
            <w:pPr>
              <w:spacing w:after="60"/>
            </w:pPr>
            <w:r>
              <w:rPr>
                <w:rFonts w:ascii="Arial" w:cs="Arial" w:eastAsia="Arial" w:hAnsi="Arial"/>
                <w:b/>
                <w:bCs/>
                <w:color w:val="C8972B"/>
                <w:sz w:val="20"/>
                <w:szCs w:val="20"/>
              </w:rPr>
              <w:t xml:space="preserve">📋 Scenario 2A – Salary Structure for Ravi Kumar (L2 Senior Executive, CTC ₹8.0 L p.a.)</w:t>
            </w:r>
          </w:p>
          <w:p>
            <w:pPr>
              <w:spacing w:after="0"/>
            </w:pPr>
            <w:r>
              <w:rPr>
                <w:rFonts w:ascii="Arial" w:cs="Arial" w:eastAsia="Arial" w:hAnsi="Arial"/>
                <w:color w:val="444444"/>
                <w:sz w:val="19"/>
                <w:szCs w:val="19"/>
              </w:rPr>
              <w:t xml:space="preserve">Annual CTC: ₹8,00,000
Basic: ₹2,80,000 (35%) = ₹23,333 pm
HRA: ₹1,12,000 (40% of Basic) = ₹9,333 pm
Special Allowance: ₹1,08,000 = ₹9,000 pm
LTA: ₹24,000 = ₹2,000 pm
Performance Bonus: ₹72,000 (9% of CTC) = ₹6,000 pm
Employer PF: ₹33,600 = ₹2,800 pm (12% of Basic)
Gratuity Provision: ₹13,468 = ₹1,122 pm
Gross Monthly (Fixed): ₹43,666 | Monthly Take-Home after deductions: ~₹38,200</w:t>
            </w:r>
          </w:p>
        </w:tc>
      </w:tr>
    </w:tbl>
    <w:p>
      <w:r>
        <w:br w:type="page"/>
      </w:r>
    </w:p>
    <w:p>
      <w:pPr>
        <w:pStyle w:val="Heading1"/>
        <w:spacing w:after="160" w:before="400"/>
      </w:pPr>
      <w:r>
        <w:rPr>
          <w:rFonts w:ascii="Arial" w:cs="Arial" w:eastAsia="Arial" w:hAnsi="Arial"/>
          <w:b/>
          <w:bCs/>
          <w:color w:val="1B3A6B"/>
          <w:sz w:val="30"/>
          <w:szCs w:val="30"/>
        </w:rPr>
        <w:t xml:space="preserve">3. Payroll Cycle</w:t>
      </w:r>
    </w:p>
    <w:p>
      <w:pPr>
        <w:pBdr>
          <w:bottom w:val="single" w:color="0D6E6E" w:sz="8" w:space="1"/>
        </w:pBdr>
        <w:spacing w:after="120"/>
      </w:pPr>
    </w:p>
    <w:p>
      <w:pPr>
        <w:spacing w:after="100"/>
      </w:pPr>
      <w:r>
        <w:rPr>
          <w:rFonts w:ascii="Arial" w:cs="Arial" w:eastAsia="Arial" w:hAnsi="Arial"/>
          <w:color w:val="444444"/>
          <w:sz w:val="20"/>
          <w:szCs w:val="20"/>
        </w:rPr>
        <w:t xml:space="preserve">Salaries are processed on a monthly calendar basis. The payroll cycle is designed to ensure all data is accurate before disbursement.</w:t>
      </w:r>
    </w:p>
    <w:p>
      <w:pPr>
        <w:spacing w:after="0" w:before="120"/>
      </w:pPr>
    </w:p>
    <w:p>
      <w:pPr>
        <w:pStyle w:val="Heading2"/>
        <w:spacing w:after="120" w:before="280"/>
      </w:pPr>
      <w:r>
        <w:rPr>
          <w:rFonts w:ascii="Arial" w:cs="Arial" w:eastAsia="Arial" w:hAnsi="Arial"/>
          <w:b/>
          <w:bCs/>
          <w:color w:val="0D6E6E"/>
          <w:sz w:val="24"/>
          <w:szCs w:val="24"/>
        </w:rPr>
        <w:t xml:space="preserve">3.1  Monthly Payroll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0D6E6E" w:sz="4"/>
              <w:left w:val="single" w:color="0D6E6E" w:sz="4"/>
              <w:bottom w:val="single" w:color="0D6E6E" w:sz="4"/>
              <w:right w:val="single" w:color="0D6E6E"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Milestone</w:t>
            </w:r>
          </w:p>
        </w:tc>
        <w:tc>
          <w:tcPr>
            <w:tcW w:type="dxa" w:w="2400"/>
            <w:tcBorders>
              <w:top w:val="single" w:color="0D6E6E" w:sz="4"/>
              <w:left w:val="single" w:color="0D6E6E" w:sz="4"/>
              <w:bottom w:val="single" w:color="0D6E6E" w:sz="4"/>
              <w:right w:val="single" w:color="0D6E6E"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Deadline</w:t>
            </w:r>
          </w:p>
        </w:tc>
        <w:tc>
          <w:tcPr>
            <w:tcW w:type="dxa" w:w="3760"/>
            <w:tcBorders>
              <w:top w:val="single" w:color="0D6E6E" w:sz="4"/>
              <w:left w:val="single" w:color="0D6E6E" w:sz="4"/>
              <w:bottom w:val="single" w:color="0D6E6E" w:sz="4"/>
              <w:right w:val="single" w:color="0D6E6E"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Responsible Party</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Attendance &amp; LOP data submission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25th of current month</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Team Managers → HRIS</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Investment declaration / proofs upload</w:t>
            </w:r>
          </w:p>
        </w:tc>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27th of current month</w:t>
            </w:r>
          </w:p>
        </w:tc>
        <w:tc>
          <w:tcPr>
            <w:tcW w:type="dxa" w:w="3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Employees → HR Portal</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Payroll processing &amp; computation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28th–29th of current month</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Payroll Team</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CFO/Finance approval</w:t>
            </w:r>
          </w:p>
        </w:tc>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30th of current month</w:t>
            </w:r>
          </w:p>
        </w:tc>
        <w:tc>
          <w:tcPr>
            <w:tcW w:type="dxa" w:w="3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Finance Controller</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Bank file submission (NEFT/RTGS)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30th / last working day</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Finance Team</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Salary credit to employee accounts</w:t>
            </w:r>
          </w:p>
        </w:tc>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Last working day of month</w:t>
            </w:r>
          </w:p>
        </w:tc>
        <w:tc>
          <w:tcPr>
            <w:tcW w:type="dxa" w:w="3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Bank</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Payslip generation &amp; distribution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1st–2nd of next month</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Payroll Team</w:t>
            </w:r>
          </w:p>
        </w:tc>
      </w:tr>
    </w:tbl>
    <w:p>
      <w:pPr>
        <w:spacing w:after="0" w:before="120"/>
      </w:pPr>
    </w:p>
    <w:p>
      <w:pPr>
        <w:pStyle w:val="Heading2"/>
        <w:spacing w:after="120" w:before="280"/>
      </w:pPr>
      <w:r>
        <w:rPr>
          <w:rFonts w:ascii="Arial" w:cs="Arial" w:eastAsia="Arial" w:hAnsi="Arial"/>
          <w:b/>
          <w:bCs/>
          <w:color w:val="0D6E6E"/>
          <w:sz w:val="24"/>
          <w:szCs w:val="24"/>
        </w:rPr>
        <w:t xml:space="preserve">3.2  Loss of Pay (LOP) Deduction</w:t>
      </w:r>
    </w:p>
    <w:p>
      <w:pPr>
        <w:spacing w:after="100"/>
      </w:pPr>
      <w:r>
        <w:rPr>
          <w:rFonts w:ascii="Arial" w:cs="Arial" w:eastAsia="Arial" w:hAnsi="Arial"/>
          <w:color w:val="444444"/>
          <w:sz w:val="20"/>
          <w:szCs w:val="20"/>
        </w:rPr>
        <w:t xml:space="preserve">Salary for a partial month is computed using the following formula:</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6E6E" w:sz="4"/>
              <w:left w:val="single" w:color="0D6E6E" w:sz="4"/>
              <w:bottom w:val="single" w:color="0D6E6E" w:sz="4"/>
              <w:right w:val="single" w:color="0D6E6E" w:sz="4"/>
            </w:tcBorders>
            <w:shd w:fill="D6E4F0" w:val="clear"/>
            <w:tcMar>
              <w:top w:type="dxa" w:w="100"/>
              <w:left w:type="dxa" w:w="160"/>
              <w:bottom w:type="dxa" w:w="100"/>
              <w:right w:type="dxa" w:w="160"/>
            </w:tcMar>
          </w:tcPr>
          <w:p>
            <w:pPr>
              <w:spacing w:after="60"/>
            </w:pPr>
            <w:r>
              <w:rPr>
                <w:rFonts w:ascii="Arial" w:cs="Arial" w:eastAsia="Arial" w:hAnsi="Arial"/>
                <w:b/>
                <w:bCs/>
                <w:color w:val="1B3A6B"/>
                <w:sz w:val="20"/>
                <w:szCs w:val="20"/>
              </w:rPr>
              <w:t xml:space="preserve">LOP Formula</w:t>
            </w:r>
          </w:p>
          <w:p>
            <w:pPr>
              <w:spacing w:after="0"/>
            </w:pPr>
            <w:r>
              <w:rPr>
                <w:rFonts w:ascii="Arial" w:cs="Arial" w:eastAsia="Arial" w:hAnsi="Arial"/>
                <w:color w:val="444444"/>
                <w:sz w:val="19"/>
                <w:szCs w:val="19"/>
              </w:rPr>
              <w:t xml:space="preserve">Per Day Salary = Gross Monthly Salary ÷ Total Calendar Days in the Month
LOP Deduction = Per Day Salary × Number of LOP Days
Example: If Gross = ₹50,000 and 2 LOP days in June (30 days):
Per day = ₹50,000 ÷ 30 = ₹1,666.67
LOP Deduction = ₹1,666.67 × 2 = ₹3,333.33
Net Gross Payable = ₹50,000 – ₹3,333.33 = ₹46,666.67</w:t>
            </w:r>
          </w:p>
        </w:tc>
      </w:tr>
    </w:tbl>
    <w:p>
      <w:pPr>
        <w:spacing w:after="0" w:before="120"/>
      </w:pPr>
    </w:p>
    <w:p>
      <w:pPr>
        <w:pStyle w:val="Heading2"/>
        <w:spacing w:after="120" w:before="280"/>
      </w:pPr>
      <w:r>
        <w:rPr>
          <w:rFonts w:ascii="Arial" w:cs="Arial" w:eastAsia="Arial" w:hAnsi="Arial"/>
          <w:b/>
          <w:bCs/>
          <w:color w:val="0D6E6E"/>
          <w:sz w:val="24"/>
          <w:szCs w:val="24"/>
        </w:rPr>
        <w:t xml:space="preserve">3.3  Cut-off for New Joiners &amp; Resignees</w:t>
      </w:r>
    </w:p>
    <w:p>
      <w:pPr>
        <w:pStyle w:val="ListParagraph"/>
        <w:numPr>
          <w:ilvl w:val="0"/>
          <w:numId w:val="2"/>
        </w:numPr>
        <w:spacing w:after="80"/>
      </w:pPr>
      <w:r>
        <w:rPr>
          <w:rFonts w:ascii="Arial" w:cs="Arial" w:eastAsia="Arial" w:hAnsi="Arial"/>
          <w:color w:val="444444"/>
          <w:sz w:val="20"/>
          <w:szCs w:val="20"/>
        </w:rPr>
        <w:t xml:space="preserve">Employees joining on or before the 15th of the month are paid for the full month (prorated from date of joining).</w:t>
      </w:r>
    </w:p>
    <w:p>
      <w:pPr>
        <w:pStyle w:val="ListParagraph"/>
        <w:numPr>
          <w:ilvl w:val="0"/>
          <w:numId w:val="2"/>
        </w:numPr>
        <w:spacing w:after="80"/>
      </w:pPr>
      <w:r>
        <w:rPr>
          <w:rFonts w:ascii="Arial" w:cs="Arial" w:eastAsia="Arial" w:hAnsi="Arial"/>
          <w:color w:val="444444"/>
          <w:sz w:val="20"/>
          <w:szCs w:val="20"/>
        </w:rPr>
        <w:t xml:space="preserve">Employees joining after the 15th are paid only for the days from their date of joining.</w:t>
      </w:r>
    </w:p>
    <w:p>
      <w:pPr>
        <w:pStyle w:val="ListParagraph"/>
        <w:numPr>
          <w:ilvl w:val="0"/>
          <w:numId w:val="2"/>
        </w:numPr>
        <w:spacing w:after="80"/>
      </w:pPr>
      <w:r>
        <w:rPr>
          <w:rFonts w:ascii="Arial" w:cs="Arial" w:eastAsia="Arial" w:hAnsi="Arial"/>
          <w:color w:val="444444"/>
          <w:sz w:val="20"/>
          <w:szCs w:val="20"/>
        </w:rPr>
        <w:t xml:space="preserve">Salary is processed along with the regular payroll cycle; there is no mid-month disbursement except in exceptional circumstances approved by the CHRO.</w:t>
      </w:r>
    </w:p>
    <w:p>
      <w:r>
        <w:br w:type="page"/>
      </w:r>
    </w:p>
    <w:p>
      <w:pPr>
        <w:pStyle w:val="Heading1"/>
        <w:spacing w:after="160" w:before="400"/>
      </w:pPr>
      <w:r>
        <w:rPr>
          <w:rFonts w:ascii="Arial" w:cs="Arial" w:eastAsia="Arial" w:hAnsi="Arial"/>
          <w:b/>
          <w:bCs/>
          <w:color w:val="1B3A6B"/>
          <w:sz w:val="30"/>
          <w:szCs w:val="30"/>
        </w:rPr>
        <w:t xml:space="preserve">4. Payslip Components</w:t>
      </w:r>
    </w:p>
    <w:p>
      <w:pPr>
        <w:pBdr>
          <w:bottom w:val="single" w:color="0D6E6E" w:sz="8" w:space="1"/>
        </w:pBdr>
        <w:spacing w:after="120"/>
      </w:pPr>
    </w:p>
    <w:p>
      <w:pPr>
        <w:spacing w:after="100"/>
      </w:pPr>
      <w:r>
        <w:rPr>
          <w:rFonts w:ascii="Arial" w:cs="Arial" w:eastAsia="Arial" w:hAnsi="Arial"/>
          <w:color w:val="444444"/>
          <w:sz w:val="20"/>
          <w:szCs w:val="20"/>
        </w:rPr>
        <w:t xml:space="preserve">Every employee receives a digital payslip on the HR portal by the 2nd of the following month. Hard copies are available on request. The payslip details all earnings and deductions.</w:t>
      </w:r>
    </w:p>
    <w:p>
      <w:pPr>
        <w:spacing w:after="0" w:before="120"/>
      </w:pPr>
    </w:p>
    <w:p>
      <w:pPr>
        <w:pStyle w:val="Heading2"/>
        <w:spacing w:after="120" w:before="280"/>
      </w:pPr>
      <w:r>
        <w:rPr>
          <w:rFonts w:ascii="Arial" w:cs="Arial" w:eastAsia="Arial" w:hAnsi="Arial"/>
          <w:b/>
          <w:bCs/>
          <w:color w:val="0D6E6E"/>
          <w:sz w:val="24"/>
          <w:szCs w:val="24"/>
        </w:rPr>
        <w:t xml:space="preserve">4.1  Sample Payslip – Priya Mehta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80"/>
        <w:gridCol w:w="3080"/>
        <w:gridCol w:w="1600"/>
      </w:tblGrid>
      <w:tr>
        <w:tc>
          <w:tcPr>
            <w:tcW w:type="dxa" w:w="2800"/>
            <w:tcBorders>
              <w:top w:val="single" w:color="0D6E6E" w:sz="4"/>
              <w:left w:val="single" w:color="0D6E6E" w:sz="4"/>
              <w:bottom w:val="single" w:color="0D6E6E" w:sz="4"/>
              <w:right w:val="single" w:color="0D6E6E"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EARNINGS</w:t>
            </w:r>
          </w:p>
        </w:tc>
        <w:tc>
          <w:tcPr>
            <w:tcW w:type="dxa" w:w="1880"/>
            <w:tcBorders>
              <w:top w:val="single" w:color="0D6E6E" w:sz="4"/>
              <w:left w:val="single" w:color="0D6E6E" w:sz="4"/>
              <w:bottom w:val="single" w:color="0D6E6E" w:sz="4"/>
              <w:right w:val="single" w:color="0D6E6E"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Amount (₹)</w:t>
            </w:r>
          </w:p>
        </w:tc>
        <w:tc>
          <w:tcPr>
            <w:tcW w:type="dxa" w:w="3080"/>
            <w:tcBorders>
              <w:top w:val="single" w:color="0D6E6E" w:sz="4"/>
              <w:left w:val="single" w:color="0D6E6E" w:sz="4"/>
              <w:bottom w:val="single" w:color="0D6E6E" w:sz="4"/>
              <w:right w:val="single" w:color="0D6E6E"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DEDUCTIONS</w:t>
            </w:r>
          </w:p>
        </w:tc>
        <w:tc>
          <w:tcPr>
            <w:tcW w:type="dxa" w:w="1600"/>
            <w:tcBorders>
              <w:top w:val="single" w:color="0D6E6E" w:sz="4"/>
              <w:left w:val="single" w:color="0D6E6E" w:sz="4"/>
              <w:bottom w:val="single" w:color="0D6E6E" w:sz="4"/>
              <w:right w:val="single" w:color="0D6E6E"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Amount (₹)</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Basic Salary</w:t>
            </w:r>
          </w:p>
        </w:tc>
        <w:tc>
          <w:tcPr>
            <w:tcW w:type="dxa" w:w="18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28,000</w:t>
            </w:r>
          </w:p>
        </w:tc>
        <w:tc>
          <w:tcPr>
            <w:tcW w:type="dxa" w:w="3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Provident Fund (Employee – 12%)</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3,360</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HRA</w:t>
            </w:r>
          </w:p>
        </w:tc>
        <w:tc>
          <w:tcPr>
            <w:tcW w:type="dxa" w:w="188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11,200</w:t>
            </w:r>
          </w:p>
        </w:tc>
        <w:tc>
          <w:tcPr>
            <w:tcW w:type="dxa" w:w="308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Professional Tax</w:t>
            </w:r>
          </w:p>
        </w:tc>
        <w:tc>
          <w:tcPr>
            <w:tcW w:type="dxa" w:w="1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200</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Special Allowance</w:t>
            </w:r>
          </w:p>
        </w:tc>
        <w:tc>
          <w:tcPr>
            <w:tcW w:type="dxa" w:w="18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9,500</w:t>
            </w:r>
          </w:p>
        </w:tc>
        <w:tc>
          <w:tcPr>
            <w:tcW w:type="dxa" w:w="3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TDS (Income Tax)</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4,250</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LTA (Monthly Accrual)</w:t>
            </w:r>
          </w:p>
        </w:tc>
        <w:tc>
          <w:tcPr>
            <w:tcW w:type="dxa" w:w="188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2,000</w:t>
            </w:r>
          </w:p>
        </w:tc>
        <w:tc>
          <w:tcPr>
            <w:tcW w:type="dxa" w:w="308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ESIC (if applicable)</w:t>
            </w:r>
          </w:p>
        </w:tc>
        <w:tc>
          <w:tcPr>
            <w:tcW w:type="dxa" w:w="1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Medical Allowance</w:t>
            </w:r>
          </w:p>
        </w:tc>
        <w:tc>
          <w:tcPr>
            <w:tcW w:type="dxa" w:w="18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1,250</w:t>
            </w:r>
          </w:p>
        </w:tc>
        <w:tc>
          <w:tcPr>
            <w:tcW w:type="dxa" w:w="3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Advance Recovery</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Performance Allowance</w:t>
            </w:r>
          </w:p>
        </w:tc>
        <w:tc>
          <w:tcPr>
            <w:tcW w:type="dxa" w:w="188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3,000</w:t>
            </w:r>
          </w:p>
        </w:tc>
        <w:tc>
          <w:tcPr>
            <w:tcW w:type="dxa" w:w="308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Loan EMI (if any)</w:t>
            </w:r>
          </w:p>
        </w:tc>
        <w:tc>
          <w:tcPr>
            <w:tcW w:type="dxa" w:w="1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
            </w:r>
          </w:p>
        </w:tc>
        <w:tc>
          <w:tcPr>
            <w:tcW w:type="dxa" w:w="18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
            </w:r>
          </w:p>
        </w:tc>
        <w:tc>
          <w:tcPr>
            <w:tcW w:type="dxa" w:w="3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GROSS EARNINGS</w:t>
            </w:r>
          </w:p>
        </w:tc>
        <w:tc>
          <w:tcPr>
            <w:tcW w:type="dxa" w:w="188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54,950</w:t>
            </w:r>
          </w:p>
        </w:tc>
        <w:tc>
          <w:tcPr>
            <w:tcW w:type="dxa" w:w="308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TOTAL DEDUCTIONS</w:t>
            </w:r>
          </w:p>
        </w:tc>
        <w:tc>
          <w:tcPr>
            <w:tcW w:type="dxa" w:w="1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7,810</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
            </w:r>
          </w:p>
        </w:tc>
        <w:tc>
          <w:tcPr>
            <w:tcW w:type="dxa" w:w="18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
            </w:r>
          </w:p>
        </w:tc>
        <w:tc>
          <w:tcPr>
            <w:tcW w:type="dxa" w:w="3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NET PAY</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47,140</w:t>
            </w:r>
          </w:p>
        </w:tc>
      </w:tr>
    </w:tbl>
    <w:p>
      <w:pPr>
        <w:spacing w:after="0" w:before="120"/>
      </w:pPr>
    </w:p>
    <w:p>
      <w:pPr>
        <w:pStyle w:val="Heading2"/>
        <w:spacing w:after="120" w:before="280"/>
      </w:pPr>
      <w:r>
        <w:rPr>
          <w:rFonts w:ascii="Arial" w:cs="Arial" w:eastAsia="Arial" w:hAnsi="Arial"/>
          <w:b/>
          <w:bCs/>
          <w:color w:val="0D6E6E"/>
          <w:sz w:val="24"/>
          <w:szCs w:val="24"/>
        </w:rPr>
        <w:t xml:space="preserve">4.2  Payslip Components Explained</w:t>
      </w:r>
    </w:p>
    <w:p>
      <w:pPr>
        <w:pStyle w:val="ListParagraph"/>
        <w:numPr>
          <w:ilvl w:val="0"/>
          <w:numId w:val="2"/>
        </w:numPr>
        <w:spacing w:after="80"/>
      </w:pPr>
      <w:r>
        <w:rPr>
          <w:rFonts w:ascii="Arial" w:cs="Arial" w:eastAsia="Arial" w:hAnsi="Arial"/>
          <w:color w:val="444444"/>
          <w:sz w:val="20"/>
          <w:szCs w:val="20"/>
        </w:rPr>
        <w:t xml:space="preserve">Basic Salary: Core component; basis for PF, Gratuity, and most allowance calculations.</w:t>
      </w:r>
    </w:p>
    <w:p>
      <w:pPr>
        <w:pStyle w:val="ListParagraph"/>
        <w:numPr>
          <w:ilvl w:val="0"/>
          <w:numId w:val="2"/>
        </w:numPr>
        <w:spacing w:after="80"/>
      </w:pPr>
      <w:r>
        <w:rPr>
          <w:rFonts w:ascii="Arial" w:cs="Arial" w:eastAsia="Arial" w:hAnsi="Arial"/>
          <w:color w:val="444444"/>
          <w:sz w:val="20"/>
          <w:szCs w:val="20"/>
        </w:rPr>
        <w:t xml:space="preserve">HRA: Housing Rent Allowance; exempt under Section 10(13A) if rent is paid. Exemption is the least of: (a) Actual HRA received, (b) 50% of Basic for metro / 40% for non-metro, or (c) Actual rent paid minus 10% of Basic.</w:t>
      </w:r>
    </w:p>
    <w:p>
      <w:pPr>
        <w:pStyle w:val="ListParagraph"/>
        <w:numPr>
          <w:ilvl w:val="0"/>
          <w:numId w:val="2"/>
        </w:numPr>
        <w:spacing w:after="80"/>
      </w:pPr>
      <w:r>
        <w:rPr>
          <w:rFonts w:ascii="Arial" w:cs="Arial" w:eastAsia="Arial" w:hAnsi="Arial"/>
          <w:color w:val="444444"/>
          <w:sz w:val="20"/>
          <w:szCs w:val="20"/>
        </w:rPr>
        <w:t xml:space="preserve">LTA: Leave Travel Allowance; exempt for domestic travel costs for self and family, twice in a block of four calendar years.</w:t>
      </w:r>
    </w:p>
    <w:p>
      <w:pPr>
        <w:pStyle w:val="ListParagraph"/>
        <w:numPr>
          <w:ilvl w:val="0"/>
          <w:numId w:val="2"/>
        </w:numPr>
        <w:spacing w:after="80"/>
      </w:pPr>
      <w:r>
        <w:rPr>
          <w:rFonts w:ascii="Arial" w:cs="Arial" w:eastAsia="Arial" w:hAnsi="Arial"/>
          <w:color w:val="444444"/>
          <w:sz w:val="20"/>
          <w:szCs w:val="20"/>
        </w:rPr>
        <w:t xml:space="preserve">Special Allowance: Residual balancing component; fully taxable. Adjusted to match the agreed CTC.</w:t>
      </w:r>
    </w:p>
    <w:p>
      <w:pPr>
        <w:pStyle w:val="ListParagraph"/>
        <w:numPr>
          <w:ilvl w:val="0"/>
          <w:numId w:val="2"/>
        </w:numPr>
        <w:spacing w:after="80"/>
      </w:pPr>
      <w:r>
        <w:rPr>
          <w:rFonts w:ascii="Arial" w:cs="Arial" w:eastAsia="Arial" w:hAnsi="Arial"/>
          <w:color w:val="444444"/>
          <w:sz w:val="20"/>
          <w:szCs w:val="20"/>
        </w:rPr>
        <w:t xml:space="preserve">Professional Tax: State-levied tax; deductible under Section 16(iii) of the IT Act. Rates vary by state (Karnataka: ₹200 pm for salary &gt; ₹15,000).</w:t>
      </w:r>
    </w:p>
    <w:p>
      <w:pPr>
        <w:pStyle w:val="ListParagraph"/>
        <w:numPr>
          <w:ilvl w:val="0"/>
          <w:numId w:val="2"/>
        </w:numPr>
        <w:spacing w:after="80"/>
      </w:pPr>
      <w:r>
        <w:rPr>
          <w:rFonts w:ascii="Arial" w:cs="Arial" w:eastAsia="Arial" w:hAnsi="Arial"/>
          <w:color w:val="444444"/>
          <w:sz w:val="20"/>
          <w:szCs w:val="20"/>
        </w:rPr>
        <w:t xml:space="preserve">TDS: Tax Deducted at Source monthly, projected on annual income after all exemptions and declared investments.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72B" w:sz="4"/>
              <w:left w:val="single" w:color="C8972B" w:sz="4"/>
              <w:bottom w:val="single" w:color="C8972B" w:sz="4"/>
              <w:right w:val="single" w:color="C8972B" w:sz="4"/>
            </w:tcBorders>
            <w:shd w:fill="FEF3DC" w:val="clear"/>
            <w:tcMar>
              <w:top w:type="dxa" w:w="100"/>
              <w:left w:type="dxa" w:w="160"/>
              <w:bottom w:type="dxa" w:w="100"/>
              <w:right w:type="dxa" w:w="160"/>
            </w:tcMar>
          </w:tcPr>
          <w:p>
            <w:pPr>
              <w:spacing w:after="60"/>
            </w:pPr>
            <w:r>
              <w:rPr>
                <w:rFonts w:ascii="Arial" w:cs="Arial" w:eastAsia="Arial" w:hAnsi="Arial"/>
                <w:b/>
                <w:bCs/>
                <w:color w:val="C8972B"/>
                <w:sz w:val="20"/>
                <w:szCs w:val="20"/>
              </w:rPr>
              <w:t xml:space="preserve">📋 Scenario 4A – HRA Exemption Calculation for Priya Mehta</w:t>
            </w:r>
          </w:p>
          <w:p>
            <w:pPr>
              <w:spacing w:after="0"/>
            </w:pPr>
            <w:r>
              <w:rPr>
                <w:rFonts w:ascii="Arial" w:cs="Arial" w:eastAsia="Arial" w:hAnsi="Arial"/>
                <w:color w:val="444444"/>
                <w:sz w:val="19"/>
                <w:szCs w:val="19"/>
              </w:rPr>
              <w:t xml:space="preserve">Basic: ₹28,000 pm | HRA Received: ₹11,200 pm | City: Bengaluru (Metro)
Annual Rent Paid: ₹12,000 pm × 12 = ₹1,44,000
Exemption = Min of:
(a) Actual HRA = ₹1,34,400
(b) 50% of Annual Basic = ₹1,68,000
(c) Rent Paid – 10% of Basic = ₹1,44,000 – ₹33,600 = ₹1,10,400
HRA Exemption = ₹1,10,400 | Taxable HRA = ₹1,34,400 – ₹1,10,400 = ₹24,000</w:t>
            </w:r>
          </w:p>
        </w:tc>
      </w:tr>
    </w:tbl>
    <w:p>
      <w:r>
        <w:br w:type="page"/>
      </w:r>
    </w:p>
    <w:p>
      <w:pPr>
        <w:pStyle w:val="Heading1"/>
        <w:spacing w:after="160" w:before="400"/>
      </w:pPr>
      <w:r>
        <w:rPr>
          <w:rFonts w:ascii="Arial" w:cs="Arial" w:eastAsia="Arial" w:hAnsi="Arial"/>
          <w:b/>
          <w:bCs/>
          <w:color w:val="1B3A6B"/>
          <w:sz w:val="30"/>
          <w:szCs w:val="30"/>
        </w:rPr>
        <w:t xml:space="preserve">5. Tax Deductions (TDS)</w:t>
      </w:r>
    </w:p>
    <w:p>
      <w:pPr>
        <w:pBdr>
          <w:bottom w:val="single" w:color="0D6E6E" w:sz="8" w:space="1"/>
        </w:pBdr>
        <w:spacing w:after="120"/>
      </w:pPr>
    </w:p>
    <w:p>
      <w:pPr>
        <w:spacing w:after="100"/>
      </w:pPr>
      <w:r>
        <w:rPr>
          <w:rFonts w:ascii="Arial" w:cs="Arial" w:eastAsia="Arial" w:hAnsi="Arial"/>
          <w:color w:val="444444"/>
          <w:sz w:val="20"/>
          <w:szCs w:val="20"/>
        </w:rPr>
        <w:t xml:space="preserve">Tax Deducted at Source (TDS) is computed at the start of each financial year based on the projected annual income and deductions declared by the employee. It is recalculated whenever the employee updates their declarations.</w:t>
      </w:r>
    </w:p>
    <w:p>
      <w:pPr>
        <w:spacing w:after="0" w:before="120"/>
      </w:pPr>
    </w:p>
    <w:p>
      <w:pPr>
        <w:pStyle w:val="Heading2"/>
        <w:spacing w:after="120" w:before="280"/>
      </w:pPr>
      <w:r>
        <w:rPr>
          <w:rFonts w:ascii="Arial" w:cs="Arial" w:eastAsia="Arial" w:hAnsi="Arial"/>
          <w:b/>
          <w:bCs/>
          <w:color w:val="0D6E6E"/>
          <w:sz w:val="24"/>
          <w:szCs w:val="24"/>
        </w:rPr>
        <w:t xml:space="preserve">5.1  Tax Regime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6E6E" w:sz="4"/>
              <w:left w:val="single" w:color="0D6E6E" w:sz="4"/>
              <w:bottom w:val="single" w:color="0D6E6E" w:sz="4"/>
              <w:right w:val="single" w:color="0D6E6E" w:sz="4"/>
            </w:tcBorders>
            <w:shd w:fill="D6E4F0" w:val="clear"/>
            <w:tcMar>
              <w:top w:type="dxa" w:w="100"/>
              <w:left w:type="dxa" w:w="160"/>
              <w:bottom w:type="dxa" w:w="100"/>
              <w:right w:type="dxa" w:w="160"/>
            </w:tcMar>
          </w:tcPr>
          <w:p>
            <w:pPr>
              <w:spacing w:after="60"/>
            </w:pPr>
            <w:r>
              <w:rPr>
                <w:rFonts w:ascii="Arial" w:cs="Arial" w:eastAsia="Arial" w:hAnsi="Arial"/>
                <w:b/>
                <w:bCs/>
                <w:color w:val="1B3A6B"/>
                <w:sz w:val="20"/>
                <w:szCs w:val="20"/>
              </w:rPr>
              <w:t xml:space="preserve">Choice of Tax Regime</w:t>
            </w:r>
          </w:p>
          <w:p>
            <w:pPr>
              <w:spacing w:after="0"/>
            </w:pPr>
            <w:r>
              <w:rPr>
                <w:rFonts w:ascii="Arial" w:cs="Arial" w:eastAsia="Arial" w:hAnsi="Arial"/>
                <w:color w:val="444444"/>
                <w:sz w:val="19"/>
                <w:szCs w:val="19"/>
              </w:rPr>
              <w:t xml:space="preserve">Employees must declare their preferred tax regime at the start of the financial year (April) or at the time of joining.
• Old Regime: Allows exemptions (HRA, LTA) and deductions (80C, 80D, 24b, etc.). Beneficial for employees with significant investments and home loans.
• New Regime (Default from FY 2023-24): Lower slab rates; limited deductions allowed. A standard deduction of ₹75,000 p.a. is available under the new regime.</w:t>
            </w:r>
          </w:p>
        </w:tc>
      </w:tr>
    </w:tbl>
    <w:p>
      <w:pPr>
        <w:spacing w:after="0" w:before="120"/>
      </w:pPr>
    </w:p>
    <w:p>
      <w:pPr>
        <w:pStyle w:val="Heading2"/>
        <w:spacing w:after="120" w:before="280"/>
      </w:pPr>
      <w:r>
        <w:rPr>
          <w:rFonts w:ascii="Arial" w:cs="Arial" w:eastAsia="Arial" w:hAnsi="Arial"/>
          <w:b/>
          <w:bCs/>
          <w:color w:val="0D6E6E"/>
          <w:sz w:val="24"/>
          <w:szCs w:val="24"/>
        </w:rPr>
        <w:t xml:space="preserve">5.2  New Tax Regime Slabs (FY 2025-26)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0D6E6E" w:sz="4"/>
              <w:left w:val="single" w:color="0D6E6E" w:sz="4"/>
              <w:bottom w:val="single" w:color="0D6E6E" w:sz="4"/>
              <w:right w:val="single" w:color="0D6E6E"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Annual Income Slab</w:t>
            </w:r>
          </w:p>
        </w:tc>
        <w:tc>
          <w:tcPr>
            <w:tcW w:type="dxa" w:w="4160"/>
            <w:tcBorders>
              <w:top w:val="single" w:color="0D6E6E" w:sz="4"/>
              <w:left w:val="single" w:color="0D6E6E" w:sz="4"/>
              <w:bottom w:val="single" w:color="0D6E6E" w:sz="4"/>
              <w:right w:val="single" w:color="0D6E6E"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Tax Rate</w:t>
            </w:r>
          </w:p>
        </w:tc>
      </w:tr>
      <w:tr>
        <w:tc>
          <w:tcPr>
            <w:tcW w:type="dxa" w:w="5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Up to ₹3,00,000</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Nil</w:t>
            </w:r>
          </w:p>
        </w:tc>
      </w:tr>
      <w:tr>
        <w:tc>
          <w:tcPr>
            <w:tcW w:type="dxa" w:w="5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₹3,00,001 – ₹7,00,000</w:t>
            </w:r>
          </w:p>
        </w:tc>
        <w:tc>
          <w:tcPr>
            <w:tcW w:type="dxa" w:w="41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5%</w:t>
            </w:r>
          </w:p>
        </w:tc>
      </w:tr>
      <w:tr>
        <w:tc>
          <w:tcPr>
            <w:tcW w:type="dxa" w:w="5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₹7,00,001 – ₹10,00,000</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10%</w:t>
            </w:r>
          </w:p>
        </w:tc>
      </w:tr>
      <w:tr>
        <w:tc>
          <w:tcPr>
            <w:tcW w:type="dxa" w:w="5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₹10,00,001 – ₹12,00,000</w:t>
            </w:r>
          </w:p>
        </w:tc>
        <w:tc>
          <w:tcPr>
            <w:tcW w:type="dxa" w:w="41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15%</w:t>
            </w:r>
          </w:p>
        </w:tc>
      </w:tr>
      <w:tr>
        <w:tc>
          <w:tcPr>
            <w:tcW w:type="dxa" w:w="5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₹12,00,001 – ₹15,00,000</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20%</w:t>
            </w:r>
          </w:p>
        </w:tc>
      </w:tr>
      <w:tr>
        <w:tc>
          <w:tcPr>
            <w:tcW w:type="dxa" w:w="5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Above ₹15,00,000</w:t>
            </w:r>
          </w:p>
        </w:tc>
        <w:tc>
          <w:tcPr>
            <w:tcW w:type="dxa" w:w="41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30%</w:t>
            </w:r>
          </w:p>
        </w:tc>
      </w:tr>
    </w:tbl>
    <w:p>
      <w:pPr>
        <w:spacing w:after="0" w:before="120"/>
      </w:pPr>
    </w:p>
    <w:p>
      <w:pPr>
        <w:pStyle w:val="Heading2"/>
        <w:spacing w:after="120" w:before="280"/>
      </w:pPr>
      <w:r>
        <w:rPr>
          <w:rFonts w:ascii="Arial" w:cs="Arial" w:eastAsia="Arial" w:hAnsi="Arial"/>
          <w:b/>
          <w:bCs/>
          <w:color w:val="0D6E6E"/>
          <w:sz w:val="24"/>
          <w:szCs w:val="24"/>
        </w:rPr>
        <w:t xml:space="preserve">5.3  Key Deductions Under Old Regime</w:t>
      </w:r>
    </w:p>
    <w:p>
      <w:pPr>
        <w:pStyle w:val="ListParagraph"/>
        <w:numPr>
          <w:ilvl w:val="0"/>
          <w:numId w:val="2"/>
        </w:numPr>
        <w:spacing w:after="80"/>
      </w:pPr>
      <w:r>
        <w:rPr>
          <w:rFonts w:ascii="Arial" w:cs="Arial" w:eastAsia="Arial" w:hAnsi="Arial"/>
          <w:color w:val="444444"/>
          <w:sz w:val="20"/>
          <w:szCs w:val="20"/>
        </w:rPr>
        <w:t xml:space="preserve">Section 80C (up to ₹1,50,000): PPF, ELSS, EPF employee share, life insurance, NSC, home loan principal.</w:t>
      </w:r>
    </w:p>
    <w:p>
      <w:pPr>
        <w:pStyle w:val="ListParagraph"/>
        <w:numPr>
          <w:ilvl w:val="0"/>
          <w:numId w:val="2"/>
        </w:numPr>
        <w:spacing w:after="80"/>
      </w:pPr>
      <w:r>
        <w:rPr>
          <w:rFonts w:ascii="Arial" w:cs="Arial" w:eastAsia="Arial" w:hAnsi="Arial"/>
          <w:color w:val="444444"/>
          <w:sz w:val="20"/>
          <w:szCs w:val="20"/>
        </w:rPr>
        <w:t xml:space="preserve">Section 80D (up to ₹25,000 / ₹50,000 for senior citizens): Health insurance premiums.</w:t>
      </w:r>
    </w:p>
    <w:p>
      <w:pPr>
        <w:pStyle w:val="ListParagraph"/>
        <w:numPr>
          <w:ilvl w:val="0"/>
          <w:numId w:val="2"/>
        </w:numPr>
        <w:spacing w:after="80"/>
      </w:pPr>
      <w:r>
        <w:rPr>
          <w:rFonts w:ascii="Arial" w:cs="Arial" w:eastAsia="Arial" w:hAnsi="Arial"/>
          <w:color w:val="444444"/>
          <w:sz w:val="20"/>
          <w:szCs w:val="20"/>
        </w:rPr>
        <w:t xml:space="preserve">Section 24(b) (up to ₹2,00,000): Home loan interest on self-occupied property.</w:t>
      </w:r>
    </w:p>
    <w:p>
      <w:pPr>
        <w:pStyle w:val="ListParagraph"/>
        <w:numPr>
          <w:ilvl w:val="0"/>
          <w:numId w:val="2"/>
        </w:numPr>
        <w:spacing w:after="80"/>
      </w:pPr>
      <w:r>
        <w:rPr>
          <w:rFonts w:ascii="Arial" w:cs="Arial" w:eastAsia="Arial" w:hAnsi="Arial"/>
          <w:color w:val="444444"/>
          <w:sz w:val="20"/>
          <w:szCs w:val="20"/>
        </w:rPr>
        <w:t xml:space="preserve">Section 10(13A): HRA exemption.</w:t>
      </w:r>
    </w:p>
    <w:p>
      <w:pPr>
        <w:pStyle w:val="ListParagraph"/>
        <w:numPr>
          <w:ilvl w:val="0"/>
          <w:numId w:val="2"/>
        </w:numPr>
        <w:spacing w:after="80"/>
      </w:pPr>
      <w:r>
        <w:rPr>
          <w:rFonts w:ascii="Arial" w:cs="Arial" w:eastAsia="Arial" w:hAnsi="Arial"/>
          <w:color w:val="444444"/>
          <w:sz w:val="20"/>
          <w:szCs w:val="20"/>
        </w:rPr>
        <w:t xml:space="preserve">Section 80CCD(1B) (up to ₹50,000): NPS self-contribution – additional deduction beyond 80C.</w:t>
      </w:r>
    </w:p>
    <w:p>
      <w:pPr>
        <w:spacing w:after="0" w:before="120"/>
      </w:pPr>
    </w:p>
    <w:p>
      <w:pPr>
        <w:pStyle w:val="Heading2"/>
        <w:spacing w:after="120" w:before="280"/>
      </w:pPr>
      <w:r>
        <w:rPr>
          <w:rFonts w:ascii="Arial" w:cs="Arial" w:eastAsia="Arial" w:hAnsi="Arial"/>
          <w:b/>
          <w:bCs/>
          <w:color w:val="0D6E6E"/>
          <w:sz w:val="24"/>
          <w:szCs w:val="24"/>
        </w:rPr>
        <w:t xml:space="preserve">5.4  TDS Monthly Computation Process</w:t>
      </w:r>
    </w:p>
    <w:p>
      <w:pPr>
        <w:pStyle w:val="ListParagraph"/>
        <w:numPr>
          <w:ilvl w:val="0"/>
          <w:numId w:val="3"/>
        </w:numPr>
        <w:spacing w:after="80"/>
      </w:pPr>
      <w:r>
        <w:rPr>
          <w:rFonts w:ascii="Arial" w:cs="Arial" w:eastAsia="Arial" w:hAnsi="Arial"/>
          <w:color w:val="444444"/>
          <w:sz w:val="20"/>
          <w:szCs w:val="20"/>
        </w:rPr>
        <w:t xml:space="preserve">Employee submits investment declaration (Form 12BB) at the start of the FY.</w:t>
      </w:r>
    </w:p>
    <w:p>
      <w:pPr>
        <w:pStyle w:val="ListParagraph"/>
        <w:numPr>
          <w:ilvl w:val="0"/>
          <w:numId w:val="3"/>
        </w:numPr>
        <w:spacing w:after="80"/>
      </w:pPr>
      <w:r>
        <w:rPr>
          <w:rFonts w:ascii="Arial" w:cs="Arial" w:eastAsia="Arial" w:hAnsi="Arial"/>
          <w:color w:val="444444"/>
          <w:sz w:val="20"/>
          <w:szCs w:val="20"/>
        </w:rPr>
        <w:t xml:space="preserve">Payroll team computes estimated annual tax liability.</w:t>
      </w:r>
    </w:p>
    <w:p>
      <w:pPr>
        <w:pStyle w:val="ListParagraph"/>
        <w:numPr>
          <w:ilvl w:val="0"/>
          <w:numId w:val="3"/>
        </w:numPr>
        <w:spacing w:after="80"/>
      </w:pPr>
      <w:r>
        <w:rPr>
          <w:rFonts w:ascii="Arial" w:cs="Arial" w:eastAsia="Arial" w:hAnsi="Arial"/>
          <w:color w:val="444444"/>
          <w:sz w:val="20"/>
          <w:szCs w:val="20"/>
        </w:rPr>
        <w:t xml:space="preserve">Monthly TDS = (Annual Tax Liability – TDS already deducted) ÷ Remaining months.</w:t>
      </w:r>
    </w:p>
    <w:p>
      <w:pPr>
        <w:pStyle w:val="ListParagraph"/>
        <w:numPr>
          <w:ilvl w:val="0"/>
          <w:numId w:val="3"/>
        </w:numPr>
        <w:spacing w:after="80"/>
      </w:pPr>
      <w:r>
        <w:rPr>
          <w:rFonts w:ascii="Arial" w:cs="Arial" w:eastAsia="Arial" w:hAnsi="Arial"/>
          <w:color w:val="444444"/>
          <w:sz w:val="20"/>
          <w:szCs w:val="20"/>
        </w:rPr>
        <w:t xml:space="preserve">Employee submits actual investment proofs by February 10th.</w:t>
      </w:r>
    </w:p>
    <w:p>
      <w:pPr>
        <w:pStyle w:val="ListParagraph"/>
        <w:numPr>
          <w:ilvl w:val="0"/>
          <w:numId w:val="3"/>
        </w:numPr>
        <w:spacing w:after="80"/>
      </w:pPr>
      <w:r>
        <w:rPr>
          <w:rFonts w:ascii="Arial" w:cs="Arial" w:eastAsia="Arial" w:hAnsi="Arial"/>
          <w:color w:val="444444"/>
          <w:sz w:val="20"/>
          <w:szCs w:val="20"/>
        </w:rPr>
        <w:t xml:space="preserve">TDS is adjusted in February–March based on actuals.</w:t>
      </w:r>
    </w:p>
    <w:p>
      <w:pPr>
        <w:pStyle w:val="ListParagraph"/>
        <w:numPr>
          <w:ilvl w:val="0"/>
          <w:numId w:val="3"/>
        </w:numPr>
        <w:spacing w:after="80"/>
      </w:pPr>
      <w:r>
        <w:rPr>
          <w:rFonts w:ascii="Arial" w:cs="Arial" w:eastAsia="Arial" w:hAnsi="Arial"/>
          <w:color w:val="444444"/>
          <w:sz w:val="20"/>
          <w:szCs w:val="20"/>
        </w:rPr>
        <w:t xml:space="preserve">Form 16 (Part A – employer TDS, Part B – income details) is issued by June 15th.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72B" w:sz="4"/>
              <w:left w:val="single" w:color="C8972B" w:sz="4"/>
              <w:bottom w:val="single" w:color="C8972B" w:sz="4"/>
              <w:right w:val="single" w:color="C8972B" w:sz="4"/>
            </w:tcBorders>
            <w:shd w:fill="FEF3DC" w:val="clear"/>
            <w:tcMar>
              <w:top w:type="dxa" w:w="100"/>
              <w:left w:type="dxa" w:w="160"/>
              <w:bottom w:type="dxa" w:w="100"/>
              <w:right w:type="dxa" w:w="160"/>
            </w:tcMar>
          </w:tcPr>
          <w:p>
            <w:pPr>
              <w:spacing w:after="60"/>
            </w:pPr>
            <w:r>
              <w:rPr>
                <w:rFonts w:ascii="Arial" w:cs="Arial" w:eastAsia="Arial" w:hAnsi="Arial"/>
                <w:b/>
                <w:bCs/>
                <w:color w:val="C8972B"/>
                <w:sz w:val="20"/>
                <w:szCs w:val="20"/>
              </w:rPr>
              <w:t xml:space="preserve">📋 Scenario 5A – TDS Calculation for Amit Sharma (Old Regime, CTC ₹12 L p.a.)</w:t>
            </w:r>
          </w:p>
          <w:p>
            <w:pPr>
              <w:spacing w:after="0"/>
            </w:pPr>
            <w:r>
              <w:rPr>
                <w:rFonts w:ascii="Arial" w:cs="Arial" w:eastAsia="Arial" w:hAnsi="Arial"/>
                <w:color w:val="444444"/>
                <w:sz w:val="19"/>
                <w:szCs w:val="19"/>
              </w:rPr>
              <w:t xml:space="preserve">Annual Gross: ₹12,00,000 | Standard Deduction: ₹50,000
HRA Exemption: ₹80,000 | 80C Declared: ₹1,50,000 | 80D: ₹25,000
Taxable Income = ₹12,00,000 – ₹50,000 – ₹80,000 – ₹1,50,000 – ₹25,000 = ₹8,95,000
Tax on ₹8,95,000 (Old Slabs):
  Up to ₹2,50,000 = NIL
  ₹2,50,001–₹5,00,000 @ 5% = ₹12,500
  ₹5,00,001–₹8,95,000 @ 20% = ₹79,000
Total Tax = ₹91,500 + 4% Health &amp; Education Cess = ₹95,160
Monthly TDS = ₹95,160 ÷ 12 = ₹7,930</w:t>
            </w:r>
          </w:p>
        </w:tc>
      </w:tr>
    </w:tbl>
    <w:p>
      <w:r>
        <w:br w:type="page"/>
      </w:r>
    </w:p>
    <w:p>
      <w:pPr>
        <w:pStyle w:val="Heading1"/>
        <w:spacing w:after="160" w:before="400"/>
      </w:pPr>
      <w:r>
        <w:rPr>
          <w:rFonts w:ascii="Arial" w:cs="Arial" w:eastAsia="Arial" w:hAnsi="Arial"/>
          <w:b/>
          <w:bCs/>
          <w:color w:val="1B3A6B"/>
          <w:sz w:val="30"/>
          <w:szCs w:val="30"/>
        </w:rPr>
        <w:t xml:space="preserve">6. Provident Fund (EPF)</w:t>
      </w:r>
    </w:p>
    <w:p>
      <w:pPr>
        <w:pBdr>
          <w:bottom w:val="single" w:color="0D6E6E" w:sz="8" w:space="1"/>
        </w:pBdr>
        <w:spacing w:after="120"/>
      </w:pPr>
    </w:p>
    <w:p>
      <w:pPr>
        <w:spacing w:after="100"/>
      </w:pPr>
      <w:r>
        <w:rPr>
          <w:rFonts w:ascii="Arial" w:cs="Arial" w:eastAsia="Arial" w:hAnsi="Arial"/>
          <w:color w:val="444444"/>
          <w:sz w:val="20"/>
          <w:szCs w:val="20"/>
        </w:rPr>
        <w:t xml:space="preserve">The Employees' Provident Fund (EPF) is a statutory retirement savings scheme governed by the Employees' Provident Fund &amp; Miscellaneous Provisions Act, 1952. Both the employee and employer contribute monthly.</w:t>
      </w:r>
    </w:p>
    <w:p>
      <w:pPr>
        <w:spacing w:after="0" w:before="120"/>
      </w:pPr>
    </w:p>
    <w:p>
      <w:pPr>
        <w:pStyle w:val="Heading2"/>
        <w:spacing w:after="120" w:before="280"/>
      </w:pPr>
      <w:r>
        <w:rPr>
          <w:rFonts w:ascii="Arial" w:cs="Arial" w:eastAsia="Arial" w:hAnsi="Arial"/>
          <w:b/>
          <w:bCs/>
          <w:color w:val="0D6E6E"/>
          <w:sz w:val="24"/>
          <w:szCs w:val="24"/>
        </w:rPr>
        <w:t xml:space="preserve">6.1  Contribution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000"/>
        <w:gridCol w:w="2360"/>
      </w:tblGrid>
      <w:tr>
        <w:tc>
          <w:tcPr>
            <w:tcW w:type="dxa" w:w="1800"/>
            <w:tcBorders>
              <w:top w:val="single" w:color="0D6E6E" w:sz="4"/>
              <w:left w:val="single" w:color="0D6E6E" w:sz="4"/>
              <w:bottom w:val="single" w:color="0D6E6E" w:sz="4"/>
              <w:right w:val="single" w:color="0D6E6E"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Contributor</w:t>
            </w:r>
          </w:p>
        </w:tc>
        <w:tc>
          <w:tcPr>
            <w:tcW w:type="dxa" w:w="2200"/>
            <w:tcBorders>
              <w:top w:val="single" w:color="0D6E6E" w:sz="4"/>
              <w:left w:val="single" w:color="0D6E6E" w:sz="4"/>
              <w:bottom w:val="single" w:color="0D6E6E" w:sz="4"/>
              <w:right w:val="single" w:color="0D6E6E"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Rate</w:t>
            </w:r>
          </w:p>
        </w:tc>
        <w:tc>
          <w:tcPr>
            <w:tcW w:type="dxa" w:w="3000"/>
            <w:tcBorders>
              <w:top w:val="single" w:color="0D6E6E" w:sz="4"/>
              <w:left w:val="single" w:color="0D6E6E" w:sz="4"/>
              <w:bottom w:val="single" w:color="0D6E6E" w:sz="4"/>
              <w:right w:val="single" w:color="0D6E6E"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Allocation</w:t>
            </w:r>
          </w:p>
        </w:tc>
        <w:tc>
          <w:tcPr>
            <w:tcW w:type="dxa" w:w="2360"/>
            <w:tcBorders>
              <w:top w:val="single" w:color="0D6E6E" w:sz="4"/>
              <w:left w:val="single" w:color="0D6E6E" w:sz="4"/>
              <w:bottom w:val="single" w:color="0D6E6E" w:sz="4"/>
              <w:right w:val="single" w:color="0D6E6E"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Basis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Employee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12% of Basic+DA</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100% to EPF Account</w:t>
            </w:r>
          </w:p>
        </w:tc>
        <w:tc>
          <w:tcPr>
            <w:tcW w:type="dxa" w:w="2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Mandatory; no ceiling</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Employer</w:t>
            </w:r>
          </w:p>
        </w:tc>
        <w:tc>
          <w:tcPr>
            <w:tcW w:type="dxa" w:w="2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12% of Basic+DA</w:t>
            </w:r>
          </w:p>
        </w:tc>
        <w:tc>
          <w:tcPr>
            <w:tcW w:type="dxa" w:w="3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8.33% to EPS (capped at ₹1,250); 3.67% to EPF</w:t>
            </w:r>
          </w:p>
        </w:tc>
        <w:tc>
          <w:tcPr>
            <w:tcW w:type="dxa" w:w="2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Mandatory for Basic ≤ ₹15,000 statutory; company extends to all</w:t>
            </w:r>
          </w:p>
        </w:tc>
      </w:tr>
    </w:tbl>
    <w:p>
      <w:pPr>
        <w:spacing w:after="0" w:before="120"/>
      </w:pPr>
    </w:p>
    <w:p>
      <w:pPr>
        <w:pStyle w:val="ListParagraph"/>
        <w:numPr>
          <w:ilvl w:val="0"/>
          <w:numId w:val="2"/>
        </w:numPr>
        <w:spacing w:after="80"/>
      </w:pPr>
      <w:r>
        <w:rPr>
          <w:rFonts w:ascii="Arial" w:cs="Arial" w:eastAsia="Arial" w:hAnsi="Arial"/>
          <w:color w:val="444444"/>
          <w:sz w:val="20"/>
          <w:szCs w:val="20"/>
        </w:rPr>
        <w:t xml:space="preserve">Employees earning Basic Salary above ₹15,000 pm are technically exempt but the organisation opts into EPF for all permanent employees as a company policy.</w:t>
      </w:r>
    </w:p>
    <w:p>
      <w:pPr>
        <w:pStyle w:val="ListParagraph"/>
        <w:numPr>
          <w:ilvl w:val="0"/>
          <w:numId w:val="2"/>
        </w:numPr>
        <w:spacing w:after="80"/>
      </w:pPr>
      <w:r>
        <w:rPr>
          <w:rFonts w:ascii="Arial" w:cs="Arial" w:eastAsia="Arial" w:hAnsi="Arial"/>
          <w:color w:val="444444"/>
          <w:sz w:val="20"/>
          <w:szCs w:val="20"/>
        </w:rPr>
        <w:t xml:space="preserve">Employees have the option to contribute up to the Voluntary Provident Fund (VPF) over 12% — excess is treated as VPF and earns the same EPF interest rate.</w:t>
      </w:r>
    </w:p>
    <w:p>
      <w:pPr>
        <w:pStyle w:val="ListParagraph"/>
        <w:numPr>
          <w:ilvl w:val="0"/>
          <w:numId w:val="2"/>
        </w:numPr>
        <w:spacing w:after="80"/>
      </w:pPr>
      <w:r>
        <w:rPr>
          <w:rFonts w:ascii="Arial" w:cs="Arial" w:eastAsia="Arial" w:hAnsi="Arial"/>
          <w:color w:val="444444"/>
          <w:sz w:val="20"/>
          <w:szCs w:val="20"/>
        </w:rPr>
        <w:t xml:space="preserve">Current EPF Interest Rate: 8.25% p.a. (FY 2024-25; declared annually by EPFO).</w:t>
      </w:r>
    </w:p>
    <w:p>
      <w:pPr>
        <w:spacing w:after="0" w:before="120"/>
      </w:pPr>
    </w:p>
    <w:p>
      <w:pPr>
        <w:pStyle w:val="Heading2"/>
        <w:spacing w:after="120" w:before="280"/>
      </w:pPr>
      <w:r>
        <w:rPr>
          <w:rFonts w:ascii="Arial" w:cs="Arial" w:eastAsia="Arial" w:hAnsi="Arial"/>
          <w:b/>
          <w:bCs/>
          <w:color w:val="0D6E6E"/>
          <w:sz w:val="24"/>
          <w:szCs w:val="24"/>
        </w:rPr>
        <w:t xml:space="preserve">6.2  Universal Account Number (UAN)</w:t>
      </w:r>
    </w:p>
    <w:p>
      <w:pPr>
        <w:pStyle w:val="ListParagraph"/>
        <w:numPr>
          <w:ilvl w:val="0"/>
          <w:numId w:val="2"/>
        </w:numPr>
        <w:spacing w:after="80"/>
      </w:pPr>
      <w:r>
        <w:rPr>
          <w:rFonts w:ascii="Arial" w:cs="Arial" w:eastAsia="Arial" w:hAnsi="Arial"/>
          <w:color w:val="444444"/>
          <w:sz w:val="20"/>
          <w:szCs w:val="20"/>
        </w:rPr>
        <w:t xml:space="preserve">Each employee is allotted a unique UAN at the time of first employment registration.</w:t>
      </w:r>
    </w:p>
    <w:p>
      <w:pPr>
        <w:pStyle w:val="ListParagraph"/>
        <w:numPr>
          <w:ilvl w:val="0"/>
          <w:numId w:val="2"/>
        </w:numPr>
        <w:spacing w:after="80"/>
      </w:pPr>
      <w:r>
        <w:rPr>
          <w:rFonts w:ascii="Arial" w:cs="Arial" w:eastAsia="Arial" w:hAnsi="Arial"/>
          <w:color w:val="444444"/>
          <w:sz w:val="20"/>
          <w:szCs w:val="20"/>
        </w:rPr>
        <w:t xml:space="preserve">Employees must link their UAN to Aadhaar and activate it on the EPFO member portal.</w:t>
      </w:r>
    </w:p>
    <w:p>
      <w:pPr>
        <w:pStyle w:val="ListParagraph"/>
        <w:numPr>
          <w:ilvl w:val="0"/>
          <w:numId w:val="2"/>
        </w:numPr>
        <w:spacing w:after="80"/>
      </w:pPr>
      <w:r>
        <w:rPr>
          <w:rFonts w:ascii="Arial" w:cs="Arial" w:eastAsia="Arial" w:hAnsi="Arial"/>
          <w:color w:val="444444"/>
          <w:sz w:val="20"/>
          <w:szCs w:val="20"/>
        </w:rPr>
        <w:t xml:space="preserve">The UAN remains the same throughout the employee's career, regardless of job changes.</w:t>
      </w:r>
    </w:p>
    <w:p>
      <w:pPr>
        <w:pStyle w:val="Heading2"/>
        <w:spacing w:after="120" w:before="280"/>
      </w:pPr>
      <w:r>
        <w:rPr>
          <w:rFonts w:ascii="Arial" w:cs="Arial" w:eastAsia="Arial" w:hAnsi="Arial"/>
          <w:b/>
          <w:bCs/>
          <w:color w:val="0D6E6E"/>
          <w:sz w:val="24"/>
          <w:szCs w:val="24"/>
        </w:rPr>
        <w:t xml:space="preserve">6.3  Withdrawal Rules</w:t>
      </w:r>
    </w:p>
    <w:p>
      <w:pPr>
        <w:pStyle w:val="ListParagraph"/>
        <w:numPr>
          <w:ilvl w:val="0"/>
          <w:numId w:val="2"/>
        </w:numPr>
        <w:spacing w:after="80"/>
      </w:pPr>
      <w:r>
        <w:rPr>
          <w:rFonts w:ascii="Arial" w:cs="Arial" w:eastAsia="Arial" w:hAnsi="Arial"/>
          <w:color w:val="444444"/>
          <w:sz w:val="20"/>
          <w:szCs w:val="20"/>
        </w:rPr>
        <w:t xml:space="preserve">Full withdrawal: On retirement (58 years) or after 2 months of unemployment.</w:t>
      </w:r>
    </w:p>
    <w:p>
      <w:pPr>
        <w:pStyle w:val="ListParagraph"/>
        <w:numPr>
          <w:ilvl w:val="0"/>
          <w:numId w:val="2"/>
        </w:numPr>
        <w:spacing w:after="80"/>
      </w:pPr>
      <w:r>
        <w:rPr>
          <w:rFonts w:ascii="Arial" w:cs="Arial" w:eastAsia="Arial" w:hAnsi="Arial"/>
          <w:color w:val="444444"/>
          <w:sz w:val="20"/>
          <w:szCs w:val="20"/>
        </w:rPr>
        <w:t xml:space="preserve">Partial withdrawal: Permissible for medical emergencies, home purchase, higher education, and marriage after 7 years of service.</w:t>
      </w:r>
    </w:p>
    <w:p>
      <w:pPr>
        <w:pStyle w:val="ListParagraph"/>
        <w:numPr>
          <w:ilvl w:val="0"/>
          <w:numId w:val="2"/>
        </w:numPr>
        <w:spacing w:after="80"/>
      </w:pPr>
      <w:r>
        <w:rPr>
          <w:rFonts w:ascii="Arial" w:cs="Arial" w:eastAsia="Arial" w:hAnsi="Arial"/>
          <w:color w:val="444444"/>
          <w:sz w:val="20"/>
          <w:szCs w:val="20"/>
        </w:rPr>
        <w:t xml:space="preserve">Taxation: EPF withdrawals before 5 years of continuous service are taxable; beyond 5 years they are fully tax-free.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72B" w:sz="4"/>
              <w:left w:val="single" w:color="C8972B" w:sz="4"/>
              <w:bottom w:val="single" w:color="C8972B" w:sz="4"/>
              <w:right w:val="single" w:color="C8972B" w:sz="4"/>
            </w:tcBorders>
            <w:shd w:fill="FEF3DC" w:val="clear"/>
            <w:tcMar>
              <w:top w:type="dxa" w:w="100"/>
              <w:left w:type="dxa" w:w="160"/>
              <w:bottom w:type="dxa" w:w="100"/>
              <w:right w:type="dxa" w:w="160"/>
            </w:tcMar>
          </w:tcPr>
          <w:p>
            <w:pPr>
              <w:spacing w:after="60"/>
            </w:pPr>
            <w:r>
              <w:rPr>
                <w:rFonts w:ascii="Arial" w:cs="Arial" w:eastAsia="Arial" w:hAnsi="Arial"/>
                <w:b/>
                <w:bCs/>
                <w:color w:val="C8972B"/>
                <w:sz w:val="20"/>
                <w:szCs w:val="20"/>
              </w:rPr>
              <w:t xml:space="preserve">📋 Scenario 6A – EPF Accumulation for Sneha Patel (10 Years of Service)</w:t>
            </w:r>
          </w:p>
          <w:p>
            <w:pPr>
              <w:spacing w:after="0"/>
            </w:pPr>
            <w:r>
              <w:rPr>
                <w:rFonts w:ascii="Arial" w:cs="Arial" w:eastAsia="Arial" w:hAnsi="Arial"/>
                <w:color w:val="444444"/>
                <w:sz w:val="19"/>
                <w:szCs w:val="19"/>
              </w:rPr>
              <w:t xml:space="preserve">Monthly Basic: ₹35,000 | Employee Contribution: 12% = ₹4,200 pm
Employer EPF Share: 3.67% = ₹1,284 pm | Total Monthly EPF Credit: ₹5,484 pm
Annual EPF Contribution (both): ₹65,808
EPF Corpus at 8.25% p.a. after 10 years ≈ ₹9,68,000 (approximate compound)
EPS pension corpus: Separate; basis for pension after 10 years' membership</w:t>
            </w:r>
          </w:p>
        </w:tc>
      </w:tr>
    </w:tbl>
    <w:p>
      <w:r>
        <w:br w:type="page"/>
      </w:r>
    </w:p>
    <w:p>
      <w:pPr>
        <w:pStyle w:val="Heading1"/>
        <w:spacing w:after="160" w:before="400"/>
      </w:pPr>
      <w:r>
        <w:rPr>
          <w:rFonts w:ascii="Arial" w:cs="Arial" w:eastAsia="Arial" w:hAnsi="Arial"/>
          <w:b/>
          <w:bCs/>
          <w:color w:val="1B3A6B"/>
          <w:sz w:val="30"/>
          <w:szCs w:val="30"/>
        </w:rPr>
        <w:t xml:space="preserve">7. Gratuity</w:t>
      </w:r>
    </w:p>
    <w:p>
      <w:pPr>
        <w:pBdr>
          <w:bottom w:val="single" w:color="0D6E6E" w:sz="8" w:space="1"/>
        </w:pBdr>
        <w:spacing w:after="120"/>
      </w:pPr>
    </w:p>
    <w:p>
      <w:pPr>
        <w:spacing w:after="100"/>
      </w:pPr>
      <w:r>
        <w:rPr>
          <w:rFonts w:ascii="Arial" w:cs="Arial" w:eastAsia="Arial" w:hAnsi="Arial"/>
          <w:color w:val="444444"/>
          <w:sz w:val="20"/>
          <w:szCs w:val="20"/>
        </w:rPr>
        <w:t xml:space="preserve">Gratuity is a statutory terminal benefit payable under the Payment of Gratuity Act, 1972. It is a token of appreciation for long service and loyalty.</w:t>
      </w:r>
    </w:p>
    <w:p>
      <w:pPr>
        <w:spacing w:after="0" w:before="120"/>
      </w:pPr>
    </w:p>
    <w:p>
      <w:pPr>
        <w:pStyle w:val="Heading2"/>
        <w:spacing w:after="120" w:before="280"/>
      </w:pPr>
      <w:r>
        <w:rPr>
          <w:rFonts w:ascii="Arial" w:cs="Arial" w:eastAsia="Arial" w:hAnsi="Arial"/>
          <w:b/>
          <w:bCs/>
          <w:color w:val="0D6E6E"/>
          <w:sz w:val="24"/>
          <w:szCs w:val="24"/>
        </w:rPr>
        <w:t xml:space="preserve">7.1  Eligibility &amp;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6E6E" w:sz="4"/>
              <w:left w:val="single" w:color="0D6E6E" w:sz="4"/>
              <w:bottom w:val="single" w:color="0D6E6E" w:sz="4"/>
              <w:right w:val="single" w:color="0D6E6E" w:sz="4"/>
            </w:tcBorders>
            <w:shd w:fill="D6E4F0" w:val="clear"/>
            <w:tcMar>
              <w:top w:type="dxa" w:w="100"/>
              <w:left w:type="dxa" w:w="160"/>
              <w:bottom w:type="dxa" w:w="100"/>
              <w:right w:type="dxa" w:w="160"/>
            </w:tcMar>
          </w:tcPr>
          <w:p>
            <w:pPr>
              <w:spacing w:after="60"/>
            </w:pPr>
            <w:r>
              <w:rPr>
                <w:rFonts w:ascii="Arial" w:cs="Arial" w:eastAsia="Arial" w:hAnsi="Arial"/>
                <w:b/>
                <w:bCs/>
                <w:color w:val="1B3A6B"/>
                <w:sz w:val="20"/>
                <w:szCs w:val="20"/>
              </w:rPr>
              <w:t xml:space="preserve">Gratuity Formula</w:t>
            </w:r>
          </w:p>
          <w:p>
            <w:pPr>
              <w:spacing w:after="0"/>
            </w:pPr>
            <w:r>
              <w:rPr>
                <w:rFonts w:ascii="Arial" w:cs="Arial" w:eastAsia="Arial" w:hAnsi="Arial"/>
                <w:color w:val="444444"/>
                <w:sz w:val="19"/>
                <w:szCs w:val="19"/>
              </w:rPr>
              <w:t xml:space="preserve">Gratuity = (Last Drawn Monthly Basic Salary × 15 × Number of Years of Service) ÷ 26
Note: 26 working days in a month; 15 days' salary per year of service.
'Years of service' rounds up if the last year fraction exceeds 6 months.
Example: 5 years 7 months = 6 years for gratuity calculation.</w:t>
            </w:r>
          </w:p>
        </w:tc>
      </w:tr>
    </w:tbl>
    <w:p>
      <w:pPr>
        <w:spacing w:after="0" w:before="120"/>
      </w:pPr>
    </w:p>
    <w:p>
      <w:pPr>
        <w:pStyle w:val="Heading2"/>
        <w:spacing w:after="120" w:before="280"/>
      </w:pPr>
      <w:r>
        <w:rPr>
          <w:rFonts w:ascii="Arial" w:cs="Arial" w:eastAsia="Arial" w:hAnsi="Arial"/>
          <w:b/>
          <w:bCs/>
          <w:color w:val="0D6E6E"/>
          <w:sz w:val="24"/>
          <w:szCs w:val="24"/>
        </w:rPr>
        <w:t xml:space="preserve">7.2  Key Rules</w:t>
      </w:r>
    </w:p>
    <w:p>
      <w:pPr>
        <w:pStyle w:val="ListParagraph"/>
        <w:numPr>
          <w:ilvl w:val="0"/>
          <w:numId w:val="2"/>
        </w:numPr>
        <w:spacing w:after="80"/>
      </w:pPr>
      <w:r>
        <w:rPr>
          <w:rFonts w:ascii="Arial" w:cs="Arial" w:eastAsia="Arial" w:hAnsi="Arial"/>
          <w:color w:val="444444"/>
          <w:sz w:val="20"/>
          <w:szCs w:val="20"/>
        </w:rPr>
        <w:t xml:space="preserve">Eligibility threshold: Minimum 5 years of continuous service (except in case of death or disability).</w:t>
      </w:r>
    </w:p>
    <w:p>
      <w:pPr>
        <w:pStyle w:val="ListParagraph"/>
        <w:numPr>
          <w:ilvl w:val="0"/>
          <w:numId w:val="2"/>
        </w:numPr>
        <w:spacing w:after="80"/>
      </w:pPr>
      <w:r>
        <w:rPr>
          <w:rFonts w:ascii="Arial" w:cs="Arial" w:eastAsia="Arial" w:hAnsi="Arial"/>
          <w:color w:val="444444"/>
          <w:sz w:val="20"/>
          <w:szCs w:val="20"/>
        </w:rPr>
        <w:t xml:space="preserve">Maximum tax-exempt gratuity: ₹20 lakh under Section 10(10) of the IT Act. Amount above ₹20 lakh is taxable.</w:t>
      </w:r>
    </w:p>
    <w:p>
      <w:pPr>
        <w:pStyle w:val="ListParagraph"/>
        <w:numPr>
          <w:ilvl w:val="0"/>
          <w:numId w:val="2"/>
        </w:numPr>
        <w:spacing w:after="80"/>
      </w:pPr>
      <w:r>
        <w:rPr>
          <w:rFonts w:ascii="Arial" w:cs="Arial" w:eastAsia="Arial" w:hAnsi="Arial"/>
          <w:color w:val="444444"/>
          <w:sz w:val="20"/>
          <w:szCs w:val="20"/>
        </w:rPr>
        <w:t xml:space="preserve">The organisation maintains a Group Gratuity insurance fund with LIC / approved trust to ensure gratuity liability is pre-funded.</w:t>
      </w:r>
    </w:p>
    <w:p>
      <w:pPr>
        <w:pStyle w:val="ListParagraph"/>
        <w:numPr>
          <w:ilvl w:val="0"/>
          <w:numId w:val="2"/>
        </w:numPr>
        <w:spacing w:after="80"/>
      </w:pPr>
      <w:r>
        <w:rPr>
          <w:rFonts w:ascii="Arial" w:cs="Arial" w:eastAsia="Arial" w:hAnsi="Arial"/>
          <w:color w:val="444444"/>
          <w:sz w:val="20"/>
          <w:szCs w:val="20"/>
        </w:rPr>
        <w:t xml:space="preserve">Gratuity is paid within 30 days of employee separation; interest @ 10% p.a. is payable by the employer for delays.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72B" w:sz="4"/>
              <w:left w:val="single" w:color="C8972B" w:sz="4"/>
              <w:bottom w:val="single" w:color="C8972B" w:sz="4"/>
              <w:right w:val="single" w:color="C8972B" w:sz="4"/>
            </w:tcBorders>
            <w:shd w:fill="FEF3DC" w:val="clear"/>
            <w:tcMar>
              <w:top w:type="dxa" w:w="100"/>
              <w:left w:type="dxa" w:w="160"/>
              <w:bottom w:type="dxa" w:w="100"/>
              <w:right w:type="dxa" w:w="160"/>
            </w:tcMar>
          </w:tcPr>
          <w:p>
            <w:pPr>
              <w:spacing w:after="60"/>
            </w:pPr>
            <w:r>
              <w:rPr>
                <w:rFonts w:ascii="Arial" w:cs="Arial" w:eastAsia="Arial" w:hAnsi="Arial"/>
                <w:b/>
                <w:bCs/>
                <w:color w:val="C8972B"/>
                <w:sz w:val="20"/>
                <w:szCs w:val="20"/>
              </w:rPr>
              <w:t xml:space="preserve">📋 Scenario 7A – Gratuity for Rajesh Nair (Resigned after 8 Years 8 Months)</w:t>
            </w:r>
          </w:p>
          <w:p>
            <w:pPr>
              <w:spacing w:after="0"/>
            </w:pPr>
            <w:r>
              <w:rPr>
                <w:rFonts w:ascii="Arial" w:cs="Arial" w:eastAsia="Arial" w:hAnsi="Arial"/>
                <w:color w:val="444444"/>
                <w:sz w:val="19"/>
                <w:szCs w:val="19"/>
              </w:rPr>
              <w:t xml:space="preserve">Last Drawn Basic: ₹55,000 pm | Service: 8 years 8 months → Rounds to 9 years
Gratuity = (₹55,000 × 15 × 9) ÷ 26
           = ₹74,25,000 ÷ 26
           = ₹2,85,577
Tax Exemption: Full amount (below ₹20 lakh ceiling) → Fully tax-free.</w:t>
            </w:r>
          </w:p>
        </w:tc>
      </w:tr>
    </w:tbl>
    <w:p>
      <w:r>
        <w:br w:type="page"/>
      </w:r>
    </w:p>
    <w:p>
      <w:pPr>
        <w:pStyle w:val="Heading1"/>
        <w:spacing w:after="160" w:before="400"/>
      </w:pPr>
      <w:r>
        <w:rPr>
          <w:rFonts w:ascii="Arial" w:cs="Arial" w:eastAsia="Arial" w:hAnsi="Arial"/>
          <w:b/>
          <w:bCs/>
          <w:color w:val="1B3A6B"/>
          <w:sz w:val="30"/>
          <w:szCs w:val="30"/>
        </w:rPr>
        <w:t xml:space="preserve">8. Bonus Calculations</w:t>
      </w:r>
    </w:p>
    <w:p>
      <w:pPr>
        <w:pBdr>
          <w:bottom w:val="single" w:color="0D6E6E" w:sz="8" w:space="1"/>
        </w:pBdr>
        <w:spacing w:after="120"/>
      </w:pPr>
    </w:p>
    <w:p>
      <w:pPr>
        <w:spacing w:after="100"/>
      </w:pPr>
      <w:r>
        <w:rPr>
          <w:rFonts w:ascii="Arial" w:cs="Arial" w:eastAsia="Arial" w:hAnsi="Arial"/>
          <w:color w:val="444444"/>
          <w:sz w:val="20"/>
          <w:szCs w:val="20"/>
        </w:rPr>
        <w:t xml:space="preserve">The organisation operates two bonus schemes: the statutory bonus under the Payment of Bonus Act, 1965, and a discretionary performance-linked bonus.</w:t>
      </w:r>
    </w:p>
    <w:p>
      <w:pPr>
        <w:spacing w:after="0" w:before="120"/>
      </w:pPr>
    </w:p>
    <w:p>
      <w:pPr>
        <w:pStyle w:val="Heading2"/>
        <w:spacing w:after="120" w:before="280"/>
      </w:pPr>
      <w:r>
        <w:rPr>
          <w:rFonts w:ascii="Arial" w:cs="Arial" w:eastAsia="Arial" w:hAnsi="Arial"/>
          <w:b/>
          <w:bCs/>
          <w:color w:val="0D6E6E"/>
          <w:sz w:val="24"/>
          <w:szCs w:val="24"/>
        </w:rPr>
        <w:t xml:space="preserve">8.1  Statutory Bonus</w:t>
      </w:r>
    </w:p>
    <w:p>
      <w:pPr>
        <w:pStyle w:val="ListParagraph"/>
        <w:numPr>
          <w:ilvl w:val="0"/>
          <w:numId w:val="2"/>
        </w:numPr>
        <w:spacing w:after="80"/>
      </w:pPr>
      <w:r>
        <w:rPr>
          <w:rFonts w:ascii="Arial" w:cs="Arial" w:eastAsia="Arial" w:hAnsi="Arial"/>
          <w:color w:val="444444"/>
          <w:sz w:val="20"/>
          <w:szCs w:val="20"/>
        </w:rPr>
        <w:t xml:space="preserve">Applicability: Employees whose monthly salary (Basic + DA) does not exceed ₹21,000.</w:t>
      </w:r>
    </w:p>
    <w:p>
      <w:pPr>
        <w:pStyle w:val="ListParagraph"/>
        <w:numPr>
          <w:ilvl w:val="0"/>
          <w:numId w:val="2"/>
        </w:numPr>
        <w:spacing w:after="80"/>
      </w:pPr>
      <w:r>
        <w:rPr>
          <w:rFonts w:ascii="Arial" w:cs="Arial" w:eastAsia="Arial" w:hAnsi="Arial"/>
          <w:color w:val="444444"/>
          <w:sz w:val="20"/>
          <w:szCs w:val="20"/>
        </w:rPr>
        <w:t xml:space="preserve">Minimum bonus: 8.33% of annual Basic+DA or ₹100, whichever is higher.</w:t>
      </w:r>
    </w:p>
    <w:p>
      <w:pPr>
        <w:pStyle w:val="ListParagraph"/>
        <w:numPr>
          <w:ilvl w:val="0"/>
          <w:numId w:val="2"/>
        </w:numPr>
        <w:spacing w:after="80"/>
      </w:pPr>
      <w:r>
        <w:rPr>
          <w:rFonts w:ascii="Arial" w:cs="Arial" w:eastAsia="Arial" w:hAnsi="Arial"/>
          <w:color w:val="444444"/>
          <w:sz w:val="20"/>
          <w:szCs w:val="20"/>
        </w:rPr>
        <w:t xml:space="preserve">Maximum bonus: 20% of annual Basic+DA, depending on company profitability.</w:t>
      </w:r>
    </w:p>
    <w:p>
      <w:pPr>
        <w:pStyle w:val="ListParagraph"/>
        <w:numPr>
          <w:ilvl w:val="0"/>
          <w:numId w:val="2"/>
        </w:numPr>
        <w:spacing w:after="80"/>
      </w:pPr>
      <w:r>
        <w:rPr>
          <w:rFonts w:ascii="Arial" w:cs="Arial" w:eastAsia="Arial" w:hAnsi="Arial"/>
          <w:color w:val="444444"/>
          <w:sz w:val="20"/>
          <w:szCs w:val="20"/>
        </w:rPr>
        <w:t xml:space="preserve">Payment timeline: Payable within 8 months of the end of the financial year (i.e., by November 30th).</w:t>
      </w:r>
    </w:p>
    <w:p>
      <w:pPr>
        <w:pStyle w:val="ListParagraph"/>
        <w:numPr>
          <w:ilvl w:val="0"/>
          <w:numId w:val="2"/>
        </w:numPr>
        <w:spacing w:after="80"/>
      </w:pPr>
      <w:r>
        <w:rPr>
          <w:rFonts w:ascii="Arial" w:cs="Arial" w:eastAsia="Arial" w:hAnsi="Arial"/>
          <w:color w:val="444444"/>
          <w:sz w:val="20"/>
          <w:szCs w:val="20"/>
        </w:rPr>
        <w:t xml:space="preserve">Salary ceiling for bonus calculation: ₹7,000 per month or minimum wage (whichever is higher).</w:t>
      </w:r>
    </w:p>
    <w:p>
      <w:pPr>
        <w:spacing w:after="0" w:before="120"/>
      </w:pPr>
    </w:p>
    <w:p>
      <w:pPr>
        <w:pStyle w:val="Heading2"/>
        <w:spacing w:after="120" w:before="280"/>
      </w:pPr>
      <w:r>
        <w:rPr>
          <w:rFonts w:ascii="Arial" w:cs="Arial" w:eastAsia="Arial" w:hAnsi="Arial"/>
          <w:b/>
          <w:bCs/>
          <w:color w:val="0D6E6E"/>
          <w:sz w:val="24"/>
          <w:szCs w:val="24"/>
        </w:rPr>
        <w:t xml:space="preserve">8.2  Performance Linked Bonus (PLB)</w:t>
      </w:r>
    </w:p>
    <w:p>
      <w:pPr>
        <w:spacing w:after="100"/>
      </w:pPr>
      <w:r>
        <w:rPr>
          <w:rFonts w:ascii="Arial" w:cs="Arial" w:eastAsia="Arial" w:hAnsi="Arial"/>
          <w:color w:val="444444"/>
          <w:sz w:val="20"/>
          <w:szCs w:val="20"/>
        </w:rPr>
        <w:t xml:space="preserve">The Performance Linked Bonus rewards employees based on individual performance ratings and company/business unit performance.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0D6E6E" w:sz="4"/>
              <w:left w:val="single" w:color="0D6E6E" w:sz="4"/>
              <w:bottom w:val="single" w:color="0D6E6E" w:sz="4"/>
              <w:right w:val="single" w:color="0D6E6E"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Performance Rating</w:t>
            </w:r>
          </w:p>
        </w:tc>
        <w:tc>
          <w:tcPr>
            <w:tcW w:type="dxa" w:w="3000"/>
            <w:tcBorders>
              <w:top w:val="single" w:color="0D6E6E" w:sz="4"/>
              <w:left w:val="single" w:color="0D6E6E" w:sz="4"/>
              <w:bottom w:val="single" w:color="0D6E6E" w:sz="4"/>
              <w:right w:val="single" w:color="0D6E6E"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PLB (% of Annual Basic)</w:t>
            </w:r>
          </w:p>
        </w:tc>
        <w:tc>
          <w:tcPr>
            <w:tcW w:type="dxa" w:w="3560"/>
            <w:tcBorders>
              <w:top w:val="single" w:color="0D6E6E" w:sz="4"/>
              <w:left w:val="single" w:color="0D6E6E" w:sz="4"/>
              <w:bottom w:val="single" w:color="0D6E6E" w:sz="4"/>
              <w:right w:val="single" w:color="0D6E6E"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Remarks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5 – Exceptional</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25–30%</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Top 5% of performers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4 – Exceeds Expectations</w:t>
            </w:r>
          </w:p>
        </w:tc>
        <w:tc>
          <w:tcPr>
            <w:tcW w:type="dxa" w:w="3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18–24%</w:t>
            </w:r>
          </w:p>
        </w:tc>
        <w:tc>
          <w:tcPr>
            <w:tcW w:type="dxa" w:w="3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Top 20% of performers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3 – Meets Expectations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10–17%</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Core performers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2 – Needs Improvement</w:t>
            </w:r>
          </w:p>
        </w:tc>
        <w:tc>
          <w:tcPr>
            <w:tcW w:type="dxa" w:w="3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0–9%</w:t>
            </w:r>
          </w:p>
        </w:tc>
        <w:tc>
          <w:tcPr>
            <w:tcW w:type="dxa" w:w="3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Discretionary</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1 – Does Not Meet</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0%</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No bonus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6E6E" w:sz="4"/>
              <w:left w:val="single" w:color="0D6E6E" w:sz="4"/>
              <w:bottom w:val="single" w:color="0D6E6E" w:sz="4"/>
              <w:right w:val="single" w:color="0D6E6E" w:sz="4"/>
            </w:tcBorders>
            <w:shd w:fill="D6E4F0" w:val="clear"/>
            <w:tcMar>
              <w:top w:type="dxa" w:w="100"/>
              <w:left w:type="dxa" w:w="160"/>
              <w:bottom w:type="dxa" w:w="100"/>
              <w:right w:type="dxa" w:w="160"/>
            </w:tcMar>
          </w:tcPr>
          <w:p>
            <w:pPr>
              <w:spacing w:after="60"/>
            </w:pPr>
            <w:r>
              <w:rPr>
                <w:rFonts w:ascii="Arial" w:cs="Arial" w:eastAsia="Arial" w:hAnsi="Arial"/>
                <w:b/>
                <w:bCs/>
                <w:color w:val="1B3A6B"/>
                <w:sz w:val="20"/>
                <w:szCs w:val="20"/>
              </w:rPr>
              <w:t xml:space="preserve">PLB Payout Timeline &amp; Conditions</w:t>
            </w:r>
          </w:p>
          <w:p>
            <w:pPr>
              <w:spacing w:after="0"/>
            </w:pPr>
            <w:r>
              <w:rPr>
                <w:rFonts w:ascii="Arial" w:cs="Arial" w:eastAsia="Arial" w:hAnsi="Arial"/>
                <w:color w:val="444444"/>
                <w:sz w:val="19"/>
                <w:szCs w:val="19"/>
              </w:rPr>
              <w:t xml:space="preserve">• PLB is declared in April (post FY performance review).
• Payout: 50% in April (post-appraisal), 50% in October (retention component).
• Pro-rated for employees who join mid-year or resign before the payout date.
• Employees on a performance improvement plan (PIP) are ineligible for PLB in the rating cycle.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72B" w:sz="4"/>
              <w:left w:val="single" w:color="C8972B" w:sz="4"/>
              <w:bottom w:val="single" w:color="C8972B" w:sz="4"/>
              <w:right w:val="single" w:color="C8972B" w:sz="4"/>
            </w:tcBorders>
            <w:shd w:fill="FEF3DC" w:val="clear"/>
            <w:tcMar>
              <w:top w:type="dxa" w:w="100"/>
              <w:left w:type="dxa" w:w="160"/>
              <w:bottom w:type="dxa" w:w="100"/>
              <w:right w:type="dxa" w:w="160"/>
            </w:tcMar>
          </w:tcPr>
          <w:p>
            <w:pPr>
              <w:spacing w:after="60"/>
            </w:pPr>
            <w:r>
              <w:rPr>
                <w:rFonts w:ascii="Arial" w:cs="Arial" w:eastAsia="Arial" w:hAnsi="Arial"/>
                <w:b/>
                <w:bCs/>
                <w:color w:val="C8972B"/>
                <w:sz w:val="20"/>
                <w:szCs w:val="20"/>
              </w:rPr>
              <w:t xml:space="preserve">📋 Scenario 8A – Bonus Computation for Deepika Rao (Rating: 4, Annual Basic ₹4,20,000)</w:t>
            </w:r>
          </w:p>
          <w:p>
            <w:pPr>
              <w:spacing w:after="0"/>
            </w:pPr>
            <w:r>
              <w:rPr>
                <w:rFonts w:ascii="Arial" w:cs="Arial" w:eastAsia="Arial" w:hAnsi="Arial"/>
                <w:color w:val="444444"/>
                <w:sz w:val="19"/>
                <w:szCs w:val="19"/>
              </w:rPr>
              <w:t xml:space="preserve">PLB Rate for Rating 4: 20% of Annual Basic
PLB Amount = 20% × ₹4,20,000 = ₹84,000
April Payout (50%): ₹42,000 (fully taxable; TDS deducted at time of payment)
October Payout (50%): ₹42,000
Note: If Deepika resigned in August before the October payout,
the October component is forfeited per the PLB terms.</w:t>
            </w:r>
          </w:p>
        </w:tc>
      </w:tr>
    </w:tbl>
    <w:p>
      <w:r>
        <w:br w:type="page"/>
      </w:r>
    </w:p>
    <w:p>
      <w:pPr>
        <w:pStyle w:val="Heading1"/>
        <w:spacing w:after="160" w:before="400"/>
      </w:pPr>
      <w:r>
        <w:rPr>
          <w:rFonts w:ascii="Arial" w:cs="Arial" w:eastAsia="Arial" w:hAnsi="Arial"/>
          <w:b/>
          <w:bCs/>
          <w:color w:val="1B3A6B"/>
          <w:sz w:val="30"/>
          <w:szCs w:val="30"/>
        </w:rPr>
        <w:t xml:space="preserve">9. Overtime Policy</w:t>
      </w:r>
    </w:p>
    <w:p>
      <w:pPr>
        <w:pBdr>
          <w:bottom w:val="single" w:color="0D6E6E" w:sz="8" w:space="1"/>
        </w:pBdr>
        <w:spacing w:after="120"/>
      </w:pPr>
    </w:p>
    <w:p>
      <w:pPr>
        <w:spacing w:after="100"/>
      </w:pPr>
      <w:r>
        <w:rPr>
          <w:rFonts w:ascii="Arial" w:cs="Arial" w:eastAsia="Arial" w:hAnsi="Arial"/>
          <w:color w:val="444444"/>
          <w:sz w:val="20"/>
          <w:szCs w:val="20"/>
        </w:rPr>
        <w:t xml:space="preserve">Overtime (OT) compensation applies to non-exempt employees (primarily those in operational, support, and blue-collar roles). Managerial and professional employees are generally exempt from statutory overtime provisions.</w:t>
      </w:r>
    </w:p>
    <w:p>
      <w:pPr>
        <w:spacing w:after="0" w:before="120"/>
      </w:pPr>
    </w:p>
    <w:p>
      <w:pPr>
        <w:pStyle w:val="Heading2"/>
        <w:spacing w:after="120" w:before="280"/>
      </w:pPr>
      <w:r>
        <w:rPr>
          <w:rFonts w:ascii="Arial" w:cs="Arial" w:eastAsia="Arial" w:hAnsi="Arial"/>
          <w:b/>
          <w:bCs/>
          <w:color w:val="0D6E6E"/>
          <w:sz w:val="24"/>
          <w:szCs w:val="24"/>
        </w:rPr>
        <w:t xml:space="preserve">9.1  Standard Working Hours</w:t>
      </w:r>
    </w:p>
    <w:p>
      <w:pPr>
        <w:pStyle w:val="ListParagraph"/>
        <w:numPr>
          <w:ilvl w:val="0"/>
          <w:numId w:val="2"/>
        </w:numPr>
        <w:spacing w:after="80"/>
      </w:pPr>
      <w:r>
        <w:rPr>
          <w:rFonts w:ascii="Arial" w:cs="Arial" w:eastAsia="Arial" w:hAnsi="Arial"/>
          <w:color w:val="444444"/>
          <w:sz w:val="20"/>
          <w:szCs w:val="20"/>
        </w:rPr>
        <w:t xml:space="preserve">Standard shift: 9 hours per day (including 1-hour break), 5 days per week = 40 productive hours per week.</w:t>
      </w:r>
    </w:p>
    <w:p>
      <w:pPr>
        <w:pStyle w:val="ListParagraph"/>
        <w:numPr>
          <w:ilvl w:val="0"/>
          <w:numId w:val="2"/>
        </w:numPr>
        <w:spacing w:after="80"/>
      </w:pPr>
      <w:r>
        <w:rPr>
          <w:rFonts w:ascii="Arial" w:cs="Arial" w:eastAsia="Arial" w:hAnsi="Arial"/>
          <w:color w:val="444444"/>
          <w:sz w:val="20"/>
          <w:szCs w:val="20"/>
        </w:rPr>
        <w:t xml:space="preserve">Hours beyond 9 hours on weekdays and any hours on designated week-off / public holidays are considered overtime.</w:t>
      </w:r>
    </w:p>
    <w:p>
      <w:pPr>
        <w:pStyle w:val="ListParagraph"/>
        <w:numPr>
          <w:ilvl w:val="0"/>
          <w:numId w:val="2"/>
        </w:numPr>
        <w:spacing w:after="80"/>
      </w:pPr>
      <w:r>
        <w:rPr>
          <w:rFonts w:ascii="Arial" w:cs="Arial" w:eastAsia="Arial" w:hAnsi="Arial"/>
          <w:color w:val="444444"/>
          <w:sz w:val="20"/>
          <w:szCs w:val="20"/>
        </w:rPr>
        <w:t xml:space="preserve">All overtime must be pre-approved by the immediate manager and documented in the HRIS system.</w:t>
      </w:r>
    </w:p>
    <w:p>
      <w:pPr>
        <w:pStyle w:val="Heading2"/>
        <w:spacing w:after="120" w:before="280"/>
      </w:pPr>
      <w:r>
        <w:rPr>
          <w:rFonts w:ascii="Arial" w:cs="Arial" w:eastAsia="Arial" w:hAnsi="Arial"/>
          <w:b/>
          <w:bCs/>
          <w:color w:val="0D6E6E"/>
          <w:sz w:val="24"/>
          <w:szCs w:val="24"/>
        </w:rPr>
        <w:t xml:space="preserve">9.2  Overtime Pay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0D6E6E" w:sz="4"/>
              <w:left w:val="single" w:color="0D6E6E" w:sz="4"/>
              <w:bottom w:val="single" w:color="0D6E6E" w:sz="4"/>
              <w:right w:val="single" w:color="0D6E6E"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Overtime Type</w:t>
            </w:r>
          </w:p>
        </w:tc>
        <w:tc>
          <w:tcPr>
            <w:tcW w:type="dxa" w:w="2200"/>
            <w:tcBorders>
              <w:top w:val="single" w:color="0D6E6E" w:sz="4"/>
              <w:left w:val="single" w:color="0D6E6E" w:sz="4"/>
              <w:bottom w:val="single" w:color="0D6E6E" w:sz="4"/>
              <w:right w:val="single" w:color="0D6E6E"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Pay Rate</w:t>
            </w:r>
          </w:p>
        </w:tc>
        <w:tc>
          <w:tcPr>
            <w:tcW w:type="dxa" w:w="4160"/>
            <w:tcBorders>
              <w:top w:val="single" w:color="0D6E6E" w:sz="4"/>
              <w:left w:val="single" w:color="0D6E6E" w:sz="4"/>
              <w:bottom w:val="single" w:color="0D6E6E" w:sz="4"/>
              <w:right w:val="single" w:color="0D6E6E"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Applicable To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Weekday OT (beyond 9 hrs)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1.5× hourly rate</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Non-exempt employees</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Weekend / Holiday OT</w:t>
            </w:r>
          </w:p>
        </w:tc>
        <w:tc>
          <w:tcPr>
            <w:tcW w:type="dxa" w:w="2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2.0× hourly rate</w:t>
            </w:r>
          </w:p>
        </w:tc>
        <w:tc>
          <w:tcPr>
            <w:tcW w:type="dxa" w:w="41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Non-exempt employees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Mandatory Holiday OT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2.0× + compensatory day off</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All operational staff</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Exempt Employees – Extended Hrs</w:t>
            </w:r>
          </w:p>
        </w:tc>
        <w:tc>
          <w:tcPr>
            <w:tcW w:type="dxa" w:w="2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Compensatory off only</w:t>
            </w:r>
          </w:p>
        </w:tc>
        <w:tc>
          <w:tcPr>
            <w:tcW w:type="dxa" w:w="41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Managers &amp; above (L3+)</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6E6E" w:sz="4"/>
              <w:left w:val="single" w:color="0D6E6E" w:sz="4"/>
              <w:bottom w:val="single" w:color="0D6E6E" w:sz="4"/>
              <w:right w:val="single" w:color="0D6E6E" w:sz="4"/>
            </w:tcBorders>
            <w:shd w:fill="D6E4F0" w:val="clear"/>
            <w:tcMar>
              <w:top w:type="dxa" w:w="100"/>
              <w:left w:type="dxa" w:w="160"/>
              <w:bottom w:type="dxa" w:w="100"/>
              <w:right w:type="dxa" w:w="160"/>
            </w:tcMar>
          </w:tcPr>
          <w:p>
            <w:pPr>
              <w:spacing w:after="60"/>
            </w:pPr>
            <w:r>
              <w:rPr>
                <w:rFonts w:ascii="Arial" w:cs="Arial" w:eastAsia="Arial" w:hAnsi="Arial"/>
                <w:b/>
                <w:bCs/>
                <w:color w:val="1B3A6B"/>
                <w:sz w:val="20"/>
                <w:szCs w:val="20"/>
              </w:rPr>
              <w:t xml:space="preserve">Hourly Rate Calculation</w:t>
            </w:r>
          </w:p>
          <w:p>
            <w:pPr>
              <w:spacing w:after="0"/>
            </w:pPr>
            <w:r>
              <w:rPr>
                <w:rFonts w:ascii="Arial" w:cs="Arial" w:eastAsia="Arial" w:hAnsi="Arial"/>
                <w:color w:val="444444"/>
                <w:sz w:val="19"/>
                <w:szCs w:val="19"/>
              </w:rPr>
              <w:t xml:space="preserve">Hourly Rate = Monthly Gross Salary ÷ (Average Working Days per Month × Daily Hours)
             = Monthly Gross ÷ (26 × 8)
Example: Employee with Gross ₹30,000 pm
Hourly Rate = ₹30,000 ÷ 208 = ₹144.23 per hour
Weekend OT Rate = ₹144.23 × 2 = ₹288.46 per hour</w:t>
            </w:r>
          </w:p>
        </w:tc>
      </w:tr>
    </w:tbl>
    <w:p>
      <w:pPr>
        <w:spacing w:after="0" w:before="120"/>
      </w:pPr>
    </w:p>
    <w:p>
      <w:pPr>
        <w:pStyle w:val="Heading2"/>
        <w:spacing w:after="120" w:before="280"/>
      </w:pPr>
      <w:r>
        <w:rPr>
          <w:rFonts w:ascii="Arial" w:cs="Arial" w:eastAsia="Arial" w:hAnsi="Arial"/>
          <w:b/>
          <w:bCs/>
          <w:color w:val="0D6E6E"/>
          <w:sz w:val="24"/>
          <w:szCs w:val="24"/>
        </w:rPr>
        <w:t xml:space="preserve">9.3  Compensatory Off Policy</w:t>
      </w:r>
    </w:p>
    <w:p>
      <w:pPr>
        <w:pStyle w:val="ListParagraph"/>
        <w:numPr>
          <w:ilvl w:val="0"/>
          <w:numId w:val="2"/>
        </w:numPr>
        <w:spacing w:after="80"/>
      </w:pPr>
      <w:r>
        <w:rPr>
          <w:rFonts w:ascii="Arial" w:cs="Arial" w:eastAsia="Arial" w:hAnsi="Arial"/>
          <w:color w:val="444444"/>
          <w:sz w:val="20"/>
          <w:szCs w:val="20"/>
        </w:rPr>
        <w:t xml:space="preserve">Employees working on public holidays are entitled to a compensatory off within 30 days.</w:t>
      </w:r>
    </w:p>
    <w:p>
      <w:pPr>
        <w:pStyle w:val="ListParagraph"/>
        <w:numPr>
          <w:ilvl w:val="0"/>
          <w:numId w:val="2"/>
        </w:numPr>
        <w:spacing w:after="80"/>
      </w:pPr>
      <w:r>
        <w:rPr>
          <w:rFonts w:ascii="Arial" w:cs="Arial" w:eastAsia="Arial" w:hAnsi="Arial"/>
          <w:color w:val="444444"/>
          <w:sz w:val="20"/>
          <w:szCs w:val="20"/>
        </w:rPr>
        <w:t xml:space="preserve">Unutilised compensatory offs lapse after 30 days unless HR approval is obtained to extend.</w:t>
      </w:r>
    </w:p>
    <w:p>
      <w:pPr>
        <w:pStyle w:val="ListParagraph"/>
        <w:numPr>
          <w:ilvl w:val="0"/>
          <w:numId w:val="2"/>
        </w:numPr>
        <w:spacing w:after="80"/>
      </w:pPr>
      <w:r>
        <w:rPr>
          <w:rFonts w:ascii="Arial" w:cs="Arial" w:eastAsia="Arial" w:hAnsi="Arial"/>
          <w:color w:val="444444"/>
          <w:sz w:val="20"/>
          <w:szCs w:val="20"/>
        </w:rPr>
        <w:t xml:space="preserve">Compensatory off cannot be encashed; it must be availed as leave.</w:t>
      </w:r>
    </w:p>
    <w:p>
      <w:r>
        <w:br w:type="page"/>
      </w:r>
    </w:p>
    <w:p>
      <w:pPr>
        <w:pStyle w:val="Heading1"/>
        <w:spacing w:after="160" w:before="400"/>
      </w:pPr>
      <w:r>
        <w:rPr>
          <w:rFonts w:ascii="Arial" w:cs="Arial" w:eastAsia="Arial" w:hAnsi="Arial"/>
          <w:b/>
          <w:bCs/>
          <w:color w:val="1B3A6B"/>
          <w:sz w:val="30"/>
          <w:szCs w:val="30"/>
        </w:rPr>
        <w:t xml:space="preserve">10. Salary Revisions</w:t>
      </w:r>
    </w:p>
    <w:p>
      <w:pPr>
        <w:pBdr>
          <w:bottom w:val="single" w:color="0D6E6E" w:sz="8" w:space="1"/>
        </w:pBdr>
        <w:spacing w:after="120"/>
      </w:pPr>
    </w:p>
    <w:p>
      <w:pPr>
        <w:spacing w:after="100"/>
      </w:pPr>
      <w:r>
        <w:rPr>
          <w:rFonts w:ascii="Arial" w:cs="Arial" w:eastAsia="Arial" w:hAnsi="Arial"/>
          <w:color w:val="444444"/>
          <w:sz w:val="20"/>
          <w:szCs w:val="20"/>
        </w:rPr>
        <w:t xml:space="preserve">The organisation conducts an annual merit review cycle aligned with the financial year (April–March).</w:t>
      </w:r>
    </w:p>
    <w:p>
      <w:pPr>
        <w:spacing w:after="0" w:before="120"/>
      </w:pPr>
    </w:p>
    <w:p>
      <w:pPr>
        <w:pStyle w:val="Heading2"/>
        <w:spacing w:after="120" w:before="280"/>
      </w:pPr>
      <w:r>
        <w:rPr>
          <w:rFonts w:ascii="Arial" w:cs="Arial" w:eastAsia="Arial" w:hAnsi="Arial"/>
          <w:b/>
          <w:bCs/>
          <w:color w:val="0D6E6E"/>
          <w:sz w:val="24"/>
          <w:szCs w:val="24"/>
        </w:rPr>
        <w:t xml:space="preserve">10.1  Annual Increment Cycle</w:t>
      </w:r>
    </w:p>
    <w:p>
      <w:pPr>
        <w:pStyle w:val="ListParagraph"/>
        <w:numPr>
          <w:ilvl w:val="0"/>
          <w:numId w:val="2"/>
        </w:numPr>
        <w:spacing w:after="80"/>
      </w:pPr>
      <w:r>
        <w:rPr>
          <w:rFonts w:ascii="Arial" w:cs="Arial" w:eastAsia="Arial" w:hAnsi="Arial"/>
          <w:color w:val="444444"/>
          <w:sz w:val="20"/>
          <w:szCs w:val="20"/>
        </w:rPr>
        <w:t xml:space="preserve">Review Period: Performance ratings are finalised by March 31st.</w:t>
      </w:r>
    </w:p>
    <w:p>
      <w:pPr>
        <w:pStyle w:val="ListParagraph"/>
        <w:numPr>
          <w:ilvl w:val="0"/>
          <w:numId w:val="2"/>
        </w:numPr>
        <w:spacing w:after="80"/>
      </w:pPr>
      <w:r>
        <w:rPr>
          <w:rFonts w:ascii="Arial" w:cs="Arial" w:eastAsia="Arial" w:hAnsi="Arial"/>
          <w:color w:val="444444"/>
          <w:sz w:val="20"/>
          <w:szCs w:val="20"/>
        </w:rPr>
        <w:t xml:space="preserve">Increment Effective Date: April 1st of the new financial year.</w:t>
      </w:r>
    </w:p>
    <w:p>
      <w:pPr>
        <w:pStyle w:val="ListParagraph"/>
        <w:numPr>
          <w:ilvl w:val="0"/>
          <w:numId w:val="2"/>
        </w:numPr>
        <w:spacing w:after="80"/>
      </w:pPr>
      <w:r>
        <w:rPr>
          <w:rFonts w:ascii="Arial" w:cs="Arial" w:eastAsia="Arial" w:hAnsi="Arial"/>
          <w:color w:val="444444"/>
          <w:sz w:val="20"/>
          <w:szCs w:val="20"/>
        </w:rPr>
        <w:t xml:space="preserve">Communication: Revised CTC letters are issued to employees by April 15th.</w:t>
      </w:r>
    </w:p>
    <w:p>
      <w:pPr>
        <w:pStyle w:val="ListParagraph"/>
        <w:numPr>
          <w:ilvl w:val="0"/>
          <w:numId w:val="2"/>
        </w:numPr>
        <w:spacing w:after="80"/>
      </w:pPr>
      <w:r>
        <w:rPr>
          <w:rFonts w:ascii="Arial" w:cs="Arial" w:eastAsia="Arial" w:hAnsi="Arial"/>
          <w:color w:val="444444"/>
          <w:sz w:val="20"/>
          <w:szCs w:val="20"/>
        </w:rPr>
        <w:t xml:space="preserve">Increment Range: Based on performance rating, market benchmarks, and business affordability.</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0D6E6E" w:sz="4"/>
              <w:left w:val="single" w:color="0D6E6E" w:sz="4"/>
              <w:bottom w:val="single" w:color="0D6E6E" w:sz="4"/>
              <w:right w:val="single" w:color="0D6E6E"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Performance Rating</w:t>
            </w:r>
          </w:p>
        </w:tc>
        <w:tc>
          <w:tcPr>
            <w:tcW w:type="dxa" w:w="3200"/>
            <w:tcBorders>
              <w:top w:val="single" w:color="0D6E6E" w:sz="4"/>
              <w:left w:val="single" w:color="0D6E6E" w:sz="4"/>
              <w:bottom w:val="single" w:color="0D6E6E" w:sz="4"/>
              <w:right w:val="single" w:color="0D6E6E"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Increment Range (% of Current CTC)</w:t>
            </w:r>
          </w:p>
        </w:tc>
        <w:tc>
          <w:tcPr>
            <w:tcW w:type="dxa" w:w="3360"/>
            <w:tcBorders>
              <w:top w:val="single" w:color="0D6E6E" w:sz="4"/>
              <w:left w:val="single" w:color="0D6E6E" w:sz="4"/>
              <w:bottom w:val="single" w:color="0D6E6E" w:sz="4"/>
              <w:right w:val="single" w:color="0D6E6E"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Effective Date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5 – Exceptional</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18–25%</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April 1st</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4 – Exceeds Expectations</w:t>
            </w:r>
          </w:p>
        </w:tc>
        <w:tc>
          <w:tcPr>
            <w:tcW w:type="dxa" w:w="3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12–17%</w:t>
            </w:r>
          </w:p>
        </w:tc>
        <w:tc>
          <w:tcPr>
            <w:tcW w:type="dxa" w:w="3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April 1st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3 – Meets Expectations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7–11%</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April 1st</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2 – Needs Improvement</w:t>
            </w:r>
          </w:p>
        </w:tc>
        <w:tc>
          <w:tcPr>
            <w:tcW w:type="dxa" w:w="3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0–6%</w:t>
            </w:r>
          </w:p>
        </w:tc>
        <w:tc>
          <w:tcPr>
            <w:tcW w:type="dxa" w:w="3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April 1st (subject to review)</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1 – Does Not Meet</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0%</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On hold pending PIP outcome</w:t>
            </w:r>
          </w:p>
        </w:tc>
      </w:tr>
    </w:tbl>
    <w:p>
      <w:pPr>
        <w:spacing w:after="0" w:before="120"/>
      </w:pPr>
    </w:p>
    <w:p>
      <w:pPr>
        <w:pStyle w:val="Heading2"/>
        <w:spacing w:after="120" w:before="280"/>
      </w:pPr>
      <w:r>
        <w:rPr>
          <w:rFonts w:ascii="Arial" w:cs="Arial" w:eastAsia="Arial" w:hAnsi="Arial"/>
          <w:b/>
          <w:bCs/>
          <w:color w:val="0D6E6E"/>
          <w:sz w:val="24"/>
          <w:szCs w:val="24"/>
        </w:rPr>
        <w:t xml:space="preserve">10.2  Mid-Year Revisions</w:t>
      </w:r>
    </w:p>
    <w:p>
      <w:pPr>
        <w:pStyle w:val="ListParagraph"/>
        <w:numPr>
          <w:ilvl w:val="0"/>
          <w:numId w:val="2"/>
        </w:numPr>
        <w:spacing w:after="80"/>
      </w:pPr>
      <w:r>
        <w:rPr>
          <w:rFonts w:ascii="Arial" w:cs="Arial" w:eastAsia="Arial" w:hAnsi="Arial"/>
          <w:color w:val="444444"/>
          <w:sz w:val="20"/>
          <w:szCs w:val="20"/>
        </w:rPr>
        <w:t xml:space="preserve">Promotions: Salary revision effective from the 1st of the month following promotion approval.</w:t>
      </w:r>
    </w:p>
    <w:p>
      <w:pPr>
        <w:pStyle w:val="ListParagraph"/>
        <w:numPr>
          <w:ilvl w:val="0"/>
          <w:numId w:val="2"/>
        </w:numPr>
        <w:spacing w:after="80"/>
      </w:pPr>
      <w:r>
        <w:rPr>
          <w:rFonts w:ascii="Arial" w:cs="Arial" w:eastAsia="Arial" w:hAnsi="Arial"/>
          <w:color w:val="444444"/>
          <w:sz w:val="20"/>
          <w:szCs w:val="20"/>
        </w:rPr>
        <w:t xml:space="preserve">Counter-Offer / Retention: Approved by HR Head and relevant Business Head; requires CFO sign-off above 20% increment.</w:t>
      </w:r>
    </w:p>
    <w:p>
      <w:pPr>
        <w:pStyle w:val="ListParagraph"/>
        <w:numPr>
          <w:ilvl w:val="0"/>
          <w:numId w:val="2"/>
        </w:numPr>
        <w:spacing w:after="80"/>
      </w:pPr>
      <w:r>
        <w:rPr>
          <w:rFonts w:ascii="Arial" w:cs="Arial" w:eastAsia="Arial" w:hAnsi="Arial"/>
          <w:color w:val="444444"/>
          <w:sz w:val="20"/>
          <w:szCs w:val="20"/>
        </w:rPr>
        <w:t xml:space="preserve">Market Correction: Where an individual's salary falls significantly below the P50 market median, a correction may be processed outside the regular cycle.</w:t>
      </w:r>
    </w:p>
    <w:p>
      <w:pPr>
        <w:pStyle w:val="ListParagraph"/>
        <w:numPr>
          <w:ilvl w:val="0"/>
          <w:numId w:val="2"/>
        </w:numPr>
        <w:spacing w:after="80"/>
      </w:pPr>
      <w:r>
        <w:rPr>
          <w:rFonts w:ascii="Arial" w:cs="Arial" w:eastAsia="Arial" w:hAnsi="Arial"/>
          <w:color w:val="444444"/>
          <w:sz w:val="20"/>
          <w:szCs w:val="20"/>
        </w:rPr>
        <w:t xml:space="preserve">All mid-year revisions generate a revised offer letter; payroll is updated immediately.</w:t>
      </w:r>
    </w:p>
    <w:p>
      <w:pPr>
        <w:pStyle w:val="Heading2"/>
        <w:spacing w:after="120" w:before="280"/>
      </w:pPr>
      <w:r>
        <w:rPr>
          <w:rFonts w:ascii="Arial" w:cs="Arial" w:eastAsia="Arial" w:hAnsi="Arial"/>
          <w:b/>
          <w:bCs/>
          <w:color w:val="0D6E6E"/>
          <w:sz w:val="24"/>
          <w:szCs w:val="24"/>
        </w:rPr>
        <w:t xml:space="preserve">10.3  Arrears Processing</w:t>
      </w:r>
    </w:p>
    <w:p>
      <w:pPr>
        <w:spacing w:after="100"/>
      </w:pPr>
      <w:r>
        <w:rPr>
          <w:rFonts w:ascii="Arial" w:cs="Arial" w:eastAsia="Arial" w:hAnsi="Arial"/>
          <w:color w:val="444444"/>
          <w:sz w:val="20"/>
          <w:szCs w:val="20"/>
        </w:rPr>
        <w:t xml:space="preserve">If a revision is approved retroactively, arrears are computed and paid in the salary month following approval. Arrears are separately indicated on the payslip and are fully taxable in the year of receipt.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72B" w:sz="4"/>
              <w:left w:val="single" w:color="C8972B" w:sz="4"/>
              <w:bottom w:val="single" w:color="C8972B" w:sz="4"/>
              <w:right w:val="single" w:color="C8972B" w:sz="4"/>
            </w:tcBorders>
            <w:shd w:fill="FEF3DC" w:val="clear"/>
            <w:tcMar>
              <w:top w:type="dxa" w:w="100"/>
              <w:left w:type="dxa" w:w="160"/>
              <w:bottom w:type="dxa" w:w="100"/>
              <w:right w:type="dxa" w:w="160"/>
            </w:tcMar>
          </w:tcPr>
          <w:p>
            <w:pPr>
              <w:spacing w:after="60"/>
            </w:pPr>
            <w:r>
              <w:rPr>
                <w:rFonts w:ascii="Arial" w:cs="Arial" w:eastAsia="Arial" w:hAnsi="Arial"/>
                <w:b/>
                <w:bCs/>
                <w:color w:val="C8972B"/>
                <w:sz w:val="20"/>
                <w:szCs w:val="20"/>
              </w:rPr>
              <w:t xml:space="preserve">📋 Scenario 10A – Increment Calculation for Kiran Desai (Rating 4, CTC ₹10.5 L)</w:t>
            </w:r>
          </w:p>
          <w:p>
            <w:pPr>
              <w:spacing w:after="0"/>
            </w:pPr>
            <w:r>
              <w:rPr>
                <w:rFonts w:ascii="Arial" w:cs="Arial" w:eastAsia="Arial" w:hAnsi="Arial"/>
                <w:color w:val="444444"/>
                <w:sz w:val="19"/>
                <w:szCs w:val="19"/>
              </w:rPr>
              <w:t xml:space="preserve">Current CTC: ₹10,50,000 p.a. | Increment Rate (Rating 4): 14%
Increment Amount: ₹1,47,000 | New CTC: ₹11,97,000 p.a.
New Monthly Basic (35% of CTC): ₹34,913 pm (up from ₹30,625)
New Employer PF: ₹4,190 pm (12% of New Basic)
New TDS will be recalculated from April onwards using the new annual CTC.</w:t>
            </w:r>
          </w:p>
        </w:tc>
      </w:tr>
    </w:tbl>
    <w:p>
      <w:r>
        <w:br w:type="page"/>
      </w:r>
    </w:p>
    <w:p>
      <w:pPr>
        <w:pStyle w:val="Heading1"/>
        <w:spacing w:after="160" w:before="400"/>
      </w:pPr>
      <w:r>
        <w:rPr>
          <w:rFonts w:ascii="Arial" w:cs="Arial" w:eastAsia="Arial" w:hAnsi="Arial"/>
          <w:b/>
          <w:bCs/>
          <w:color w:val="1B3A6B"/>
          <w:sz w:val="30"/>
          <w:szCs w:val="30"/>
        </w:rPr>
        <w:t xml:space="preserve">11. Final Settlement Process</w:t>
      </w:r>
    </w:p>
    <w:p>
      <w:pPr>
        <w:pBdr>
          <w:bottom w:val="single" w:color="0D6E6E" w:sz="8" w:space="1"/>
        </w:pBdr>
        <w:spacing w:after="120"/>
      </w:pPr>
    </w:p>
    <w:p>
      <w:pPr>
        <w:spacing w:after="100"/>
      </w:pPr>
      <w:r>
        <w:rPr>
          <w:rFonts w:ascii="Arial" w:cs="Arial" w:eastAsia="Arial" w:hAnsi="Arial"/>
          <w:color w:val="444444"/>
          <w:sz w:val="20"/>
          <w:szCs w:val="20"/>
        </w:rPr>
        <w:t xml:space="preserve">The Full and Final Settlement (FnF) process ensures that a departing employee receives all dues and outstanding amounts are recovered, within the statutory notice period.</w:t>
      </w:r>
    </w:p>
    <w:p>
      <w:pPr>
        <w:spacing w:after="0" w:before="120"/>
      </w:pPr>
    </w:p>
    <w:p>
      <w:pPr>
        <w:pStyle w:val="Heading2"/>
        <w:spacing w:after="120" w:before="280"/>
      </w:pPr>
      <w:r>
        <w:rPr>
          <w:rFonts w:ascii="Arial" w:cs="Arial" w:eastAsia="Arial" w:hAnsi="Arial"/>
          <w:b/>
          <w:bCs/>
          <w:color w:val="0D6E6E"/>
          <w:sz w:val="24"/>
          <w:szCs w:val="24"/>
        </w:rPr>
        <w:t xml:space="preserve">11.1  Process Flow</w:t>
      </w:r>
    </w:p>
    <w:p>
      <w:pPr>
        <w:pStyle w:val="ListParagraph"/>
        <w:numPr>
          <w:ilvl w:val="0"/>
          <w:numId w:val="3"/>
        </w:numPr>
        <w:spacing w:after="80"/>
      </w:pPr>
      <w:r>
        <w:rPr>
          <w:rFonts w:ascii="Arial" w:cs="Arial" w:eastAsia="Arial" w:hAnsi="Arial"/>
          <w:color w:val="444444"/>
          <w:sz w:val="20"/>
          <w:szCs w:val="20"/>
        </w:rPr>
        <w:t xml:space="preserve">Employee submits resignation; manager accepts in HRIS within 2 working days.</w:t>
      </w:r>
    </w:p>
    <w:p>
      <w:pPr>
        <w:pStyle w:val="ListParagraph"/>
        <w:numPr>
          <w:ilvl w:val="0"/>
          <w:numId w:val="3"/>
        </w:numPr>
        <w:spacing w:after="80"/>
      </w:pPr>
      <w:r>
        <w:rPr>
          <w:rFonts w:ascii="Arial" w:cs="Arial" w:eastAsia="Arial" w:hAnsi="Arial"/>
          <w:color w:val="444444"/>
          <w:sz w:val="20"/>
          <w:szCs w:val="20"/>
        </w:rPr>
        <w:t xml:space="preserve">HR initiates the clearance checklist (IT assets, access revocation, library, petty cash).</w:t>
      </w:r>
    </w:p>
    <w:p>
      <w:pPr>
        <w:pStyle w:val="ListParagraph"/>
        <w:numPr>
          <w:ilvl w:val="0"/>
          <w:numId w:val="3"/>
        </w:numPr>
        <w:spacing w:after="80"/>
      </w:pPr>
      <w:r>
        <w:rPr>
          <w:rFonts w:ascii="Arial" w:cs="Arial" w:eastAsia="Arial" w:hAnsi="Arial"/>
          <w:color w:val="444444"/>
          <w:sz w:val="20"/>
          <w:szCs w:val="20"/>
        </w:rPr>
        <w:t xml:space="preserve">Last working day is determined based on notice period or buyout approval.</w:t>
      </w:r>
    </w:p>
    <w:p>
      <w:pPr>
        <w:pStyle w:val="ListParagraph"/>
        <w:numPr>
          <w:ilvl w:val="0"/>
          <w:numId w:val="3"/>
        </w:numPr>
        <w:spacing w:after="80"/>
      </w:pPr>
      <w:r>
        <w:rPr>
          <w:rFonts w:ascii="Arial" w:cs="Arial" w:eastAsia="Arial" w:hAnsi="Arial"/>
          <w:color w:val="444444"/>
          <w:sz w:val="20"/>
          <w:szCs w:val="20"/>
        </w:rPr>
        <w:t xml:space="preserve">Payroll team initiates FnF computation after clearance is complete.</w:t>
      </w:r>
    </w:p>
    <w:p>
      <w:pPr>
        <w:pStyle w:val="ListParagraph"/>
        <w:numPr>
          <w:ilvl w:val="0"/>
          <w:numId w:val="3"/>
        </w:numPr>
        <w:spacing w:after="80"/>
      </w:pPr>
      <w:r>
        <w:rPr>
          <w:rFonts w:ascii="Arial" w:cs="Arial" w:eastAsia="Arial" w:hAnsi="Arial"/>
          <w:color w:val="444444"/>
          <w:sz w:val="20"/>
          <w:szCs w:val="20"/>
        </w:rPr>
        <w:t xml:space="preserve">Finance reviews and approves FnF within 10 working days of last working day.</w:t>
      </w:r>
    </w:p>
    <w:p>
      <w:pPr>
        <w:pStyle w:val="ListParagraph"/>
        <w:numPr>
          <w:ilvl w:val="0"/>
          <w:numId w:val="3"/>
        </w:numPr>
        <w:spacing w:after="80"/>
      </w:pPr>
      <w:r>
        <w:rPr>
          <w:rFonts w:ascii="Arial" w:cs="Arial" w:eastAsia="Arial" w:hAnsi="Arial"/>
          <w:color w:val="444444"/>
          <w:sz w:val="20"/>
          <w:szCs w:val="20"/>
        </w:rPr>
        <w:t xml:space="preserve">FnF amount is credited via NEFT to the registered bank account.</w:t>
      </w:r>
    </w:p>
    <w:p>
      <w:pPr>
        <w:pStyle w:val="ListParagraph"/>
        <w:numPr>
          <w:ilvl w:val="0"/>
          <w:numId w:val="3"/>
        </w:numPr>
        <w:spacing w:after="80"/>
      </w:pPr>
      <w:r>
        <w:rPr>
          <w:rFonts w:ascii="Arial" w:cs="Arial" w:eastAsia="Arial" w:hAnsi="Arial"/>
          <w:color w:val="444444"/>
          <w:sz w:val="20"/>
          <w:szCs w:val="20"/>
        </w:rPr>
        <w:t xml:space="preserve">Form 16 / 12B is issued; relieving letter and experience letter are dispatched.</w:t>
      </w:r>
    </w:p>
    <w:p>
      <w:pPr>
        <w:spacing w:after="0" w:before="120"/>
      </w:pPr>
    </w:p>
    <w:p>
      <w:pPr>
        <w:pStyle w:val="Heading2"/>
        <w:spacing w:after="120" w:before="280"/>
      </w:pPr>
      <w:r>
        <w:rPr>
          <w:rFonts w:ascii="Arial" w:cs="Arial" w:eastAsia="Arial" w:hAnsi="Arial"/>
          <w:b/>
          <w:bCs/>
          <w:color w:val="0D6E6E"/>
          <w:sz w:val="24"/>
          <w:szCs w:val="24"/>
        </w:rPr>
        <w:t xml:space="preserve">11.2  FnF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0D6E6E" w:sz="4"/>
              <w:left w:val="single" w:color="0D6E6E" w:sz="4"/>
              <w:bottom w:val="single" w:color="0D6E6E" w:sz="4"/>
              <w:right w:val="single" w:color="0D6E6E"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Component</w:t>
            </w:r>
          </w:p>
        </w:tc>
        <w:tc>
          <w:tcPr>
            <w:tcW w:type="dxa" w:w="2800"/>
            <w:tcBorders>
              <w:top w:val="single" w:color="0D6E6E" w:sz="4"/>
              <w:left w:val="single" w:color="0D6E6E" w:sz="4"/>
              <w:bottom w:val="single" w:color="0D6E6E" w:sz="4"/>
              <w:right w:val="single" w:color="0D6E6E"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Basis</w:t>
            </w:r>
          </w:p>
        </w:tc>
        <w:tc>
          <w:tcPr>
            <w:tcW w:type="dxa" w:w="3760"/>
            <w:tcBorders>
              <w:top w:val="single" w:color="0D6E6E" w:sz="4"/>
              <w:left w:val="single" w:color="0D6E6E" w:sz="4"/>
              <w:bottom w:val="single" w:color="0D6E6E" w:sz="4"/>
              <w:right w:val="single" w:color="0D6E6E"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Payable / Recoverable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Salary for days worked</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Calendar days in last month</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Payable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Pending leave encashment</w:t>
            </w:r>
          </w:p>
        </w:tc>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Earned leaves × Per-day salary</w:t>
            </w:r>
          </w:p>
        </w:tc>
        <w:tc>
          <w:tcPr>
            <w:tcW w:type="dxa" w:w="3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Payable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Performance bonus (prorated)</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Accrued proportion of PLB</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Payable (if eligible)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Gratuity</w:t>
            </w:r>
          </w:p>
        </w:tc>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15/26 × Basic × Years</w:t>
            </w:r>
          </w:p>
        </w:tc>
        <w:tc>
          <w:tcPr>
            <w:tcW w:type="dxa" w:w="3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Payable (min. 5 yrs)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Notice pay shortfall</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If employee leaves short of notice</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Recoverable from FnF</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Loan / Salary advance balance</w:t>
            </w:r>
          </w:p>
        </w:tc>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Outstanding principal</w:t>
            </w:r>
          </w:p>
        </w:tc>
        <w:tc>
          <w:tcPr>
            <w:tcW w:type="dxa" w:w="3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Recoverable from FnF</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Tax adjustments (TDS)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Remaining year's tax liability</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Deducted as applicable</w:t>
            </w:r>
          </w:p>
        </w:tc>
      </w:tr>
    </w:tbl>
    <w:p>
      <w:pPr>
        <w:spacing w:after="0" w:before="120"/>
      </w:pPr>
    </w:p>
    <w:p>
      <w:pPr>
        <w:pStyle w:val="Heading2"/>
        <w:spacing w:after="120" w:before="280"/>
      </w:pPr>
      <w:r>
        <w:rPr>
          <w:rFonts w:ascii="Arial" w:cs="Arial" w:eastAsia="Arial" w:hAnsi="Arial"/>
          <w:b/>
          <w:bCs/>
          <w:color w:val="0D6E6E"/>
          <w:sz w:val="24"/>
          <w:szCs w:val="24"/>
        </w:rPr>
        <w:t xml:space="preserve">11.3  Leave Encashment</w:t>
      </w:r>
    </w:p>
    <w:p>
      <w:pPr>
        <w:pStyle w:val="ListParagraph"/>
        <w:numPr>
          <w:ilvl w:val="0"/>
          <w:numId w:val="2"/>
        </w:numPr>
        <w:spacing w:after="80"/>
      </w:pPr>
      <w:r>
        <w:rPr>
          <w:rFonts w:ascii="Arial" w:cs="Arial" w:eastAsia="Arial" w:hAnsi="Arial"/>
          <w:color w:val="444444"/>
          <w:sz w:val="20"/>
          <w:szCs w:val="20"/>
        </w:rPr>
        <w:t xml:space="preserve">Earned Leave (EL): Maximum 30 days can be encashed at the time of FnF.</w:t>
      </w:r>
    </w:p>
    <w:p>
      <w:pPr>
        <w:pStyle w:val="ListParagraph"/>
        <w:numPr>
          <w:ilvl w:val="0"/>
          <w:numId w:val="2"/>
        </w:numPr>
        <w:spacing w:after="80"/>
      </w:pPr>
      <w:r>
        <w:rPr>
          <w:rFonts w:ascii="Arial" w:cs="Arial" w:eastAsia="Arial" w:hAnsi="Arial"/>
          <w:color w:val="444444"/>
          <w:sz w:val="20"/>
          <w:szCs w:val="20"/>
        </w:rPr>
        <w:t xml:space="preserve">Per-Day Rate for Encashment = Last Monthly Basic ÷ 26 working days.</w:t>
      </w:r>
    </w:p>
    <w:p>
      <w:pPr>
        <w:pStyle w:val="ListParagraph"/>
        <w:numPr>
          <w:ilvl w:val="0"/>
          <w:numId w:val="2"/>
        </w:numPr>
        <w:spacing w:after="80"/>
      </w:pPr>
      <w:r>
        <w:rPr>
          <w:rFonts w:ascii="Arial" w:cs="Arial" w:eastAsia="Arial" w:hAnsi="Arial"/>
          <w:color w:val="444444"/>
          <w:sz w:val="20"/>
          <w:szCs w:val="20"/>
        </w:rPr>
        <w:t xml:space="preserve">Casual Leave (CL) and Sick Leave (SL) lapse on separation and are not encashable.</w:t>
      </w:r>
    </w:p>
    <w:p>
      <w:pPr>
        <w:pStyle w:val="ListParagraph"/>
        <w:numPr>
          <w:ilvl w:val="0"/>
          <w:numId w:val="2"/>
        </w:numPr>
        <w:spacing w:after="80"/>
      </w:pPr>
      <w:r>
        <w:rPr>
          <w:rFonts w:ascii="Arial" w:cs="Arial" w:eastAsia="Arial" w:hAnsi="Arial"/>
          <w:color w:val="444444"/>
          <w:sz w:val="20"/>
          <w:szCs w:val="20"/>
        </w:rPr>
        <w:t xml:space="preserve">Tax on leave encashment: Fully exempt for government employees; for private sector employees, exemption is the least of: actual encashment, ₹25 lakh (lifetime limit), 10 months' basic salary, or (EL at credit × daily salary based on last 10 months' average).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72B" w:sz="4"/>
              <w:left w:val="single" w:color="C8972B" w:sz="4"/>
              <w:bottom w:val="single" w:color="C8972B" w:sz="4"/>
              <w:right w:val="single" w:color="C8972B" w:sz="4"/>
            </w:tcBorders>
            <w:shd w:fill="FEF3DC" w:val="clear"/>
            <w:tcMar>
              <w:top w:type="dxa" w:w="100"/>
              <w:left w:type="dxa" w:w="160"/>
              <w:bottom w:type="dxa" w:w="100"/>
              <w:right w:type="dxa" w:w="160"/>
            </w:tcMar>
          </w:tcPr>
          <w:p>
            <w:pPr>
              <w:spacing w:after="60"/>
            </w:pPr>
            <w:r>
              <w:rPr>
                <w:rFonts w:ascii="Arial" w:cs="Arial" w:eastAsia="Arial" w:hAnsi="Arial"/>
                <w:b/>
                <w:bCs/>
                <w:color w:val="C8972B"/>
                <w:sz w:val="20"/>
                <w:szCs w:val="20"/>
              </w:rPr>
              <w:t xml:space="preserve">📋 Scenario 11A – FnF Computation for Meera Krishnan</w:t>
            </w:r>
          </w:p>
          <w:p>
            <w:pPr>
              <w:spacing w:after="0"/>
            </w:pPr>
            <w:r>
              <w:rPr>
                <w:rFonts w:ascii="Arial" w:cs="Arial" w:eastAsia="Arial" w:hAnsi="Arial"/>
                <w:color w:val="444444"/>
                <w:sz w:val="19"/>
                <w:szCs w:val="19"/>
              </w:rPr>
              <w:t xml:space="preserve">Resignation Date: June 20 | Last Working Day: July 19 (30-day notice)
Days Worked in July: 19 | Monthly Gross: ₹60,000
July Salary = ₹60,000 × 19/31 = ₹36,774
Earned Leave Balance: 18 days | Leave Encashment Rate: ₹55,000 Basic ÷ 26 = ₹2,115/day
Leave Encashment: 18 × ₹2,115 = ₹38,077
Gratuity: 6 years 3 months → 6 years | (₹55,000 × 15 × 6) ÷ 26 = ₹1,90,385
Outstanding Loan: ₹15,000 (to be recovered)
Net FnF = ₹36,774 + ₹38,077 + ₹1,90,385 – ₹15,000 – TDS = ~₹2,44,000 (approx. net)</w:t>
            </w:r>
          </w:p>
        </w:tc>
      </w:tr>
    </w:tbl>
    <w:p>
      <w:r>
        <w:br w:type="page"/>
      </w:r>
    </w:p>
    <w:p>
      <w:pPr>
        <w:pStyle w:val="Heading1"/>
        <w:spacing w:after="160" w:before="400"/>
      </w:pPr>
      <w:r>
        <w:rPr>
          <w:rFonts w:ascii="Arial" w:cs="Arial" w:eastAsia="Arial" w:hAnsi="Arial"/>
          <w:b/>
          <w:bCs/>
          <w:color w:val="1B3A6B"/>
          <w:sz w:val="30"/>
          <w:szCs w:val="30"/>
        </w:rPr>
        <w:t xml:space="preserve">12. Reimbursement Integration</w:t>
      </w:r>
    </w:p>
    <w:p>
      <w:pPr>
        <w:pBdr>
          <w:bottom w:val="single" w:color="0D6E6E" w:sz="8" w:space="1"/>
        </w:pBdr>
        <w:spacing w:after="120"/>
      </w:pPr>
    </w:p>
    <w:p>
      <w:pPr>
        <w:spacing w:after="100"/>
      </w:pPr>
      <w:r>
        <w:rPr>
          <w:rFonts w:ascii="Arial" w:cs="Arial" w:eastAsia="Arial" w:hAnsi="Arial"/>
          <w:color w:val="444444"/>
          <w:sz w:val="20"/>
          <w:szCs w:val="20"/>
        </w:rPr>
        <w:t xml:space="preserve">Reimbursements are non-salary components disbursed against actual expenses incurred by the employee on behalf of the company. They are processed through payroll and are non-taxable when supported by valid documentation.</w:t>
      </w:r>
    </w:p>
    <w:p>
      <w:pPr>
        <w:spacing w:after="0" w:before="120"/>
      </w:pPr>
    </w:p>
    <w:p>
      <w:pPr>
        <w:pStyle w:val="Heading2"/>
        <w:spacing w:after="120" w:before="280"/>
      </w:pPr>
      <w:r>
        <w:rPr>
          <w:rFonts w:ascii="Arial" w:cs="Arial" w:eastAsia="Arial" w:hAnsi="Arial"/>
          <w:b/>
          <w:bCs/>
          <w:color w:val="0D6E6E"/>
          <w:sz w:val="24"/>
          <w:szCs w:val="24"/>
        </w:rPr>
        <w:t xml:space="preserve">12.1  Eligible Reimbursement Categories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1640"/>
        <w:gridCol w:w="2400"/>
        <w:gridCol w:w="3920"/>
      </w:tblGrid>
      <w:tr>
        <w:tc>
          <w:tcPr>
            <w:tcW w:type="dxa" w:w="2400"/>
            <w:tcBorders>
              <w:top w:val="single" w:color="0D6E6E" w:sz="4"/>
              <w:left w:val="single" w:color="0D6E6E" w:sz="4"/>
              <w:bottom w:val="single" w:color="0D6E6E" w:sz="4"/>
              <w:right w:val="single" w:color="0D6E6E"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Category</w:t>
            </w:r>
          </w:p>
        </w:tc>
        <w:tc>
          <w:tcPr>
            <w:tcW w:type="dxa" w:w="1640"/>
            <w:tcBorders>
              <w:top w:val="single" w:color="0D6E6E" w:sz="4"/>
              <w:left w:val="single" w:color="0D6E6E" w:sz="4"/>
              <w:bottom w:val="single" w:color="0D6E6E" w:sz="4"/>
              <w:right w:val="single" w:color="0D6E6E"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Limit (₹ pm)</w:t>
            </w:r>
          </w:p>
        </w:tc>
        <w:tc>
          <w:tcPr>
            <w:tcW w:type="dxa" w:w="2400"/>
            <w:tcBorders>
              <w:top w:val="single" w:color="0D6E6E" w:sz="4"/>
              <w:left w:val="single" w:color="0D6E6E" w:sz="4"/>
              <w:bottom w:val="single" w:color="0D6E6E" w:sz="4"/>
              <w:right w:val="single" w:color="0D6E6E"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Tax Treatment</w:t>
            </w:r>
          </w:p>
        </w:tc>
        <w:tc>
          <w:tcPr>
            <w:tcW w:type="dxa" w:w="3920"/>
            <w:tcBorders>
              <w:top w:val="single" w:color="0D6E6E" w:sz="4"/>
              <w:left w:val="single" w:color="0D6E6E" w:sz="4"/>
              <w:bottom w:val="single" w:color="0D6E6E" w:sz="4"/>
              <w:right w:val="single" w:color="0D6E6E"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Documentation Required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Mobile &amp; Internet</w:t>
            </w:r>
          </w:p>
        </w:tc>
        <w:tc>
          <w:tcPr>
            <w:tcW w:type="dxa" w:w="16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₹2,000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Fully exempt with bills</w:t>
            </w:r>
          </w:p>
        </w:tc>
        <w:tc>
          <w:tcPr>
            <w:tcW w:type="dxa" w:w="39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Telecom bill / screenshot</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Fuel &amp; Conveyance</w:t>
            </w:r>
          </w:p>
        </w:tc>
        <w:tc>
          <w:tcPr>
            <w:tcW w:type="dxa" w:w="164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₹3,500</w:t>
            </w:r>
          </w:p>
        </w:tc>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Exempt with logbook + bills</w:t>
            </w:r>
          </w:p>
        </w:tc>
        <w:tc>
          <w:tcPr>
            <w:tcW w:type="dxa" w:w="392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Fuel receipts, odometer log</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Books &amp; Periodicals</w:t>
            </w:r>
          </w:p>
        </w:tc>
        <w:tc>
          <w:tcPr>
            <w:tcW w:type="dxa" w:w="16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₹1,500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Fully exempt with bills</w:t>
            </w:r>
          </w:p>
        </w:tc>
        <w:tc>
          <w:tcPr>
            <w:tcW w:type="dxa" w:w="39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Invoice / receipt</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Meal Vouchers</w:t>
            </w:r>
          </w:p>
        </w:tc>
        <w:tc>
          <w:tcPr>
            <w:tcW w:type="dxa" w:w="164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₹2,200</w:t>
            </w:r>
          </w:p>
        </w:tc>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Exempt up to ₹50/meal</w:t>
            </w:r>
          </w:p>
        </w:tc>
        <w:tc>
          <w:tcPr>
            <w:tcW w:type="dxa" w:w="392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Sodexo / digital meal pass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Business Travel (actual)</w:t>
            </w:r>
          </w:p>
        </w:tc>
        <w:tc>
          <w:tcPr>
            <w:tcW w:type="dxa" w:w="16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As per grade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Fully exempt</w:t>
            </w:r>
          </w:p>
        </w:tc>
        <w:tc>
          <w:tcPr>
            <w:tcW w:type="dxa" w:w="39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19"/>
                <w:szCs w:val="19"/>
              </w:rPr>
              <w:t xml:space="preserve">Bills, boarding passes, hotel folio</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Professional Development</w:t>
            </w:r>
          </w:p>
        </w:tc>
        <w:tc>
          <w:tcPr>
            <w:tcW w:type="dxa" w:w="164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₹10,000 p.a.</w:t>
            </w:r>
          </w:p>
        </w:tc>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Exempt if job-related</w:t>
            </w:r>
          </w:p>
        </w:tc>
        <w:tc>
          <w:tcPr>
            <w:tcW w:type="dxa" w:w="392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19"/>
                <w:szCs w:val="19"/>
              </w:rPr>
              <w:t xml:space="preserve">Course invoice</w:t>
            </w:r>
          </w:p>
        </w:tc>
      </w:tr>
    </w:tbl>
    <w:p>
      <w:pPr>
        <w:spacing w:after="0" w:before="120"/>
      </w:pPr>
    </w:p>
    <w:p>
      <w:pPr>
        <w:pStyle w:val="Heading2"/>
        <w:spacing w:after="120" w:before="280"/>
      </w:pPr>
      <w:r>
        <w:rPr>
          <w:rFonts w:ascii="Arial" w:cs="Arial" w:eastAsia="Arial" w:hAnsi="Arial"/>
          <w:b/>
          <w:bCs/>
          <w:color w:val="0D6E6E"/>
          <w:sz w:val="24"/>
          <w:szCs w:val="24"/>
        </w:rPr>
        <w:t xml:space="preserve">12.2  Submission &amp; Processing</w:t>
      </w:r>
    </w:p>
    <w:p>
      <w:pPr>
        <w:pStyle w:val="ListParagraph"/>
        <w:numPr>
          <w:ilvl w:val="0"/>
          <w:numId w:val="2"/>
        </w:numPr>
        <w:spacing w:after="80"/>
      </w:pPr>
      <w:r>
        <w:rPr>
          <w:rFonts w:ascii="Arial" w:cs="Arial" w:eastAsia="Arial" w:hAnsi="Arial"/>
          <w:color w:val="444444"/>
          <w:sz w:val="20"/>
          <w:szCs w:val="20"/>
        </w:rPr>
        <w:t xml:space="preserve">Employees must submit expense claims via the HR portal with scanned bills by the 22nd of each month.</w:t>
      </w:r>
    </w:p>
    <w:p>
      <w:pPr>
        <w:pStyle w:val="ListParagraph"/>
        <w:numPr>
          <w:ilvl w:val="0"/>
          <w:numId w:val="2"/>
        </w:numPr>
        <w:spacing w:after="80"/>
      </w:pPr>
      <w:r>
        <w:rPr>
          <w:rFonts w:ascii="Arial" w:cs="Arial" w:eastAsia="Arial" w:hAnsi="Arial"/>
          <w:color w:val="444444"/>
          <w:sz w:val="20"/>
          <w:szCs w:val="20"/>
        </w:rPr>
        <w:t xml:space="preserve">Manager approval required within 2 working days of submission.</w:t>
      </w:r>
    </w:p>
    <w:p>
      <w:pPr>
        <w:pStyle w:val="ListParagraph"/>
        <w:numPr>
          <w:ilvl w:val="0"/>
          <w:numId w:val="2"/>
        </w:numPr>
        <w:spacing w:after="80"/>
      </w:pPr>
      <w:r>
        <w:rPr>
          <w:rFonts w:ascii="Arial" w:cs="Arial" w:eastAsia="Arial" w:hAnsi="Arial"/>
          <w:color w:val="444444"/>
          <w:sz w:val="20"/>
          <w:szCs w:val="20"/>
        </w:rPr>
        <w:t xml:space="preserve">Approved claims are processed with the monthly payroll and credited along with salary.</w:t>
      </w:r>
    </w:p>
    <w:p>
      <w:pPr>
        <w:pStyle w:val="ListParagraph"/>
        <w:numPr>
          <w:ilvl w:val="0"/>
          <w:numId w:val="2"/>
        </w:numPr>
        <w:spacing w:after="80"/>
      </w:pPr>
      <w:r>
        <w:rPr>
          <w:rFonts w:ascii="Arial" w:cs="Arial" w:eastAsia="Arial" w:hAnsi="Arial"/>
          <w:color w:val="444444"/>
          <w:sz w:val="20"/>
          <w:szCs w:val="20"/>
        </w:rPr>
        <w:t xml:space="preserve">Claims submitted after the 22nd will be processed in the following month's payroll.</w:t>
      </w:r>
    </w:p>
    <w:p>
      <w:pPr>
        <w:pStyle w:val="ListParagraph"/>
        <w:numPr>
          <w:ilvl w:val="0"/>
          <w:numId w:val="2"/>
        </w:numPr>
        <w:spacing w:after="80"/>
      </w:pPr>
      <w:r>
        <w:rPr>
          <w:rFonts w:ascii="Arial" w:cs="Arial" w:eastAsia="Arial" w:hAnsi="Arial"/>
          <w:color w:val="444444"/>
          <w:sz w:val="20"/>
          <w:szCs w:val="20"/>
        </w:rPr>
        <w:t xml:space="preserve">Reimbursements older than 90 days are not eligible for processing without written CFO approval.</w:t>
      </w:r>
    </w:p>
    <w:p>
      <w:pPr>
        <w:pStyle w:val="Heading2"/>
        <w:spacing w:after="120" w:before="280"/>
      </w:pPr>
      <w:r>
        <w:rPr>
          <w:rFonts w:ascii="Arial" w:cs="Arial" w:eastAsia="Arial" w:hAnsi="Arial"/>
          <w:b/>
          <w:bCs/>
          <w:color w:val="0D6E6E"/>
          <w:sz w:val="24"/>
          <w:szCs w:val="24"/>
        </w:rPr>
        <w:t xml:space="preserve">12.3  Policy on Taxable vs Non-Taxable Reimbursements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6E6E" w:sz="4"/>
              <w:left w:val="single" w:color="0D6E6E" w:sz="4"/>
              <w:bottom w:val="single" w:color="0D6E6E" w:sz="4"/>
              <w:right w:val="single" w:color="0D6E6E" w:sz="4"/>
            </w:tcBorders>
            <w:shd w:fill="D6E4F0" w:val="clear"/>
            <w:tcMar>
              <w:top w:type="dxa" w:w="100"/>
              <w:left w:type="dxa" w:w="160"/>
              <w:bottom w:type="dxa" w:w="100"/>
              <w:right w:type="dxa" w:w="160"/>
            </w:tcMar>
          </w:tcPr>
          <w:p>
            <w:pPr>
              <w:spacing w:after="60"/>
            </w:pPr>
            <w:r>
              <w:rPr>
                <w:rFonts w:ascii="Arial" w:cs="Arial" w:eastAsia="Arial" w:hAnsi="Arial"/>
                <w:b/>
                <w:bCs/>
                <w:color w:val="1B3A6B"/>
                <w:sz w:val="20"/>
                <w:szCs w:val="20"/>
              </w:rPr>
              <w:t xml:space="preserve">Important Note</w:t>
            </w:r>
          </w:p>
          <w:p>
            <w:pPr>
              <w:spacing w:after="0"/>
            </w:pPr>
            <w:r>
              <w:rPr>
                <w:rFonts w:ascii="Arial" w:cs="Arial" w:eastAsia="Arial" w:hAnsi="Arial"/>
                <w:color w:val="444444"/>
                <w:sz w:val="19"/>
                <w:szCs w:val="19"/>
              </w:rPr>
              <w:t xml:space="preserve">Reimbursements that are paid as a flat monthly allowance without supporting bills are treated as taxable perquisites and are added to gross income for TDS computation. Employees must submit bills to avail the tax exemption. The payroll system automatically processes reimbursements as taxable if bills are not uploaded within the cut-off date.</w:t>
            </w:r>
          </w:p>
        </w:tc>
      </w:tr>
    </w:tbl>
    <w:p>
      <w:r>
        <w:br w:type="page"/>
      </w:r>
    </w:p>
    <w:p>
      <w:pPr>
        <w:pStyle w:val="Heading1"/>
        <w:spacing w:after="160" w:before="400"/>
      </w:pPr>
      <w:r>
        <w:rPr>
          <w:rFonts w:ascii="Arial" w:cs="Arial" w:eastAsia="Arial" w:hAnsi="Arial"/>
          <w:b/>
          <w:bCs/>
          <w:color w:val="1B3A6B"/>
          <w:sz w:val="30"/>
          <w:szCs w:val="30"/>
        </w:rPr>
        <w:t xml:space="preserve">13. Payroll FAQs</w:t>
      </w:r>
    </w:p>
    <w:p>
      <w:pPr>
        <w:pBdr>
          <w:bottom w:val="single" w:color="0D6E6E" w:sz="8" w:space="1"/>
        </w:pBdr>
        <w:spacing w:after="120"/>
      </w:pPr>
    </w:p>
    <w:p>
      <w:pPr>
        <w:pStyle w:val="Heading2"/>
        <w:spacing w:after="120" w:before="280"/>
      </w:pPr>
      <w:r>
        <w:rPr>
          <w:rFonts w:ascii="Arial" w:cs="Arial" w:eastAsia="Arial" w:hAnsi="Arial"/>
          <w:b/>
          <w:bCs/>
          <w:color w:val="0D6E6E"/>
          <w:sz w:val="24"/>
          <w:szCs w:val="24"/>
        </w:rPr>
        <w:t xml:space="preserve">Q1. When will my salary be credited?</w:t>
      </w:r>
    </w:p>
    <w:p>
      <w:pPr>
        <w:spacing w:after="100"/>
      </w:pPr>
      <w:r>
        <w:rPr>
          <w:rFonts w:ascii="Arial" w:cs="Arial" w:eastAsia="Arial" w:hAnsi="Arial"/>
          <w:color w:val="444444"/>
          <w:sz w:val="20"/>
          <w:szCs w:val="20"/>
        </w:rPr>
        <w:t xml:space="preserve">Salary is credited to your registered bank account on the last working day of each month. If the last day is a bank holiday, salary is credited on the preceding working day.</w:t>
      </w:r>
    </w:p>
    <w:p>
      <w:pPr>
        <w:pStyle w:val="Heading2"/>
        <w:spacing w:after="120" w:before="280"/>
      </w:pPr>
      <w:r>
        <w:rPr>
          <w:rFonts w:ascii="Arial" w:cs="Arial" w:eastAsia="Arial" w:hAnsi="Arial"/>
          <w:b/>
          <w:bCs/>
          <w:color w:val="0D6E6E"/>
          <w:sz w:val="24"/>
          <w:szCs w:val="24"/>
        </w:rPr>
        <w:t xml:space="preserve">Q2. My salary is incorrect — what should I do?</w:t>
      </w:r>
    </w:p>
    <w:p>
      <w:pPr>
        <w:spacing w:after="100"/>
      </w:pPr>
      <w:r>
        <w:rPr>
          <w:rFonts w:ascii="Arial" w:cs="Arial" w:eastAsia="Arial" w:hAnsi="Arial"/>
          <w:color w:val="444444"/>
          <w:sz w:val="20"/>
          <w:szCs w:val="20"/>
        </w:rPr>
        <w:t xml:space="preserve">Raise a ticket on the HR portal under 'Payroll Query' within 5 working days of payslip generation. The payroll team will investigate and, if an error is confirmed, the correction will be processed in the following month's payroll along with any arrears.</w:t>
      </w:r>
    </w:p>
    <w:p>
      <w:pPr>
        <w:pStyle w:val="Heading2"/>
        <w:spacing w:after="120" w:before="280"/>
      </w:pPr>
      <w:r>
        <w:rPr>
          <w:rFonts w:ascii="Arial" w:cs="Arial" w:eastAsia="Arial" w:hAnsi="Arial"/>
          <w:b/>
          <w:bCs/>
          <w:color w:val="0D6E6E"/>
          <w:sz w:val="24"/>
          <w:szCs w:val="24"/>
        </w:rPr>
        <w:t xml:space="preserve">Q3. How do I change my tax regime?</w:t>
      </w:r>
    </w:p>
    <w:p>
      <w:pPr>
        <w:spacing w:after="100"/>
      </w:pPr>
      <w:r>
        <w:rPr>
          <w:rFonts w:ascii="Arial" w:cs="Arial" w:eastAsia="Arial" w:hAnsi="Arial"/>
          <w:color w:val="444444"/>
          <w:sz w:val="20"/>
          <w:szCs w:val="20"/>
        </w:rPr>
        <w:t xml:space="preserve">You can switch between the old and new tax regime once per financial year by submitting the Tax Regime Declaration form on the HR portal before April 30th. If no declaration is made, the system defaults to the new regime (as per Finance Act 2023 provisions).</w:t>
      </w:r>
    </w:p>
    <w:p>
      <w:pPr>
        <w:pStyle w:val="Heading2"/>
        <w:spacing w:after="120" w:before="280"/>
      </w:pPr>
      <w:r>
        <w:rPr>
          <w:rFonts w:ascii="Arial" w:cs="Arial" w:eastAsia="Arial" w:hAnsi="Arial"/>
          <w:b/>
          <w:bCs/>
          <w:color w:val="0D6E6E"/>
          <w:sz w:val="24"/>
          <w:szCs w:val="24"/>
        </w:rPr>
        <w:t xml:space="preserve">Q4. What happens to my PF if I resign?</w:t>
      </w:r>
    </w:p>
    <w:p>
      <w:pPr>
        <w:spacing w:after="100"/>
      </w:pPr>
      <w:r>
        <w:rPr>
          <w:rFonts w:ascii="Arial" w:cs="Arial" w:eastAsia="Arial" w:hAnsi="Arial"/>
          <w:color w:val="444444"/>
          <w:sz w:val="20"/>
          <w:szCs w:val="20"/>
        </w:rPr>
        <w:t xml:space="preserve">Your UAN remains active. You can either withdraw your PF (after 2 months of unemployment) or transfer it to your new employer's PF trust using Form 13 on the EPFO member portal. It is advisable to transfer rather than withdraw to maintain the 5-year threshold for tax-free withdrawal.</w:t>
      </w:r>
    </w:p>
    <w:p>
      <w:pPr>
        <w:pStyle w:val="Heading2"/>
        <w:spacing w:after="120" w:before="280"/>
      </w:pPr>
      <w:r>
        <w:rPr>
          <w:rFonts w:ascii="Arial" w:cs="Arial" w:eastAsia="Arial" w:hAnsi="Arial"/>
          <w:b/>
          <w:bCs/>
          <w:color w:val="0D6E6E"/>
          <w:sz w:val="24"/>
          <w:szCs w:val="24"/>
        </w:rPr>
        <w:t xml:space="preserve">Q5. How is my monthly TDS computed — can it change mid-year?</w:t>
      </w:r>
    </w:p>
    <w:p>
      <w:pPr>
        <w:spacing w:after="100"/>
      </w:pPr>
      <w:r>
        <w:rPr>
          <w:rFonts w:ascii="Arial" w:cs="Arial" w:eastAsia="Arial" w:hAnsi="Arial"/>
          <w:color w:val="444444"/>
          <w:sz w:val="20"/>
          <w:szCs w:val="20"/>
        </w:rPr>
        <w:t xml:space="preserve">Yes. TDS is recalculated every month based on revised annual income projections. Any salary increment, bonus payout, reimbursement treated as taxable, or change in investment declarations triggers a TDS recalculation. It is advisable to submit investment proofs by February 10th to avoid large TDS adjustments in February–March.</w:t>
      </w:r>
    </w:p>
    <w:p>
      <w:pPr>
        <w:pStyle w:val="Heading2"/>
        <w:spacing w:after="120" w:before="280"/>
      </w:pPr>
      <w:r>
        <w:rPr>
          <w:rFonts w:ascii="Arial" w:cs="Arial" w:eastAsia="Arial" w:hAnsi="Arial"/>
          <w:b/>
          <w:bCs/>
          <w:color w:val="0D6E6E"/>
          <w:sz w:val="24"/>
          <w:szCs w:val="24"/>
        </w:rPr>
        <w:t xml:space="preserve">Q6. I received an arrear payment — will it impact my taxes?</w:t>
      </w:r>
    </w:p>
    <w:p>
      <w:pPr>
        <w:spacing w:after="100"/>
      </w:pPr>
      <w:r>
        <w:rPr>
          <w:rFonts w:ascii="Arial" w:cs="Arial" w:eastAsia="Arial" w:hAnsi="Arial"/>
          <w:color w:val="444444"/>
          <w:sz w:val="20"/>
          <w:szCs w:val="20"/>
        </w:rPr>
        <w:t xml:space="preserve">Arrears are fully taxable in the year of receipt. However, you may claim relief under Section 89(1) of the Income Tax Act if the arrears relate to a prior year and the tax in the prior year would have been lower. File Form 10E on the Income Tax portal before filing your ITR to claim this relief.</w:t>
      </w:r>
    </w:p>
    <w:p>
      <w:pPr>
        <w:pStyle w:val="Heading2"/>
        <w:spacing w:after="120" w:before="280"/>
      </w:pPr>
      <w:r>
        <w:rPr>
          <w:rFonts w:ascii="Arial" w:cs="Arial" w:eastAsia="Arial" w:hAnsi="Arial"/>
          <w:b/>
          <w:bCs/>
          <w:color w:val="0D6E6E"/>
          <w:sz w:val="24"/>
          <w:szCs w:val="24"/>
        </w:rPr>
        <w:t xml:space="preserve">Q7. Am I eligible for a salary advance?</w:t>
      </w:r>
    </w:p>
    <w:p>
      <w:pPr>
        <w:spacing w:after="100"/>
      </w:pPr>
      <w:r>
        <w:rPr>
          <w:rFonts w:ascii="Arial" w:cs="Arial" w:eastAsia="Arial" w:hAnsi="Arial"/>
          <w:color w:val="444444"/>
          <w:sz w:val="20"/>
          <w:szCs w:val="20"/>
        </w:rPr>
        <w:t xml:space="preserve">Yes. Confirmed employees with at least 6 months of service may apply for a salary advance of up to 2 months' net salary, subject to manager and HR Head approval. The advance is interest-free and is recovered in up to 6 equal monthly installments from salary. No more than one active salary advance is permitted at a time.</w:t>
      </w:r>
    </w:p>
    <w:p>
      <w:pPr>
        <w:pStyle w:val="Heading2"/>
        <w:spacing w:after="120" w:before="280"/>
      </w:pPr>
      <w:r>
        <w:rPr>
          <w:rFonts w:ascii="Arial" w:cs="Arial" w:eastAsia="Arial" w:hAnsi="Arial"/>
          <w:b/>
          <w:bCs/>
          <w:color w:val="0D6E6E"/>
          <w:sz w:val="24"/>
          <w:szCs w:val="24"/>
        </w:rPr>
        <w:t xml:space="preserve">Q8. What are my payslip access options?</w:t>
      </w:r>
    </w:p>
    <w:p>
      <w:pPr>
        <w:spacing w:after="100"/>
      </w:pPr>
      <w:r>
        <w:rPr>
          <w:rFonts w:ascii="Arial" w:cs="Arial" w:eastAsia="Arial" w:hAnsi="Arial"/>
          <w:color w:val="444444"/>
          <w:sz w:val="20"/>
          <w:szCs w:val="20"/>
        </w:rPr>
        <w:t xml:space="preserve">Payslips are available digitally on the HR portal for the last 36 months. You can download PDF copies at any time. For payslips older than 36 months, raise an HR service request — these are typically fulfilled within 5 working days. Physical copies are issued only on written request.</w:t>
      </w:r>
    </w:p>
    <w:p>
      <w:pPr>
        <w:pStyle w:val="Heading2"/>
        <w:spacing w:after="120" w:before="280"/>
      </w:pPr>
      <w:r>
        <w:rPr>
          <w:rFonts w:ascii="Arial" w:cs="Arial" w:eastAsia="Arial" w:hAnsi="Arial"/>
          <w:b/>
          <w:bCs/>
          <w:color w:val="0D6E6E"/>
          <w:sz w:val="24"/>
          <w:szCs w:val="24"/>
        </w:rPr>
        <w:t xml:space="preserve">Q9. My bank account has changed — how do I update it?</w:t>
      </w:r>
    </w:p>
    <w:p>
      <w:pPr>
        <w:spacing w:after="100"/>
      </w:pPr>
      <w:r>
        <w:rPr>
          <w:rFonts w:ascii="Arial" w:cs="Arial" w:eastAsia="Arial" w:hAnsi="Arial"/>
          <w:color w:val="444444"/>
          <w:sz w:val="20"/>
          <w:szCs w:val="20"/>
        </w:rPr>
        <w:t xml:space="preserve">Submit the Bank Account Update form on the HR portal with a cancelled cheque or bank account confirmation letter at least 5 working days before the payroll cut-off (i.e., by the 25th of the month). Changes made after the cut-off will reflect in the following month's salary.</w:t>
      </w:r>
    </w:p>
    <w:p>
      <w:pPr>
        <w:pStyle w:val="Heading2"/>
        <w:spacing w:after="120" w:before="280"/>
      </w:pPr>
      <w:r>
        <w:rPr>
          <w:rFonts w:ascii="Arial" w:cs="Arial" w:eastAsia="Arial" w:hAnsi="Arial"/>
          <w:b/>
          <w:bCs/>
          <w:color w:val="0D6E6E"/>
          <w:sz w:val="24"/>
          <w:szCs w:val="24"/>
        </w:rPr>
        <w:t xml:space="preserve">Q10. How is gratuity paid if I am terminated involuntarily?</w:t>
      </w:r>
    </w:p>
    <w:p>
      <w:pPr>
        <w:spacing w:after="100"/>
      </w:pPr>
      <w:r>
        <w:rPr>
          <w:rFonts w:ascii="Arial" w:cs="Arial" w:eastAsia="Arial" w:hAnsi="Arial"/>
          <w:color w:val="444444"/>
          <w:sz w:val="20"/>
          <w:szCs w:val="20"/>
        </w:rPr>
        <w:t xml:space="preserve">In cases of involuntary separation (retrenchment, redundancy, medical incapacity), the 5-year service requirement is waived for gratuity eligibility. The computation formula remains the same: (Basic × 15 × Completed Years) ÷ 26. Gratuity must be paid within 30 days of the termination date.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4"/>
              <w:left w:val="single" w:color="1B3A6B" w:sz="4"/>
              <w:bottom w:val="single" w:color="1B3A6B" w:sz="4"/>
              <w:right w:val="single" w:color="1B3A6B" w:sz="4"/>
            </w:tcBorders>
            <w:shd w:fill="1B3A6B" w:val="clear"/>
            <w:tcMar>
              <w:top w:type="dxa" w:w="240"/>
              <w:left w:type="dxa" w:w="300"/>
              <w:bottom w:type="dxa" w:w="240"/>
              <w:right w:type="dxa" w:w="300"/>
            </w:tcMar>
          </w:tcPr>
          <w:p>
            <w:pPr>
              <w:spacing w:after="80"/>
              <w:jc w:val="center"/>
            </w:pPr>
            <w:r>
              <w:rPr>
                <w:rFonts w:ascii="Arial" w:cs="Arial" w:eastAsia="Arial" w:hAnsi="Arial"/>
                <w:b/>
                <w:bCs/>
                <w:color w:val="FFFFFF"/>
                <w:sz w:val="24"/>
                <w:szCs w:val="24"/>
              </w:rPr>
              <w:t xml:space="preserve">Document Control Information</w:t>
            </w:r>
          </w:p>
          <w:p>
            <w:pPr>
              <w:spacing w:after="0"/>
              <w:jc w:val="center"/>
            </w:pPr>
            <w:r>
              <w:rPr>
                <w:rFonts w:ascii="Arial" w:cs="Arial" w:eastAsia="Arial" w:hAnsi="Arial"/>
                <w:color w:val="D6E4F0"/>
                <w:sz w:val="19"/>
                <w:szCs w:val="19"/>
              </w:rPr>
              <w:t xml:space="preserve">Prepared by: HR &amp; Compensation Team  |  Reviewed by: Finance Controller</w:t>
            </w:r>
          </w:p>
          <w:p>
            <w:pPr>
              <w:spacing w:after="0"/>
              <w:jc w:val="center"/>
            </w:pPr>
            <w:r>
              <w:rPr>
                <w:rFonts w:ascii="Arial" w:cs="Arial" w:eastAsia="Arial" w:hAnsi="Arial"/>
                <w:color w:val="D6E4F0"/>
                <w:sz w:val="19"/>
                <w:szCs w:val="19"/>
              </w:rPr>
              <w:t xml:space="preserve">Approved by: Chief Human Resources Officer  |  Next Review: March 2026</w:t>
            </w:r>
          </w:p>
        </w:tc>
      </w:tr>
    </w:tbl>
    <w:p>
      <w:pPr>
        <w:spacing w:after="0" w:before="300"/>
      </w:pPr>
    </w:p>
    <w:p>
      <w:pPr>
        <w:spacing w:after="80"/>
        <w:jc w:val="center"/>
      </w:pPr>
      <w:r>
        <w:rPr>
          <w:rFonts w:ascii="Arial" w:cs="Arial" w:eastAsia="Arial" w:hAnsi="Arial"/>
          <w:i/>
          <w:iCs/>
          <w:color w:val="444444"/>
          <w:sz w:val="17"/>
          <w:szCs w:val="17"/>
        </w:rPr>
        <w:t xml:space="preserve">This document is confidential and intended solely for internal use. Unauthorised disclosure is strictly prohibited.</w:t>
      </w:r>
    </w:p>
    <w:p>
      <w:pPr>
        <w:spacing w:after="0"/>
        <w:jc w:val="center"/>
      </w:pPr>
      <w:r>
        <w:rPr>
          <w:rFonts w:ascii="Arial" w:cs="Arial" w:eastAsia="Arial" w:hAnsi="Arial"/>
          <w:color w:val="444444"/>
          <w:sz w:val="17"/>
          <w:szCs w:val="17"/>
        </w:rPr>
        <w:t xml:space="preserve">© 2025 Organisation Name. All rights reserved.</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6E6E" w:sz="6" w:space="1"/>
      </w:pBdr>
      <w:tabs>
        <w:tab w:val="right" w:pos="9026"/>
      </w:tabs>
      <w:spacing w:before="80"/>
    </w:pPr>
    <w:r>
      <w:rPr>
        <w:rFonts w:ascii="Arial" w:cs="Arial" w:eastAsia="Arial" w:hAnsi="Arial"/>
        <w:color w:val="0D6E6E"/>
        <w:sz w:val="16"/>
        <w:szCs w:val="16"/>
      </w:rPr>
      <w:t xml:space="preserve">Version 1.0  |  Effective Date: April 1, 2025</w:t>
    </w:r>
    <w:r>
      <w:rPr>
        <w:rFonts w:ascii="Arial" w:cs="Arial" w:eastAsia="Arial" w:hAnsi="Arial"/>
        <w:sz w:val="16"/>
        <w:szCs w:val="16"/>
      </w:rPr>
      <w:t xml:space="preserve">	</w:t>
    </w:r>
    <w:r>
      <w:rPr>
        <w:rFonts w:ascii="Arial" w:cs="Arial" w:eastAsia="Arial" w:hAnsi="Arial"/>
        <w:color w:val="0D6E6E"/>
        <w:sz w:val="16"/>
        <w:szCs w:val="16"/>
      </w:rPr>
      <w:t xml:space="preserve">Page </w:t>
    </w:r>
    <w:r>
      <w:rPr>
        <w:rFonts w:ascii="Arial" w:cs="Arial" w:eastAsia="Arial" w:hAnsi="Arial"/>
        <w:color w:val="0D6E6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6E6E" w:sz="6" w:space="1"/>
      </w:pBdr>
      <w:spacing w:after="120"/>
    </w:pPr>
    <w:r>
      <w:rPr>
        <w:rFonts w:ascii="Arial" w:cs="Arial" w:eastAsia="Arial" w:hAnsi="Arial"/>
        <w:b/>
        <w:bCs/>
        <w:color w:val="0D6E6E"/>
        <w:sz w:val="16"/>
        <w:szCs w:val="16"/>
      </w:rPr>
      <w:t xml:space="preserve">CONFIDENTIAL  |  PAYROLL POLICY DOCUMENT  |  HR DEPARTMENT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6B"/>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0D6E6E"/>
      <w:sz w:val="24"/>
      <w:szCs w:val="24"/>
    </w:rPr>
  </w:style>
  <w:style w:type="paragraph" w:styleId="Heading3">
    <w:name w:val="Heading 3"/>
    <w:basedOn w:val="Normal"/>
    <w:next w:val="Normal"/>
    <w:qFormat/>
    <w:pPr>
      <w:spacing w:after="80" w:before="200"/>
      <w:outlineLvl w:val="2"/>
    </w:pPr>
    <w:rPr>
      <w:rFonts w:ascii="Arial" w:cs="Arial" w:eastAsia="Arial" w:hAnsi="Arial"/>
      <w:b/>
      <w:bCs/>
      <w:color w:val="C897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2026-06-05T06:03:36.025Z</dcterms:created>
  <dcterms:modified xsi:type="dcterms:W3CDTF">2026-06-05T06:03:36.025Z</dcterms:modified>
</cp:coreProperties>
</file>

<file path=docProps/custom.xml><?xml version="1.0" encoding="utf-8"?>
<Properties xmlns="http://schemas.openxmlformats.org/officeDocument/2006/custom-properties" xmlns:vt="http://schemas.openxmlformats.org/officeDocument/2006/docPropsVTypes"/>
</file>