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Arial" w:cs="Arial" w:eastAsia="Arial" w:hAnsi="Arial"/>
          <w:b/>
          <w:bCs/>
          <w:color w:val="1A3557"/>
          <w:sz w:val="56"/>
          <w:szCs w:val="56"/>
        </w:rPr>
        <w:t xml:space="preserve">CORPORATE REIMBURSEMENT POLICY</w:t>
      </w:r>
    </w:p>
    <w:p>
      <w:pPr>
        <w:pBdr>
          <w:bottom w:val="single" w:color="0B6E6E" w:sz="8" w:space="1"/>
        </w:pBdr>
        <w:spacing w:after="140"/>
      </w:pPr>
    </w:p>
    <w:p>
      <w:pPr>
        <w:spacing w:after="80" w:before="80"/>
        <w:jc w:val="center"/>
      </w:pPr>
      <w:r>
        <w:rPr>
          <w:rFonts w:ascii="Arial" w:cs="Arial" w:eastAsia="Arial" w:hAnsi="Arial"/>
          <w:i/>
          <w:iCs/>
          <w:color w:val="0B6E6E"/>
          <w:sz w:val="26"/>
          <w:szCs w:val="26"/>
        </w:rPr>
        <w:t xml:space="preserve">Finance &amp; Human Resources Department</w:t>
      </w:r>
    </w:p>
    <w:p>
      <w:pPr>
        <w:spacing w:after="60"/>
        <w:jc w:val="center"/>
      </w:pPr>
      <w:r>
        <w:rPr>
          <w:rFonts w:ascii="Arial" w:cs="Arial" w:eastAsia="Arial" w:hAnsi="Arial"/>
          <w:color w:val="555555"/>
          <w:sz w:val="21"/>
          <w:szCs w:val="21"/>
        </w:rPr>
        <w:t xml:space="preserve">Version 1.0  |  Effective Date: April 1, 2025  |  Classification: Internal</w:t>
      </w:r>
    </w:p>
    <w:p>
      <w:pPr>
        <w:spacing w:after="500" w:before="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1A3557" w:sz="4"/>
              <w:left w:val="single" w:color="1A3557" w:sz="4"/>
              <w:bottom w:val="single" w:color="1A3557" w:sz="4"/>
              <w:right w:val="single" w:color="1A3557" w:sz="4"/>
            </w:tcBorders>
            <w:shd w:fill="E3EEF9" w:val="clear"/>
            <w:tcMar>
              <w:top w:type="dxa" w:w="220"/>
              <w:left w:type="dxa" w:w="320"/>
              <w:bottom w:type="dxa" w:w="220"/>
              <w:right w:type="dxa" w:w="320"/>
            </w:tcMar>
          </w:tcPr>
          <w:p>
            <w:pPr>
              <w:spacing w:after="80"/>
              <w:jc w:val="center"/>
            </w:pPr>
            <w:r>
              <w:rPr>
                <w:rFonts w:ascii="Arial" w:cs="Arial" w:eastAsia="Arial" w:hAnsi="Arial"/>
                <w:b/>
                <w:bCs/>
                <w:color w:val="1A3557"/>
                <w:sz w:val="22"/>
                <w:szCs w:val="22"/>
              </w:rPr>
              <w:t xml:space="preserve">Policy Overview</w:t>
            </w:r>
          </w:p>
          <w:p>
            <w:pPr>
              <w:spacing w:after="0"/>
              <w:jc w:val="center"/>
            </w:pPr>
            <w:r>
              <w:rPr>
                <w:rFonts w:ascii="Arial" w:cs="Arial" w:eastAsia="Arial" w:hAnsi="Arial"/>
                <w:color w:val="555555"/>
                <w:sz w:val="19"/>
                <w:szCs w:val="19"/>
              </w:rPr>
              <w:t xml:space="preserve">This policy defines the rules, limits, approval workflows, and documentation requirements for all employee expense reimbursements. It covers travel, accommodation, communication, professional development, and daily business expenses. Compliance with this policy is mandatory for all employees.</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Borders>
                    <w:top w:val="single" w:color="C75B20" w:sz="4"/>
                    <w:left w:val="single" w:color="C75B20" w:sz="4"/>
                    <w:bottom w:val="single" w:color="C75B20" w:sz="4"/>
                    <w:right w:val="single" w:color="C75B20" w:sz="4"/>
                  </w:tcBorders>
                  <w:shd w:fill="FDEEDE" w:val="clear"/>
                  <w:tcMar>
                    <w:top w:type="dxa" w:w="120"/>
                    <w:left w:type="dxa" w:w="160"/>
                    <w:bottom w:type="dxa" w:w="120"/>
                    <w:right w:type="dxa" w:w="160"/>
                  </w:tcMar>
                </w:tcPr>
                <w:p>
                  <w:pPr>
                    <w:spacing w:after="40"/>
                    <w:jc w:val="center"/>
                  </w:pPr>
                  <w:r>
                    <w:rPr>
                      <w:rFonts w:ascii="Arial" w:cs="Arial" w:eastAsia="Arial" w:hAnsi="Arial"/>
                      <w:b/>
                      <w:bCs/>
                      <w:color w:val="C75B20"/>
                      <w:sz w:val="20"/>
                      <w:szCs w:val="20"/>
                    </w:rPr>
                    <w:t xml:space="preserve">Submission Window</w:t>
                  </w:r>
                </w:p>
                <w:p>
                  <w:pPr>
                    <w:jc w:val="center"/>
                  </w:pPr>
                  <w:r>
                    <w:rPr>
                      <w:rFonts w:ascii="Arial" w:cs="Arial" w:eastAsia="Arial" w:hAnsi="Arial"/>
                      <w:b/>
                      <w:bCs/>
                      <w:color w:val="1A3557"/>
                      <w:sz w:val="22"/>
                      <w:szCs w:val="22"/>
                    </w:rPr>
                    <w:t xml:space="preserve">Within 30 days</w:t>
                  </w:r>
                  <w:r>
                    <w:rPr>
                      <w:rFonts w:ascii="Arial" w:cs="Arial" w:eastAsia="Arial" w:hAnsi="Arial"/>
                      <w:color w:val="555555"/>
                      <w:sz w:val="18"/>
                      <w:szCs w:val="18"/>
                    </w:rPr>
                    <w:t xml:space="preserve"> of incurring expense</w:t>
                  </w:r>
                </w:p>
              </w:tc>
            </w:tr>
          </w:tbl>
          <w:p/>
        </w:tc>
        <w:tc>
          <w:tcPr>
            <w:tcW w:type="dxa" w:w="4800"/>
            <w:tcBorders>
              <w:top w:val="none" w:color="FFFFFF" w:sz="0"/>
              <w:left w:val="none" w:color="FFFFFF" w:sz="0"/>
              <w:bottom w:val="none" w:color="FFFFFF" w:sz="0"/>
              <w:right w:val="none" w:color="FFFFFF" w:sz="0"/>
            </w:tcBorders>
          </w:tcPr>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Borders>
                    <w:top w:val="single" w:color="0B6E6E" w:sz="4"/>
                    <w:left w:val="single" w:color="0B6E6E" w:sz="4"/>
                    <w:bottom w:val="single" w:color="0B6E6E" w:sz="4"/>
                    <w:right w:val="single" w:color="0B6E6E" w:sz="4"/>
                  </w:tcBorders>
                  <w:shd w:fill="D4EFEF" w:val="clear"/>
                  <w:tcMar>
                    <w:top w:type="dxa" w:w="120"/>
                    <w:left w:type="dxa" w:w="160"/>
                    <w:bottom w:type="dxa" w:w="120"/>
                    <w:right w:type="dxa" w:w="160"/>
                  </w:tcMar>
                </w:tcPr>
                <w:p>
                  <w:pPr>
                    <w:spacing w:after="40"/>
                    <w:jc w:val="center"/>
                  </w:pPr>
                  <w:r>
                    <w:rPr>
                      <w:rFonts w:ascii="Arial" w:cs="Arial" w:eastAsia="Arial" w:hAnsi="Arial"/>
                      <w:b/>
                      <w:bCs/>
                      <w:color w:val="0B6E6E"/>
                      <w:sz w:val="20"/>
                      <w:szCs w:val="20"/>
                    </w:rPr>
                    <w:t xml:space="preserve">Reimbursement TAT</w:t>
                  </w:r>
                </w:p>
                <w:p>
                  <w:pPr>
                    <w:jc w:val="center"/>
                  </w:pPr>
                  <w:r>
                    <w:rPr>
                      <w:rFonts w:ascii="Arial" w:cs="Arial" w:eastAsia="Arial" w:hAnsi="Arial"/>
                      <w:b/>
                      <w:bCs/>
                      <w:color w:val="1A3557"/>
                      <w:sz w:val="22"/>
                      <w:szCs w:val="22"/>
                    </w:rPr>
                    <w:t xml:space="preserve">7–10 working days</w:t>
                  </w:r>
                  <w:r>
                    <w:rPr>
                      <w:rFonts w:ascii="Arial" w:cs="Arial" w:eastAsia="Arial" w:hAnsi="Arial"/>
                      <w:color w:val="555555"/>
                      <w:sz w:val="18"/>
                      <w:szCs w:val="18"/>
                    </w:rPr>
                    <w:t xml:space="preserve"> post approval</w:t>
                  </w:r>
                </w:p>
              </w:tc>
            </w:tr>
          </w:tbl>
          <w:p/>
        </w:tc>
      </w:tr>
    </w:tbl>
    <w:p>
      <w:r>
        <w:br w:type="page"/>
      </w:r>
    </w:p>
    <w:p>
      <w:pPr>
        <w:pStyle w:val="Heading1"/>
        <w:spacing w:after="140" w:before="360"/>
      </w:pPr>
      <w:r>
        <w:rPr>
          <w:rFonts w:ascii="Arial" w:cs="Arial" w:eastAsia="Arial" w:hAnsi="Arial"/>
          <w:b/>
          <w:bCs/>
          <w:color w:val="1A3557"/>
          <w:sz w:val="32"/>
          <w:szCs w:val="32"/>
        </w:rPr>
        <w:t xml:space="preserve">1.  Introduction &amp; Scope</w:t>
      </w:r>
    </w:p>
    <w:p>
      <w:pPr>
        <w:pBdr>
          <w:bottom w:val="single" w:color="0B6E6E" w:sz="8" w:space="1"/>
        </w:pBdr>
        <w:spacing w:after="140"/>
      </w:pPr>
    </w:p>
    <w:p>
      <w:pPr>
        <w:spacing w:after="100"/>
      </w:pPr>
      <w:r>
        <w:rPr>
          <w:rFonts w:ascii="Arial" w:cs="Arial" w:eastAsia="Arial" w:hAnsi="Arial"/>
          <w:color w:val="555555"/>
          <w:sz w:val="20"/>
          <w:szCs w:val="20"/>
        </w:rPr>
        <w:t xml:space="preserve">This Corporate Reimbursement Policy establishes a transparent framework for reimbursing employees for legitimate, pre-approved business expenses incurred in the course of their duties. The policy ensures fiscal discipline, consistency, and compliance with applicable tax regulations.</w:t>
      </w:r>
    </w:p>
    <w:p>
      <w:pPr>
        <w:spacing w:after="120" w:before="0"/>
      </w:pPr>
    </w:p>
    <w:p>
      <w:pPr>
        <w:pStyle w:val="Heading2"/>
        <w:spacing w:after="110" w:before="260"/>
      </w:pPr>
      <w:r>
        <w:rPr>
          <w:rFonts w:ascii="Arial" w:cs="Arial" w:eastAsia="Arial" w:hAnsi="Arial"/>
          <w:b/>
          <w:bCs/>
          <w:color w:val="0B6E6E"/>
          <w:sz w:val="24"/>
          <w:szCs w:val="24"/>
        </w:rPr>
        <w:t xml:space="preserve">1.1  Guiding Principles</w:t>
      </w:r>
    </w:p>
    <w:p>
      <w:pPr>
        <w:pStyle w:val="ListParagraph"/>
        <w:numPr>
          <w:ilvl w:val="0"/>
          <w:numId w:val="2"/>
        </w:numPr>
        <w:spacing w:after="80"/>
      </w:pPr>
      <w:r>
        <w:rPr>
          <w:rFonts w:ascii="Arial" w:cs="Arial" w:eastAsia="Arial" w:hAnsi="Arial"/>
          <w:color w:val="555555"/>
          <w:sz w:val="20"/>
          <w:szCs w:val="20"/>
        </w:rPr>
        <w:t xml:space="preserve">Expenses must be necessary, reasonable, and directly related to legitimate business activity.</w:t>
      </w:r>
    </w:p>
    <w:p>
      <w:pPr>
        <w:pStyle w:val="ListParagraph"/>
        <w:numPr>
          <w:ilvl w:val="0"/>
          <w:numId w:val="2"/>
        </w:numPr>
        <w:spacing w:after="80"/>
      </w:pPr>
      <w:r>
        <w:rPr>
          <w:rFonts w:ascii="Arial" w:cs="Arial" w:eastAsia="Arial" w:hAnsi="Arial"/>
          <w:color w:val="555555"/>
          <w:sz w:val="20"/>
          <w:szCs w:val="20"/>
        </w:rPr>
        <w:t xml:space="preserve">Employees should spend company money as if it were their own — seeking value without compromising quality.</w:t>
      </w:r>
    </w:p>
    <w:p>
      <w:pPr>
        <w:pStyle w:val="ListParagraph"/>
        <w:numPr>
          <w:ilvl w:val="0"/>
          <w:numId w:val="2"/>
        </w:numPr>
        <w:spacing w:after="80"/>
      </w:pPr>
      <w:r>
        <w:rPr>
          <w:rFonts w:ascii="Arial" w:cs="Arial" w:eastAsia="Arial" w:hAnsi="Arial"/>
          <w:color w:val="555555"/>
          <w:sz w:val="20"/>
          <w:szCs w:val="20"/>
        </w:rPr>
        <w:t xml:space="preserve">All expenses require prior approval wherever possible, and post-facto justification where prior approval was not feasible.</w:t>
      </w:r>
    </w:p>
    <w:p>
      <w:pPr>
        <w:pStyle w:val="ListParagraph"/>
        <w:numPr>
          <w:ilvl w:val="0"/>
          <w:numId w:val="2"/>
        </w:numPr>
        <w:spacing w:after="80"/>
      </w:pPr>
      <w:r>
        <w:rPr>
          <w:rFonts w:ascii="Arial" w:cs="Arial" w:eastAsia="Arial" w:hAnsi="Arial"/>
          <w:color w:val="555555"/>
          <w:sz w:val="20"/>
          <w:szCs w:val="20"/>
        </w:rPr>
        <w:t xml:space="preserve">The company will not reimburse personal, luxury, or non-business expenses under any circumstances.</w:t>
      </w:r>
    </w:p>
    <w:p>
      <w:pPr>
        <w:pStyle w:val="ListParagraph"/>
        <w:numPr>
          <w:ilvl w:val="0"/>
          <w:numId w:val="2"/>
        </w:numPr>
        <w:spacing w:after="80"/>
      </w:pPr>
      <w:r>
        <w:rPr>
          <w:rFonts w:ascii="Arial" w:cs="Arial" w:eastAsia="Arial" w:hAnsi="Arial"/>
          <w:color w:val="555555"/>
          <w:sz w:val="20"/>
          <w:szCs w:val="20"/>
        </w:rPr>
        <w:t xml:space="preserve">Compliance with this policy is a condition of employment; deliberate misrepresentation may lead to disciplinary action.</w:t>
      </w:r>
    </w:p>
    <w:p>
      <w:pPr>
        <w:spacing w:after="120" w:before="0"/>
      </w:pPr>
    </w:p>
    <w:p>
      <w:pPr>
        <w:pStyle w:val="Heading2"/>
        <w:spacing w:after="110" w:before="260"/>
      </w:pPr>
      <w:r>
        <w:rPr>
          <w:rFonts w:ascii="Arial" w:cs="Arial" w:eastAsia="Arial" w:hAnsi="Arial"/>
          <w:b/>
          <w:bCs/>
          <w:color w:val="0B6E6E"/>
          <w:sz w:val="24"/>
          <w:szCs w:val="24"/>
        </w:rPr>
        <w:t xml:space="preserve">1.2  Applicability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Employee Category</w:t>
            </w:r>
          </w:p>
        </w:tc>
        <w:tc>
          <w:tcPr>
            <w:tcW w:type="dxa" w:w="28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Covered Sections</w:t>
            </w:r>
          </w:p>
        </w:tc>
        <w:tc>
          <w:tcPr>
            <w:tcW w:type="dxa" w:w="376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Full-Time Permanent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All sections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Full entitlements apply</w:t>
            </w:r>
          </w:p>
        </w:tc>
      </w:tr>
      <w:tr>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Probationary Employees</w:t>
            </w:r>
          </w:p>
        </w:tc>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Sections 2–6, 9</w:t>
            </w:r>
          </w:p>
        </w:tc>
        <w:tc>
          <w:tcPr>
            <w:tcW w:type="dxa" w:w="37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No L&amp;D reimbursement during probation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Contract / Consultants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Section 2 only (if in contract)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As per individual agreement</w:t>
            </w:r>
          </w:p>
        </w:tc>
      </w:tr>
      <w:tr>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Interns / Trainees</w:t>
            </w:r>
          </w:p>
        </w:tc>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Sections 5, 9 only</w:t>
            </w:r>
          </w:p>
        </w:tc>
        <w:tc>
          <w:tcPr>
            <w:tcW w:type="dxa" w:w="37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Limited to food &amp; local travel</w:t>
            </w:r>
          </w:p>
        </w:tc>
      </w:tr>
    </w:tbl>
    <w:p>
      <w:r>
        <w:br w:type="page"/>
      </w:r>
    </w:p>
    <w:p>
      <w:pPr>
        <w:pStyle w:val="Heading1"/>
        <w:spacing w:after="140" w:before="360"/>
      </w:pPr>
      <w:r>
        <w:rPr>
          <w:rFonts w:ascii="Arial" w:cs="Arial" w:eastAsia="Arial" w:hAnsi="Arial"/>
          <w:b/>
          <w:bCs/>
          <w:color w:val="1A3557"/>
          <w:sz w:val="32"/>
          <w:szCs w:val="32"/>
        </w:rPr>
        <w:t xml:space="preserve">2.  Travel Reimbursement</w:t>
      </w:r>
    </w:p>
    <w:p>
      <w:pPr>
        <w:pBdr>
          <w:bottom w:val="single" w:color="0B6E6E" w:sz="8" w:space="1"/>
        </w:pBdr>
        <w:spacing w:after="140"/>
      </w:pPr>
    </w:p>
    <w:p>
      <w:pPr>
        <w:spacing w:after="100"/>
      </w:pPr>
      <w:r>
        <w:rPr>
          <w:rFonts w:ascii="Arial" w:cs="Arial" w:eastAsia="Arial" w:hAnsi="Arial"/>
          <w:color w:val="555555"/>
          <w:sz w:val="20"/>
          <w:szCs w:val="20"/>
        </w:rPr>
        <w:t xml:space="preserve">Business travel reimbursement covers all transport costs incurred while travelling for company purposes — client visits, conferences, inter-office work, and field assignments.</w:t>
      </w:r>
    </w:p>
    <w:p>
      <w:pPr>
        <w:spacing w:after="120" w:before="0"/>
      </w:pPr>
    </w:p>
    <w:p>
      <w:pPr>
        <w:pStyle w:val="Heading2"/>
        <w:spacing w:after="110" w:before="260"/>
      </w:pPr>
      <w:r>
        <w:rPr>
          <w:rFonts w:ascii="Arial" w:cs="Arial" w:eastAsia="Arial" w:hAnsi="Arial"/>
          <w:b/>
          <w:bCs/>
          <w:color w:val="0B6E6E"/>
          <w:sz w:val="24"/>
          <w:szCs w:val="24"/>
        </w:rPr>
        <w:t xml:space="preserve">2.1  Mode of Travel — Entitlement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200"/>
        <w:gridCol w:w="2200"/>
        <w:gridCol w:w="2000"/>
        <w:gridCol w:w="1280"/>
      </w:tblGrid>
      <w:tr>
        <w:tc>
          <w:tcPr>
            <w:tcW w:type="dxa" w:w="168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Level</w:t>
            </w:r>
          </w:p>
        </w:tc>
        <w:tc>
          <w:tcPr>
            <w:tcW w:type="dxa" w:w="22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Domestic Air</w:t>
            </w:r>
          </w:p>
        </w:tc>
        <w:tc>
          <w:tcPr>
            <w:tcW w:type="dxa" w:w="22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Train</w:t>
            </w:r>
          </w:p>
        </w:tc>
        <w:tc>
          <w:tcPr>
            <w:tcW w:type="dxa" w:w="20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Cab / Taxi</w:t>
            </w:r>
          </w:p>
        </w:tc>
        <w:tc>
          <w:tcPr>
            <w:tcW w:type="dxa" w:w="128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Personal Vehicle</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L1–L2 (Associate / Senior)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Economy class only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AC 2-tier (2A)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Actuals up to ₹1,500/trip</w:t>
            </w:r>
          </w:p>
        </w:tc>
        <w:tc>
          <w:tcPr>
            <w:tcW w:type="dxa" w:w="1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₹7 per km</w:t>
            </w:r>
          </w:p>
        </w:tc>
      </w:tr>
      <w:tr>
        <w:tc>
          <w:tcPr>
            <w:tcW w:type="dxa" w:w="168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L3–L4 (Manager / Sr. Mgr)</w:t>
            </w:r>
          </w:p>
        </w:tc>
        <w:tc>
          <w:tcPr>
            <w:tcW w:type="dxa" w:w="2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Economy class</w:t>
            </w:r>
          </w:p>
        </w:tc>
        <w:tc>
          <w:tcPr>
            <w:tcW w:type="dxa" w:w="2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AC 1st class (1A)</w:t>
            </w:r>
          </w:p>
        </w:tc>
        <w:tc>
          <w:tcPr>
            <w:tcW w:type="dxa" w:w="20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Actuals up to ₹2,500/trip</w:t>
            </w:r>
          </w:p>
        </w:tc>
        <w:tc>
          <w:tcPr>
            <w:tcW w:type="dxa" w:w="128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₹7 per km</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L5+ (Director / VP / CXO)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Business class allowed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First class / Vistadome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Business cab / actuals</w:t>
            </w:r>
          </w:p>
        </w:tc>
        <w:tc>
          <w:tcPr>
            <w:tcW w:type="dxa" w:w="1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₹10 per km</w:t>
            </w:r>
          </w:p>
        </w:tc>
      </w:tr>
    </w:tbl>
    <w:p>
      <w:pPr>
        <w:spacing w:after="120" w:before="0"/>
      </w:pPr>
    </w:p>
    <w:p>
      <w:pPr>
        <w:pStyle w:val="Heading2"/>
        <w:spacing w:after="110" w:before="260"/>
      </w:pPr>
      <w:r>
        <w:rPr>
          <w:rFonts w:ascii="Arial" w:cs="Arial" w:eastAsia="Arial" w:hAnsi="Arial"/>
          <w:b/>
          <w:bCs/>
          <w:color w:val="0B6E6E"/>
          <w:sz w:val="24"/>
          <w:szCs w:val="24"/>
        </w:rPr>
        <w:t xml:space="preserve">2.2  Key Rules</w:t>
      </w:r>
    </w:p>
    <w:p>
      <w:pPr>
        <w:pStyle w:val="ListParagraph"/>
        <w:numPr>
          <w:ilvl w:val="0"/>
          <w:numId w:val="2"/>
        </w:numPr>
        <w:spacing w:after="80"/>
      </w:pPr>
      <w:r>
        <w:rPr>
          <w:rFonts w:ascii="Arial" w:cs="Arial" w:eastAsia="Arial" w:hAnsi="Arial"/>
          <w:color w:val="555555"/>
          <w:sz w:val="20"/>
          <w:szCs w:val="20"/>
        </w:rPr>
        <w:t xml:space="preserve">Flights must be booked at least 7 days in advance through the approved travel portal to get the lowest fares. Last-minute bookings require written manager approval.</w:t>
      </w:r>
    </w:p>
    <w:p>
      <w:pPr>
        <w:pStyle w:val="ListParagraph"/>
        <w:numPr>
          <w:ilvl w:val="0"/>
          <w:numId w:val="2"/>
        </w:numPr>
        <w:spacing w:after="80"/>
      </w:pPr>
      <w:r>
        <w:rPr>
          <w:rFonts w:ascii="Arial" w:cs="Arial" w:eastAsia="Arial" w:hAnsi="Arial"/>
          <w:color w:val="555555"/>
          <w:sz w:val="20"/>
          <w:szCs w:val="20"/>
        </w:rPr>
        <w:t xml:space="preserve">Taxis must be booked via approved apps (Ola Business / Uber for Business). Personal rides on personal accounts are reimbursable with a screenshot showing fare and route.</w:t>
      </w:r>
    </w:p>
    <w:p>
      <w:pPr>
        <w:pStyle w:val="ListParagraph"/>
        <w:numPr>
          <w:ilvl w:val="0"/>
          <w:numId w:val="2"/>
        </w:numPr>
        <w:spacing w:after="80"/>
      </w:pPr>
      <w:r>
        <w:rPr>
          <w:rFonts w:ascii="Arial" w:cs="Arial" w:eastAsia="Arial" w:hAnsi="Arial"/>
          <w:color w:val="555555"/>
          <w:sz w:val="20"/>
          <w:szCs w:val="20"/>
        </w:rPr>
        <w:t xml:space="preserve">Personal vehicle mileage is reimbursed at ₹7/km (L1–L4) or ₹10/km (L5+). Tolls are reimbursed separately with receipt.</w:t>
      </w:r>
    </w:p>
    <w:p>
      <w:pPr>
        <w:pStyle w:val="ListParagraph"/>
        <w:numPr>
          <w:ilvl w:val="0"/>
          <w:numId w:val="2"/>
        </w:numPr>
        <w:spacing w:after="80"/>
      </w:pPr>
      <w:r>
        <w:rPr>
          <w:rFonts w:ascii="Arial" w:cs="Arial" w:eastAsia="Arial" w:hAnsi="Arial"/>
          <w:color w:val="555555"/>
          <w:sz w:val="20"/>
          <w:szCs w:val="20"/>
        </w:rPr>
        <w:t xml:space="preserve">International travel requires VP-level pre-approval at least 10 working days in advance and compliance with the Foreign Business Travel SOP.</w:t>
      </w:r>
    </w:p>
    <w:p>
      <w:pPr>
        <w:pStyle w:val="ListParagraph"/>
        <w:numPr>
          <w:ilvl w:val="0"/>
          <w:numId w:val="2"/>
        </w:numPr>
        <w:spacing w:after="80"/>
      </w:pPr>
      <w:r>
        <w:rPr>
          <w:rFonts w:ascii="Arial" w:cs="Arial" w:eastAsia="Arial" w:hAnsi="Arial"/>
          <w:color w:val="555555"/>
          <w:sz w:val="20"/>
          <w:szCs w:val="20"/>
        </w:rPr>
        <w:t xml:space="preserve">Travel for personal reasons combined with business travel: only the incremental business cost is reimbursable.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5B20" w:sz="4"/>
              <w:left w:val="single" w:color="C75B20" w:sz="4"/>
              <w:bottom w:val="single" w:color="C75B20" w:sz="4"/>
              <w:right w:val="single" w:color="C75B20" w:sz="4"/>
            </w:tcBorders>
            <w:shd w:fill="FDEEDE" w:val="clear"/>
            <w:tcMar>
              <w:top w:type="dxa" w:w="120"/>
              <w:left w:type="dxa" w:w="180"/>
              <w:bottom w:type="dxa" w:w="120"/>
              <w:right w:type="dxa" w:w="180"/>
            </w:tcMar>
          </w:tcPr>
          <w:p>
            <w:pPr>
              <w:spacing w:after="60"/>
            </w:pPr>
            <w:r>
              <w:rPr>
                <w:rFonts w:ascii="Arial" w:cs="Arial" w:eastAsia="Arial" w:hAnsi="Arial"/>
                <w:b/>
                <w:bCs/>
                <w:color w:val="C75B20"/>
                <w:sz w:val="20"/>
                <w:szCs w:val="20"/>
              </w:rPr>
              <w:t xml:space="preserve">📋  Example 2A — Arjun Mehta (L2) travels from Bengaluru to Mumbai for a client meeting</w:t>
            </w:r>
          </w:p>
          <w:p>
            <w:pPr>
              <w:spacing w:after="50"/>
            </w:pPr>
            <w:r>
              <w:rPr>
                <w:rFonts w:ascii="Arial" w:cs="Arial" w:eastAsia="Arial" w:hAnsi="Arial"/>
                <w:color w:val="555555"/>
                <w:sz w:val="20"/>
                <w:szCs w:val="20"/>
              </w:rPr>
              <w:t xml:space="preserve">Flight (Economy, booked 8 days ahead): ₹4,800 — Eligible</w:t>
            </w:r>
          </w:p>
          <w:p>
            <w:pPr>
              <w:spacing w:after="50"/>
            </w:pPr>
            <w:r>
              <w:rPr>
                <w:rFonts w:ascii="Arial" w:cs="Arial" w:eastAsia="Arial" w:hAnsi="Arial"/>
                <w:color w:val="555555"/>
                <w:sz w:val="20"/>
                <w:szCs w:val="20"/>
              </w:rPr>
              <w:t xml:space="preserve">Cab from office to airport: ₹620 — Eligible (below ₹1,500 cap)</w:t>
            </w:r>
          </w:p>
          <w:p>
            <w:pPr>
              <w:spacing w:after="50"/>
            </w:pPr>
            <w:r>
              <w:rPr>
                <w:rFonts w:ascii="Arial" w:cs="Arial" w:eastAsia="Arial" w:hAnsi="Arial"/>
                <w:color w:val="555555"/>
                <w:sz w:val="20"/>
                <w:szCs w:val="20"/>
              </w:rPr>
              <w:t xml:space="preserve">Cab from Mumbai airport to client site: ₹1,350 — Eligible</w:t>
            </w:r>
          </w:p>
          <w:p>
            <w:pPr>
              <w:spacing w:after="50"/>
            </w:pPr>
            <w:r>
              <w:rPr>
                <w:rFonts w:ascii="Arial" w:cs="Arial" w:eastAsia="Arial" w:hAnsi="Arial"/>
                <w:color w:val="555555"/>
                <w:sz w:val="20"/>
                <w:szCs w:val="20"/>
              </w:rPr>
              <w:t xml:space="preserve">Cab Mumbai airport to client site (return): ₹1,650 — ₹1,500 reimbursed; ₹150 borne by employee</w:t>
            </w:r>
          </w:p>
          <w:p>
            <w:pPr>
              <w:spacing w:after="50"/>
            </w:pPr>
            <w:r>
              <w:rPr>
                <w:rFonts w:ascii="Arial" w:cs="Arial" w:eastAsia="Arial" w:hAnsi="Arial"/>
                <w:color w:val="555555"/>
                <w:sz w:val="20"/>
                <w:szCs w:val="20"/>
              </w:rPr>
              <w:t xml:space="preserve">Total Reimbursed: ₹8,270  |  Out-of-pocket: ₹150</w:t>
            </w:r>
          </w:p>
        </w:tc>
      </w:tr>
    </w:tbl>
    <w:p>
      <w:r>
        <w:br w:type="page"/>
      </w:r>
    </w:p>
    <w:p>
      <w:pPr>
        <w:pStyle w:val="Heading1"/>
        <w:spacing w:after="140" w:before="360"/>
      </w:pPr>
      <w:r>
        <w:rPr>
          <w:rFonts w:ascii="Arial" w:cs="Arial" w:eastAsia="Arial" w:hAnsi="Arial"/>
          <w:b/>
          <w:bCs/>
          <w:color w:val="1A3557"/>
          <w:sz w:val="32"/>
          <w:szCs w:val="32"/>
        </w:rPr>
        <w:t xml:space="preserve">3.  Hotel &amp; Accommodation Reimbursement</w:t>
      </w:r>
    </w:p>
    <w:p>
      <w:pPr>
        <w:pBdr>
          <w:bottom w:val="single" w:color="0B6E6E" w:sz="8" w:space="1"/>
        </w:pBdr>
        <w:spacing w:after="140"/>
      </w:pPr>
    </w:p>
    <w:p>
      <w:pPr>
        <w:spacing w:after="100"/>
      </w:pPr>
      <w:r>
        <w:rPr>
          <w:rFonts w:ascii="Arial" w:cs="Arial" w:eastAsia="Arial" w:hAnsi="Arial"/>
          <w:color w:val="555555"/>
          <w:sz w:val="20"/>
          <w:szCs w:val="20"/>
        </w:rPr>
        <w:t xml:space="preserve">Hotel accommodation is reimbursable for overnight business travel that necessitates a stay away from the employee's base location. The stay must be pre-approved as part of the travel request.</w:t>
      </w:r>
    </w:p>
    <w:p>
      <w:pPr>
        <w:spacing w:after="120" w:before="0"/>
      </w:pPr>
    </w:p>
    <w:p>
      <w:pPr>
        <w:pStyle w:val="Heading2"/>
        <w:spacing w:after="110" w:before="260"/>
      </w:pPr>
      <w:r>
        <w:rPr>
          <w:rFonts w:ascii="Arial" w:cs="Arial" w:eastAsia="Arial" w:hAnsi="Arial"/>
          <w:b/>
          <w:bCs/>
          <w:color w:val="0B6E6E"/>
          <w:sz w:val="24"/>
          <w:szCs w:val="24"/>
        </w:rPr>
        <w:t xml:space="preserve">3.1  Daily Accommodation Limits (per night, inclusive of taxes)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80"/>
        <w:gridCol w:w="1680"/>
        <w:gridCol w:w="2000"/>
      </w:tblGrid>
      <w:tr>
        <w:tc>
          <w:tcPr>
            <w:tcW w:type="dxa" w:w="40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City Tier</w:t>
            </w:r>
          </w:p>
        </w:tc>
        <w:tc>
          <w:tcPr>
            <w:tcW w:type="dxa" w:w="168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L1–L2</w:t>
            </w:r>
          </w:p>
        </w:tc>
        <w:tc>
          <w:tcPr>
            <w:tcW w:type="dxa" w:w="168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L3–L4</w:t>
            </w:r>
          </w:p>
        </w:tc>
        <w:tc>
          <w:tcPr>
            <w:tcW w:type="dxa" w:w="20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L5+</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Metro (Mumbai, Delhi, Bengaluru, Chennai, Hyderabad, Pune, Kolkata)</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₹3,500</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₹5,500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₹9,000</w:t>
            </w:r>
          </w:p>
        </w:tc>
      </w:tr>
      <w:tr>
        <w:tc>
          <w:tcPr>
            <w:tcW w:type="dxa" w:w="40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Tier 2 (Ahmedabad, Jaipur, Lucknow, Kochi, Chandigarh, etc.)</w:t>
            </w:r>
          </w:p>
        </w:tc>
        <w:tc>
          <w:tcPr>
            <w:tcW w:type="dxa" w:w="168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₹2,500</w:t>
            </w:r>
          </w:p>
        </w:tc>
        <w:tc>
          <w:tcPr>
            <w:tcW w:type="dxa" w:w="168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₹4,000</w:t>
            </w:r>
          </w:p>
        </w:tc>
        <w:tc>
          <w:tcPr>
            <w:tcW w:type="dxa" w:w="20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₹7,000</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Tier 3 / Small Towns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₹1,800</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₹3,000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₹5,000</w:t>
            </w:r>
          </w:p>
        </w:tc>
      </w:tr>
      <w:tr>
        <w:tc>
          <w:tcPr>
            <w:tcW w:type="dxa" w:w="40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International (all grades)</w:t>
            </w:r>
          </w:p>
        </w:tc>
        <w:tc>
          <w:tcPr>
            <w:tcW w:type="dxa" w:w="168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Equivalent to 3-star / business hotel — actuals up to $180/night</w:t>
            </w:r>
          </w:p>
        </w:tc>
      </w:tr>
    </w:tbl>
    <w:p>
      <w:pPr>
        <w:spacing w:after="120" w:before="0"/>
      </w:pPr>
    </w:p>
    <w:p>
      <w:pPr>
        <w:pStyle w:val="Heading2"/>
        <w:spacing w:after="110" w:before="260"/>
      </w:pPr>
      <w:r>
        <w:rPr>
          <w:rFonts w:ascii="Arial" w:cs="Arial" w:eastAsia="Arial" w:hAnsi="Arial"/>
          <w:b/>
          <w:bCs/>
          <w:color w:val="0B6E6E"/>
          <w:sz w:val="24"/>
          <w:szCs w:val="24"/>
        </w:rPr>
        <w:t xml:space="preserve">3.2  Rules &amp; Exceptions</w:t>
      </w:r>
    </w:p>
    <w:p>
      <w:pPr>
        <w:pStyle w:val="ListParagraph"/>
        <w:numPr>
          <w:ilvl w:val="0"/>
          <w:numId w:val="2"/>
        </w:numPr>
        <w:spacing w:after="80"/>
      </w:pPr>
      <w:r>
        <w:rPr>
          <w:rFonts w:ascii="Arial" w:cs="Arial" w:eastAsia="Arial" w:hAnsi="Arial"/>
          <w:color w:val="555555"/>
          <w:sz w:val="20"/>
          <w:szCs w:val="20"/>
        </w:rPr>
        <w:t xml:space="preserve">Hotels must be booked through the approved travel tool (e.g., MakeMyBiz, Yatra Corporate). Bookings on personal accounts require Finance pre-approval.</w:t>
      </w:r>
    </w:p>
    <w:p>
      <w:pPr>
        <w:pStyle w:val="ListParagraph"/>
        <w:numPr>
          <w:ilvl w:val="0"/>
          <w:numId w:val="2"/>
        </w:numPr>
        <w:spacing w:after="80"/>
      </w:pPr>
      <w:r>
        <w:rPr>
          <w:rFonts w:ascii="Arial" w:cs="Arial" w:eastAsia="Arial" w:hAnsi="Arial"/>
          <w:color w:val="555555"/>
          <w:sz w:val="20"/>
          <w:szCs w:val="20"/>
        </w:rPr>
        <w:t xml:space="preserve">Minibar, room service, laundry, and in-room entertainment are personal expenses and will not be reimbursed.</w:t>
      </w:r>
    </w:p>
    <w:p>
      <w:pPr>
        <w:pStyle w:val="ListParagraph"/>
        <w:numPr>
          <w:ilvl w:val="0"/>
          <w:numId w:val="2"/>
        </w:numPr>
        <w:spacing w:after="80"/>
      </w:pPr>
      <w:r>
        <w:rPr>
          <w:rFonts w:ascii="Arial" w:cs="Arial" w:eastAsia="Arial" w:hAnsi="Arial"/>
          <w:color w:val="555555"/>
          <w:sz w:val="20"/>
          <w:szCs w:val="20"/>
        </w:rPr>
        <w:t xml:space="preserve">Hotel bills must show: (a) guest name, (b) check-in/check-out dates, (c) room rate with tax breakup, (d) GST number of the hotel.</w:t>
      </w:r>
    </w:p>
    <w:p>
      <w:pPr>
        <w:pStyle w:val="ListParagraph"/>
        <w:numPr>
          <w:ilvl w:val="0"/>
          <w:numId w:val="2"/>
        </w:numPr>
        <w:spacing w:after="80"/>
      </w:pPr>
      <w:r>
        <w:rPr>
          <w:rFonts w:ascii="Arial" w:cs="Arial" w:eastAsia="Arial" w:hAnsi="Arial"/>
          <w:color w:val="555555"/>
          <w:sz w:val="20"/>
          <w:szCs w:val="20"/>
        </w:rPr>
        <w:t xml:space="preserve">If an employee chooses to stay with family/friends, a flat daily allowance of ₹750 (all grades) is payable in lieu of hotel reimbursement.</w:t>
      </w:r>
    </w:p>
    <w:p>
      <w:pPr>
        <w:pStyle w:val="ListParagraph"/>
        <w:numPr>
          <w:ilvl w:val="0"/>
          <w:numId w:val="2"/>
        </w:numPr>
        <w:spacing w:after="80"/>
      </w:pPr>
      <w:r>
        <w:rPr>
          <w:rFonts w:ascii="Arial" w:cs="Arial" w:eastAsia="Arial" w:hAnsi="Arial"/>
          <w:color w:val="555555"/>
          <w:sz w:val="20"/>
          <w:szCs w:val="20"/>
        </w:rPr>
        <w:t xml:space="preserve">Extended stays beyond 7 nights require re-approval with justification.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5B20" w:sz="4"/>
              <w:left w:val="single" w:color="C75B20" w:sz="4"/>
              <w:bottom w:val="single" w:color="C75B20" w:sz="4"/>
              <w:right w:val="single" w:color="C75B20" w:sz="4"/>
            </w:tcBorders>
            <w:shd w:fill="FDEEDE" w:val="clear"/>
            <w:tcMar>
              <w:top w:type="dxa" w:w="120"/>
              <w:left w:type="dxa" w:w="180"/>
              <w:bottom w:type="dxa" w:w="120"/>
              <w:right w:type="dxa" w:w="180"/>
            </w:tcMar>
          </w:tcPr>
          <w:p>
            <w:pPr>
              <w:spacing w:after="60"/>
            </w:pPr>
            <w:r>
              <w:rPr>
                <w:rFonts w:ascii="Arial" w:cs="Arial" w:eastAsia="Arial" w:hAnsi="Arial"/>
                <w:b/>
                <w:bCs/>
                <w:color w:val="C75B20"/>
                <w:sz w:val="20"/>
                <w:szCs w:val="20"/>
              </w:rPr>
              <w:t xml:space="preserve">📋  Example 3A — Kavya Sharma (L3) attends a 3-night conference in Mumbai</w:t>
            </w:r>
          </w:p>
          <w:p>
            <w:pPr>
              <w:spacing w:after="50"/>
            </w:pPr>
            <w:r>
              <w:rPr>
                <w:rFonts w:ascii="Arial" w:cs="Arial" w:eastAsia="Arial" w:hAnsi="Arial"/>
                <w:color w:val="555555"/>
                <w:sz w:val="20"/>
                <w:szCs w:val="20"/>
              </w:rPr>
              <w:t xml:space="preserve">Hotel selected: ₹5,200/night (within L3 metro limit of ₹5,500) — Eligible</w:t>
            </w:r>
          </w:p>
          <w:p>
            <w:pPr>
              <w:spacing w:after="50"/>
            </w:pPr>
            <w:r>
              <w:rPr>
                <w:rFonts w:ascii="Arial" w:cs="Arial" w:eastAsia="Arial" w:hAnsi="Arial"/>
                <w:color w:val="555555"/>
                <w:sz w:val="20"/>
                <w:szCs w:val="20"/>
              </w:rPr>
              <w:t xml:space="preserve">Total hotel: ₹15,600 — Eligible</w:t>
            </w:r>
          </w:p>
          <w:p>
            <w:pPr>
              <w:spacing w:after="50"/>
            </w:pPr>
            <w:r>
              <w:rPr>
                <w:rFonts w:ascii="Arial" w:cs="Arial" w:eastAsia="Arial" w:hAnsi="Arial"/>
                <w:color w:val="555555"/>
                <w:sz w:val="20"/>
                <w:szCs w:val="20"/>
              </w:rPr>
              <w:t xml:space="preserve">Breakfast (included in hotel bill): Eligible</w:t>
            </w:r>
          </w:p>
          <w:p>
            <w:pPr>
              <w:spacing w:after="50"/>
            </w:pPr>
            <w:r>
              <w:rPr>
                <w:rFonts w:ascii="Arial" w:cs="Arial" w:eastAsia="Arial" w:hAnsi="Arial"/>
                <w:color w:val="555555"/>
                <w:sz w:val="20"/>
                <w:szCs w:val="20"/>
              </w:rPr>
              <w:t xml:space="preserve">Room service dinner: ₹1,100 — NOT eligible (personal / room service)</w:t>
            </w:r>
          </w:p>
          <w:p>
            <w:pPr>
              <w:spacing w:after="50"/>
            </w:pPr>
            <w:r>
              <w:rPr>
                <w:rFonts w:ascii="Arial" w:cs="Arial" w:eastAsia="Arial" w:hAnsi="Arial"/>
                <w:color w:val="555555"/>
                <w:sz w:val="20"/>
                <w:szCs w:val="20"/>
              </w:rPr>
              <w:t xml:space="preserve">Laundry: ₹400 — NOT eligible</w:t>
            </w:r>
          </w:p>
          <w:p>
            <w:pPr>
              <w:spacing w:after="50"/>
            </w:pPr>
            <w:r>
              <w:rPr>
                <w:rFonts w:ascii="Arial" w:cs="Arial" w:eastAsia="Arial" w:hAnsi="Arial"/>
                <w:color w:val="555555"/>
                <w:sz w:val="20"/>
                <w:szCs w:val="20"/>
              </w:rPr>
              <w:t xml:space="preserve">Net Reimbursed: ₹15,600</w:t>
            </w:r>
          </w:p>
        </w:tc>
      </w:tr>
    </w:tbl>
    <w:p>
      <w:r>
        <w:br w:type="page"/>
      </w:r>
    </w:p>
    <w:p>
      <w:pPr>
        <w:pStyle w:val="Heading1"/>
        <w:spacing w:after="140" w:before="360"/>
      </w:pPr>
      <w:r>
        <w:rPr>
          <w:rFonts w:ascii="Arial" w:cs="Arial" w:eastAsia="Arial" w:hAnsi="Arial"/>
          <w:b/>
          <w:bCs/>
          <w:color w:val="1A3557"/>
          <w:sz w:val="32"/>
          <w:szCs w:val="32"/>
        </w:rPr>
        <w:t xml:space="preserve">4.  Internet &amp; Mobile Reimbursement</w:t>
      </w:r>
    </w:p>
    <w:p>
      <w:pPr>
        <w:pBdr>
          <w:bottom w:val="single" w:color="0B6E6E" w:sz="8" w:space="1"/>
        </w:pBdr>
        <w:spacing w:after="140"/>
      </w:pPr>
    </w:p>
    <w:p>
      <w:pPr>
        <w:spacing w:after="100"/>
      </w:pPr>
      <w:r>
        <w:rPr>
          <w:rFonts w:ascii="Arial" w:cs="Arial" w:eastAsia="Arial" w:hAnsi="Arial"/>
          <w:color w:val="555555"/>
          <w:sz w:val="20"/>
          <w:szCs w:val="20"/>
        </w:rPr>
        <w:t xml:space="preserve">Monthly communication allowances are provided to employees who need reliable internet and mobile connectivity for business purposes. Reimbursement is against actual bills, subject to the limits below.</w:t>
      </w:r>
    </w:p>
    <w:p>
      <w:pPr>
        <w:spacing w:after="120" w:before="0"/>
      </w:pPr>
    </w:p>
    <w:p>
      <w:pPr>
        <w:pStyle w:val="Heading2"/>
        <w:spacing w:after="110" w:before="260"/>
      </w:pPr>
      <w:r>
        <w:rPr>
          <w:rFonts w:ascii="Arial" w:cs="Arial" w:eastAsia="Arial" w:hAnsi="Arial"/>
          <w:b/>
          <w:bCs/>
          <w:color w:val="0B6E6E"/>
          <w:sz w:val="24"/>
          <w:szCs w:val="24"/>
        </w:rPr>
        <w:t xml:space="preserve">4.1  Monthly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20"/>
        <w:gridCol w:w="1320"/>
        <w:gridCol w:w="1320"/>
        <w:gridCol w:w="2600"/>
      </w:tblGrid>
      <w:tr>
        <w:tc>
          <w:tcPr>
            <w:tcW w:type="dxa" w:w="28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Component</w:t>
            </w:r>
          </w:p>
        </w:tc>
        <w:tc>
          <w:tcPr>
            <w:tcW w:type="dxa" w:w="132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L1–L2</w:t>
            </w:r>
          </w:p>
        </w:tc>
        <w:tc>
          <w:tcPr>
            <w:tcW w:type="dxa" w:w="132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L3–L4</w:t>
            </w:r>
          </w:p>
        </w:tc>
        <w:tc>
          <w:tcPr>
            <w:tcW w:type="dxa" w:w="132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L5+</w:t>
            </w:r>
          </w:p>
        </w:tc>
        <w:tc>
          <w:tcPr>
            <w:tcW w:type="dxa" w:w="26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Documentation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Mobile Bill (postpaid)</w:t>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₹500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₹750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₹1,200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Original telecom bill or PDF</w:t>
            </w:r>
          </w:p>
        </w:tc>
      </w:tr>
      <w:tr>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Broadband / Home Internet</w:t>
            </w:r>
          </w:p>
        </w:tc>
        <w:tc>
          <w:tcPr>
            <w:tcW w:type="dxa" w:w="1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₹1,000</w:t>
            </w:r>
          </w:p>
        </w:tc>
        <w:tc>
          <w:tcPr>
            <w:tcW w:type="dxa" w:w="1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₹1,500</w:t>
            </w:r>
          </w:p>
        </w:tc>
        <w:tc>
          <w:tcPr>
            <w:tcW w:type="dxa" w:w="1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₹2,000</w:t>
            </w:r>
          </w:p>
        </w:tc>
        <w:tc>
          <w:tcPr>
            <w:tcW w:type="dxa" w:w="26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ISP invoice with address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Mobile Data Dongle / SIM</w:t>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₹500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₹500</w:t>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₹750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Bill / recharge receipt</w:t>
            </w:r>
          </w:p>
        </w:tc>
      </w:tr>
      <w:tr>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International Roaming (travel)</w:t>
            </w:r>
          </w:p>
        </w:tc>
        <w:tc>
          <w:tcPr>
            <w:tcW w:type="dxa" w:w="1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Actuals up to ₹2,500/trip</w:t>
            </w:r>
          </w:p>
        </w:tc>
        <w:tc>
          <w:tcPr>
            <w:tcW w:type="dxa" w:w="1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Actuals up to ₹3,500/trip</w:t>
            </w:r>
          </w:p>
        </w:tc>
        <w:tc>
          <w:tcPr>
            <w:tcW w:type="dxa" w:w="1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Actuals up to ₹5,000/trip</w:t>
            </w:r>
          </w:p>
        </w:tc>
        <w:tc>
          <w:tcPr>
            <w:tcW w:type="dxa" w:w="26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Itemised roaming bill</w:t>
            </w:r>
          </w:p>
        </w:tc>
      </w:tr>
    </w:tbl>
    <w:p>
      <w:pPr>
        <w:spacing w:after="120" w:before="0"/>
      </w:pPr>
    </w:p>
    <w:p>
      <w:pPr>
        <w:pStyle w:val="Heading2"/>
        <w:spacing w:after="110" w:before="260"/>
      </w:pPr>
      <w:r>
        <w:rPr>
          <w:rFonts w:ascii="Arial" w:cs="Arial" w:eastAsia="Arial" w:hAnsi="Arial"/>
          <w:b/>
          <w:bCs/>
          <w:color w:val="0B6E6E"/>
          <w:sz w:val="24"/>
          <w:szCs w:val="24"/>
        </w:rPr>
        <w:t xml:space="preserve">4.2  Key Rules</w:t>
      </w:r>
    </w:p>
    <w:p>
      <w:pPr>
        <w:pStyle w:val="ListParagraph"/>
        <w:numPr>
          <w:ilvl w:val="0"/>
          <w:numId w:val="2"/>
        </w:numPr>
        <w:spacing w:after="80"/>
      </w:pPr>
      <w:r>
        <w:rPr>
          <w:rFonts w:ascii="Arial" w:cs="Arial" w:eastAsia="Arial" w:hAnsi="Arial"/>
          <w:color w:val="555555"/>
          <w:sz w:val="20"/>
          <w:szCs w:val="20"/>
        </w:rPr>
        <w:t xml:space="preserve">Reimbursement is for business-use connectivity only. Employees on full Work From Home (WFH) status are eligible for both mobile and broadband reimbursement.</w:t>
      </w:r>
    </w:p>
    <w:p>
      <w:pPr>
        <w:pStyle w:val="ListParagraph"/>
        <w:numPr>
          <w:ilvl w:val="0"/>
          <w:numId w:val="2"/>
        </w:numPr>
        <w:spacing w:after="80"/>
      </w:pPr>
      <w:r>
        <w:rPr>
          <w:rFonts w:ascii="Arial" w:cs="Arial" w:eastAsia="Arial" w:hAnsi="Arial"/>
          <w:color w:val="555555"/>
          <w:sz w:val="20"/>
          <w:szCs w:val="20"/>
        </w:rPr>
        <w:t xml:space="preserve">Employees in office-first roles are eligible only for mobile reimbursement unless they have a WFH day mandate.</w:t>
      </w:r>
    </w:p>
    <w:p>
      <w:pPr>
        <w:pStyle w:val="ListParagraph"/>
        <w:numPr>
          <w:ilvl w:val="0"/>
          <w:numId w:val="2"/>
        </w:numPr>
        <w:spacing w:after="80"/>
      </w:pPr>
      <w:r>
        <w:rPr>
          <w:rFonts w:ascii="Arial" w:cs="Arial" w:eastAsia="Arial" w:hAnsi="Arial"/>
          <w:color w:val="555555"/>
          <w:sz w:val="20"/>
          <w:szCs w:val="20"/>
        </w:rPr>
        <w:t xml:space="preserve">Bills must be in the employee's name or spouse's name (with a declaration form). Bills in a parent's or landlord's name are not eligible.</w:t>
      </w:r>
    </w:p>
    <w:p>
      <w:pPr>
        <w:pStyle w:val="ListParagraph"/>
        <w:numPr>
          <w:ilvl w:val="0"/>
          <w:numId w:val="2"/>
        </w:numPr>
        <w:spacing w:after="80"/>
      </w:pPr>
      <w:r>
        <w:rPr>
          <w:rFonts w:ascii="Arial" w:cs="Arial" w:eastAsia="Arial" w:hAnsi="Arial"/>
          <w:color w:val="555555"/>
          <w:sz w:val="20"/>
          <w:szCs w:val="20"/>
        </w:rPr>
        <w:t xml:space="preserve">Mobile reimbursement is not applicable for employees issued a company SIM / corporate mobile device.</w:t>
      </w:r>
    </w:p>
    <w:p>
      <w:pPr>
        <w:pStyle w:val="ListParagraph"/>
        <w:numPr>
          <w:ilvl w:val="0"/>
          <w:numId w:val="2"/>
        </w:numPr>
        <w:spacing w:after="80"/>
      </w:pPr>
      <w:r>
        <w:rPr>
          <w:rFonts w:ascii="Arial" w:cs="Arial" w:eastAsia="Arial" w:hAnsi="Arial"/>
          <w:color w:val="555555"/>
          <w:sz w:val="20"/>
          <w:szCs w:val="20"/>
        </w:rPr>
        <w:t xml:space="preserve">Unused monthly limits do NOT carry forward to subsequent months.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5B20" w:sz="4"/>
              <w:left w:val="single" w:color="C75B20" w:sz="4"/>
              <w:bottom w:val="single" w:color="C75B20" w:sz="4"/>
              <w:right w:val="single" w:color="C75B20" w:sz="4"/>
            </w:tcBorders>
            <w:shd w:fill="FDEEDE" w:val="clear"/>
            <w:tcMar>
              <w:top w:type="dxa" w:w="120"/>
              <w:left w:type="dxa" w:w="180"/>
              <w:bottom w:type="dxa" w:w="120"/>
              <w:right w:type="dxa" w:w="180"/>
            </w:tcMar>
          </w:tcPr>
          <w:p>
            <w:pPr>
              <w:spacing w:after="60"/>
            </w:pPr>
            <w:r>
              <w:rPr>
                <w:rFonts w:ascii="Arial" w:cs="Arial" w:eastAsia="Arial" w:hAnsi="Arial"/>
                <w:b/>
                <w:bCs/>
                <w:color w:val="C75B20"/>
                <w:sz w:val="20"/>
                <w:szCs w:val="20"/>
              </w:rPr>
              <w:t xml:space="preserve">📋  Example 4A — Ritu Nair (L2, WFH 3 days/week)</w:t>
            </w:r>
          </w:p>
          <w:p>
            <w:pPr>
              <w:spacing w:after="50"/>
            </w:pPr>
            <w:r>
              <w:rPr>
                <w:rFonts w:ascii="Arial" w:cs="Arial" w:eastAsia="Arial" w:hAnsi="Arial"/>
                <w:color w:val="555555"/>
                <w:sz w:val="20"/>
                <w:szCs w:val="20"/>
              </w:rPr>
              <w:t xml:space="preserve">Airtel postpaid bill: ₹649 — Reimbursed up to limit: ₹500</w:t>
            </w:r>
          </w:p>
          <w:p>
            <w:pPr>
              <w:spacing w:after="50"/>
            </w:pPr>
            <w:r>
              <w:rPr>
                <w:rFonts w:ascii="Arial" w:cs="Arial" w:eastAsia="Arial" w:hAnsi="Arial"/>
                <w:color w:val="555555"/>
                <w:sz w:val="20"/>
                <w:szCs w:val="20"/>
              </w:rPr>
              <w:t xml:space="preserve">Jio Fiber broadband: ₹999/month — Reimbursed: ₹999 (within ₹1,000 limit)</w:t>
            </w:r>
          </w:p>
          <w:p>
            <w:pPr>
              <w:spacing w:after="50"/>
            </w:pPr>
            <w:r>
              <w:rPr>
                <w:rFonts w:ascii="Arial" w:cs="Arial" w:eastAsia="Arial" w:hAnsi="Arial"/>
                <w:color w:val="555555"/>
                <w:sz w:val="20"/>
                <w:szCs w:val="20"/>
              </w:rPr>
              <w:t xml:space="preserve">Total Monthly Reimbursement: ₹1,499</w:t>
            </w:r>
          </w:p>
          <w:p>
            <w:pPr>
              <w:spacing w:after="50"/>
            </w:pPr>
            <w:r>
              <w:rPr>
                <w:rFonts w:ascii="Arial" w:cs="Arial" w:eastAsia="Arial" w:hAnsi="Arial"/>
                <w:color w:val="555555"/>
                <w:sz w:val="20"/>
                <w:szCs w:val="20"/>
              </w:rPr>
              <w:t xml:space="preserve">Note: Excess mobile bill (₹149) is borne by Ritu</w:t>
            </w:r>
          </w:p>
        </w:tc>
      </w:tr>
    </w:tbl>
    <w:p>
      <w:r>
        <w:br w:type="page"/>
      </w:r>
    </w:p>
    <w:p>
      <w:pPr>
        <w:pStyle w:val="Heading1"/>
        <w:spacing w:after="140" w:before="360"/>
      </w:pPr>
      <w:r>
        <w:rPr>
          <w:rFonts w:ascii="Arial" w:cs="Arial" w:eastAsia="Arial" w:hAnsi="Arial"/>
          <w:b/>
          <w:bCs/>
          <w:color w:val="1A3557"/>
          <w:sz w:val="32"/>
          <w:szCs w:val="32"/>
        </w:rPr>
        <w:t xml:space="preserve">5.  Learning &amp; Certification Reimbursement</w:t>
      </w:r>
    </w:p>
    <w:p>
      <w:pPr>
        <w:pBdr>
          <w:bottom w:val="single" w:color="0B6E6E" w:sz="8" w:space="1"/>
        </w:pBdr>
        <w:spacing w:after="140"/>
      </w:pPr>
    </w:p>
    <w:p>
      <w:pPr>
        <w:spacing w:after="100"/>
      </w:pPr>
      <w:r>
        <w:rPr>
          <w:rFonts w:ascii="Arial" w:cs="Arial" w:eastAsia="Arial" w:hAnsi="Arial"/>
          <w:color w:val="555555"/>
          <w:sz w:val="20"/>
          <w:szCs w:val="20"/>
        </w:rPr>
        <w:t xml:space="preserve">The organisation is committed to continuous professional development. Employees may claim reimbursement for pre-approved courses, certifications, and professional memberships that enhance job-relevant skills.</w:t>
      </w:r>
    </w:p>
    <w:p>
      <w:pPr>
        <w:spacing w:after="120" w:before="0"/>
      </w:pPr>
    </w:p>
    <w:p>
      <w:pPr>
        <w:pStyle w:val="Heading2"/>
        <w:spacing w:after="110" w:before="260"/>
      </w:pPr>
      <w:r>
        <w:rPr>
          <w:rFonts w:ascii="Arial" w:cs="Arial" w:eastAsia="Arial" w:hAnsi="Arial"/>
          <w:b/>
          <w:bCs/>
          <w:color w:val="0B6E6E"/>
          <w:sz w:val="24"/>
          <w:szCs w:val="24"/>
        </w:rPr>
        <w:t xml:space="preserve">5.1  Annual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60"/>
        <w:gridCol w:w="1260"/>
        <w:gridCol w:w="1300"/>
        <w:gridCol w:w="2340"/>
      </w:tblGrid>
      <w:tr>
        <w:tc>
          <w:tcPr>
            <w:tcW w:type="dxa" w:w="32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Category</w:t>
            </w:r>
          </w:p>
        </w:tc>
        <w:tc>
          <w:tcPr>
            <w:tcW w:type="dxa" w:w="126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L1–L2</w:t>
            </w:r>
          </w:p>
        </w:tc>
        <w:tc>
          <w:tcPr>
            <w:tcW w:type="dxa" w:w="126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L3–L4</w:t>
            </w:r>
          </w:p>
        </w:tc>
        <w:tc>
          <w:tcPr>
            <w:tcW w:type="dxa" w:w="13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L5+</w:t>
            </w:r>
          </w:p>
        </w:tc>
        <w:tc>
          <w:tcPr>
            <w:tcW w:type="dxa" w:w="234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Approval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Online Courses (Coursera, Udemy, LinkedIn Learning, etc.)</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₹8,000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₹15,000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₹25,000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Manager</w:t>
            </w:r>
          </w:p>
        </w:tc>
      </w:tr>
      <w:tr>
        <w:tc>
          <w:tcPr>
            <w:tcW w:type="dxa" w:w="3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Professional Certification Exams (AWS, PMP, CFA, etc.)</w:t>
            </w:r>
          </w:p>
        </w:tc>
        <w:tc>
          <w:tcPr>
            <w:tcW w:type="dxa" w:w="12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₹15,000</w:t>
            </w:r>
          </w:p>
        </w:tc>
        <w:tc>
          <w:tcPr>
            <w:tcW w:type="dxa" w:w="12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₹25,000</w:t>
            </w:r>
          </w:p>
        </w:tc>
        <w:tc>
          <w:tcPr>
            <w:tcW w:type="dxa" w:w="13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₹50,000</w:t>
            </w:r>
          </w:p>
        </w:tc>
        <w:tc>
          <w:tcPr>
            <w:tcW w:type="dxa" w:w="234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Manager + HR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External Workshops / Bootcamps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₹10,000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₹20,000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₹40,000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Manager + HR</w:t>
            </w:r>
          </w:p>
        </w:tc>
      </w:tr>
      <w:tr>
        <w:tc>
          <w:tcPr>
            <w:tcW w:type="dxa" w:w="3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Professional Memberships (ICAI, PMI, NASSCOM, etc.)</w:t>
            </w:r>
          </w:p>
        </w:tc>
        <w:tc>
          <w:tcPr>
            <w:tcW w:type="dxa" w:w="12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₹2,000</w:t>
            </w:r>
          </w:p>
        </w:tc>
        <w:tc>
          <w:tcPr>
            <w:tcW w:type="dxa" w:w="12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₹5,000</w:t>
            </w:r>
          </w:p>
        </w:tc>
        <w:tc>
          <w:tcPr>
            <w:tcW w:type="dxa" w:w="13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₹10,000</w:t>
            </w:r>
          </w:p>
        </w:tc>
        <w:tc>
          <w:tcPr>
            <w:tcW w:type="dxa" w:w="234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Manager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Higher Education (part-time MBA, PG Diploma)</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Not applicable</w:t>
            </w:r>
          </w:p>
        </w:tc>
        <w:tc>
          <w:tcPr>
            <w:tcW w:type="dxa" w:w="1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₹40,000/year</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₹80,000/year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CHRO + CEO</w:t>
            </w:r>
          </w:p>
        </w:tc>
      </w:tr>
    </w:tbl>
    <w:p>
      <w:pPr>
        <w:spacing w:after="120" w:before="0"/>
      </w:pPr>
    </w:p>
    <w:p>
      <w:pPr>
        <w:pStyle w:val="Heading2"/>
        <w:spacing w:after="110" w:before="260"/>
      </w:pPr>
      <w:r>
        <w:rPr>
          <w:rFonts w:ascii="Arial" w:cs="Arial" w:eastAsia="Arial" w:hAnsi="Arial"/>
          <w:b/>
          <w:bCs/>
          <w:color w:val="0B6E6E"/>
          <w:sz w:val="24"/>
          <w:szCs w:val="24"/>
        </w:rPr>
        <w:t xml:space="preserve">5.2  Conditions &amp; Clawback</w:t>
      </w:r>
    </w:p>
    <w:p>
      <w:pPr>
        <w:pStyle w:val="ListParagraph"/>
        <w:numPr>
          <w:ilvl w:val="0"/>
          <w:numId w:val="2"/>
        </w:numPr>
        <w:spacing w:after="80"/>
      </w:pPr>
      <w:r>
        <w:rPr>
          <w:rFonts w:ascii="Arial" w:cs="Arial" w:eastAsia="Arial" w:hAnsi="Arial"/>
          <w:color w:val="555555"/>
          <w:sz w:val="20"/>
          <w:szCs w:val="20"/>
        </w:rPr>
        <w:t xml:space="preserve">Pre-approval is mandatory before enrolling. Expenses incurred without prior approval will not be reimbursed regardless of business relevance.</w:t>
      </w:r>
    </w:p>
    <w:p>
      <w:pPr>
        <w:pStyle w:val="ListParagraph"/>
        <w:numPr>
          <w:ilvl w:val="0"/>
          <w:numId w:val="2"/>
        </w:numPr>
        <w:spacing w:after="80"/>
      </w:pPr>
      <w:r>
        <w:rPr>
          <w:rFonts w:ascii="Arial" w:cs="Arial" w:eastAsia="Arial" w:hAnsi="Arial"/>
          <w:color w:val="555555"/>
          <w:sz w:val="20"/>
          <w:szCs w:val="20"/>
        </w:rPr>
        <w:t xml:space="preserve">The course or certification must be relevant to the employee's current role or planned career progression within the organisation.</w:t>
      </w:r>
    </w:p>
    <w:p>
      <w:pPr>
        <w:pStyle w:val="ListParagraph"/>
        <w:numPr>
          <w:ilvl w:val="0"/>
          <w:numId w:val="2"/>
        </w:numPr>
        <w:spacing w:after="80"/>
      </w:pPr>
      <w:r>
        <w:rPr>
          <w:rFonts w:ascii="Arial" w:cs="Arial" w:eastAsia="Arial" w:hAnsi="Arial"/>
          <w:color w:val="555555"/>
          <w:sz w:val="20"/>
          <w:szCs w:val="20"/>
        </w:rPr>
        <w:t xml:space="preserve">Upon successful completion (pass/certificate), the full approved amount is reimbursed. If the employee fails and does not retake, only 50% of exam fees are reimbursed.</w:t>
      </w:r>
    </w:p>
    <w:p>
      <w:pPr>
        <w:pStyle w:val="ListParagraph"/>
        <w:numPr>
          <w:ilvl w:val="0"/>
          <w:numId w:val="2"/>
        </w:numPr>
        <w:spacing w:after="80"/>
      </w:pPr>
      <w:r>
        <w:rPr>
          <w:rFonts w:ascii="Arial" w:cs="Arial" w:eastAsia="Arial" w:hAnsi="Arial"/>
          <w:color w:val="555555"/>
          <w:sz w:val="20"/>
          <w:szCs w:val="20"/>
        </w:rPr>
        <w:t xml:space="preserve">Clawback clause: Employees who resign within 12 months of reimbursement must refund on a pro-rated basis (100% if &lt; 6 months; 50% if 6–12 months).</w:t>
      </w:r>
    </w:p>
    <w:p>
      <w:pPr>
        <w:pStyle w:val="ListParagraph"/>
        <w:numPr>
          <w:ilvl w:val="0"/>
          <w:numId w:val="2"/>
        </w:numPr>
        <w:spacing w:after="80"/>
      </w:pPr>
      <w:r>
        <w:rPr>
          <w:rFonts w:ascii="Arial" w:cs="Arial" w:eastAsia="Arial" w:hAnsi="Arial"/>
          <w:color w:val="555555"/>
          <w:sz w:val="20"/>
          <w:szCs w:val="20"/>
        </w:rPr>
        <w:t xml:space="preserve">Books and study material may be included under the certification budget with receipts.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5B20" w:sz="4"/>
              <w:left w:val="single" w:color="C75B20" w:sz="4"/>
              <w:bottom w:val="single" w:color="C75B20" w:sz="4"/>
              <w:right w:val="single" w:color="C75B20" w:sz="4"/>
            </w:tcBorders>
            <w:shd w:fill="FDEEDE" w:val="clear"/>
            <w:tcMar>
              <w:top w:type="dxa" w:w="120"/>
              <w:left w:type="dxa" w:w="180"/>
              <w:bottom w:type="dxa" w:w="120"/>
              <w:right w:type="dxa" w:w="180"/>
            </w:tcMar>
          </w:tcPr>
          <w:p>
            <w:pPr>
              <w:spacing w:after="60"/>
            </w:pPr>
            <w:r>
              <w:rPr>
                <w:rFonts w:ascii="Arial" w:cs="Arial" w:eastAsia="Arial" w:hAnsi="Arial"/>
                <w:b/>
                <w:bCs/>
                <w:color w:val="C75B20"/>
                <w:sz w:val="20"/>
                <w:szCs w:val="20"/>
              </w:rPr>
              <w:t xml:space="preserve">📋  Example 5A — Deepak Rao (L3) pursues AWS Solutions Architect certification</w:t>
            </w:r>
          </w:p>
          <w:p>
            <w:pPr>
              <w:spacing w:after="50"/>
            </w:pPr>
            <w:r>
              <w:rPr>
                <w:rFonts w:ascii="Arial" w:cs="Arial" w:eastAsia="Arial" w:hAnsi="Arial"/>
                <w:color w:val="555555"/>
                <w:sz w:val="20"/>
                <w:szCs w:val="20"/>
              </w:rPr>
              <w:t xml:space="preserve">AWS exam fee: ₹20,000 | Udemy prep course: ₹1,200 | Study guide: ₹800</w:t>
            </w:r>
          </w:p>
          <w:p>
            <w:pPr>
              <w:spacing w:after="50"/>
            </w:pPr>
            <w:r>
              <w:rPr>
                <w:rFonts w:ascii="Arial" w:cs="Arial" w:eastAsia="Arial" w:hAnsi="Arial"/>
                <w:color w:val="555555"/>
                <w:sz w:val="20"/>
                <w:szCs w:val="20"/>
              </w:rPr>
              <w:t xml:space="preserve">Total requested: ₹22,000 (within L3 cert limit of ₹25,000) — Pre-approved by manager + HR</w:t>
            </w:r>
          </w:p>
          <w:p>
            <w:pPr>
              <w:spacing w:after="50"/>
            </w:pPr>
            <w:r>
              <w:rPr>
                <w:rFonts w:ascii="Arial" w:cs="Arial" w:eastAsia="Arial" w:hAnsi="Arial"/>
                <w:color w:val="555555"/>
                <w:sz w:val="20"/>
                <w:szCs w:val="20"/>
              </w:rPr>
              <w:t xml:space="preserve">Deepak passes the exam → Full ₹22,000 reimbursed</w:t>
            </w:r>
          </w:p>
          <w:p>
            <w:pPr>
              <w:spacing w:after="50"/>
            </w:pPr>
            <w:r>
              <w:rPr>
                <w:rFonts w:ascii="Arial" w:cs="Arial" w:eastAsia="Arial" w:hAnsi="Arial"/>
                <w:color w:val="555555"/>
                <w:sz w:val="20"/>
                <w:szCs w:val="20"/>
              </w:rPr>
              <w:t xml:space="preserve">Clawback scenario: If Deepak resigns 8 months later → 50% clawback = ₹11,000 deducted from FnF</w:t>
            </w:r>
          </w:p>
        </w:tc>
      </w:tr>
    </w:tbl>
    <w:p>
      <w:r>
        <w:br w:type="page"/>
      </w:r>
    </w:p>
    <w:p>
      <w:pPr>
        <w:pStyle w:val="Heading1"/>
        <w:spacing w:after="140" w:before="360"/>
      </w:pPr>
      <w:r>
        <w:rPr>
          <w:rFonts w:ascii="Arial" w:cs="Arial" w:eastAsia="Arial" w:hAnsi="Arial"/>
          <w:b/>
          <w:bCs/>
          <w:color w:val="1A3557"/>
          <w:sz w:val="32"/>
          <w:szCs w:val="32"/>
        </w:rPr>
        <w:t xml:space="preserve">6.  Food &amp; Meal Expenses</w:t>
      </w:r>
    </w:p>
    <w:p>
      <w:pPr>
        <w:pBdr>
          <w:bottom w:val="single" w:color="0B6E6E" w:sz="8" w:space="1"/>
        </w:pBdr>
        <w:spacing w:after="140"/>
      </w:pPr>
    </w:p>
    <w:p>
      <w:pPr>
        <w:spacing w:after="100"/>
      </w:pPr>
      <w:r>
        <w:rPr>
          <w:rFonts w:ascii="Arial" w:cs="Arial" w:eastAsia="Arial" w:hAnsi="Arial"/>
          <w:color w:val="555555"/>
          <w:sz w:val="20"/>
          <w:szCs w:val="20"/>
        </w:rPr>
        <w:t xml:space="preserve">Meal reimbursements are permitted for business-related dining — client entertainment, team working lunches, and daily allowances during business travel.</w:t>
      </w:r>
    </w:p>
    <w:p>
      <w:pPr>
        <w:spacing w:after="120" w:before="0"/>
      </w:pPr>
    </w:p>
    <w:p>
      <w:pPr>
        <w:pStyle w:val="Heading2"/>
        <w:spacing w:after="110" w:before="260"/>
      </w:pPr>
      <w:r>
        <w:rPr>
          <w:rFonts w:ascii="Arial" w:cs="Arial" w:eastAsia="Arial" w:hAnsi="Arial"/>
          <w:b/>
          <w:bCs/>
          <w:color w:val="0B6E6E"/>
          <w:sz w:val="24"/>
          <w:szCs w:val="24"/>
        </w:rPr>
        <w:t xml:space="preserve">6.1  Daily Meal Allowance During Travel (per day, all inclusive)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3240"/>
      </w:tblGrid>
      <w:tr>
        <w:tc>
          <w:tcPr>
            <w:tcW w:type="dxa" w:w="18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Meal</w:t>
            </w:r>
          </w:p>
        </w:tc>
        <w:tc>
          <w:tcPr>
            <w:tcW w:type="dxa" w:w="144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L1–L2</w:t>
            </w:r>
          </w:p>
        </w:tc>
        <w:tc>
          <w:tcPr>
            <w:tcW w:type="dxa" w:w="144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L3–L4</w:t>
            </w:r>
          </w:p>
        </w:tc>
        <w:tc>
          <w:tcPr>
            <w:tcW w:type="dxa" w:w="144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L5+</w:t>
            </w:r>
          </w:p>
        </w:tc>
        <w:tc>
          <w:tcPr>
            <w:tcW w:type="dxa" w:w="324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Breakfast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₹200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₹300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₹500</w:t>
            </w:r>
          </w:p>
        </w:tc>
        <w:tc>
          <w:tcPr>
            <w:tcW w:type="dxa" w:w="3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If not included in hotel bill</w:t>
            </w:r>
          </w:p>
        </w:tc>
      </w:tr>
      <w:tr>
        <w:tc>
          <w:tcPr>
            <w:tcW w:type="dxa" w:w="1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Lunch</w:t>
            </w:r>
          </w:p>
        </w:tc>
        <w:tc>
          <w:tcPr>
            <w:tcW w:type="dxa" w:w="144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₹400</w:t>
            </w:r>
          </w:p>
        </w:tc>
        <w:tc>
          <w:tcPr>
            <w:tcW w:type="dxa" w:w="144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₹600</w:t>
            </w:r>
          </w:p>
        </w:tc>
        <w:tc>
          <w:tcPr>
            <w:tcW w:type="dxa" w:w="144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₹900</w:t>
            </w:r>
          </w:p>
        </w:tc>
        <w:tc>
          <w:tcPr>
            <w:tcW w:type="dxa" w:w="324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Business-related meals only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Dinner</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₹500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₹750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₹1,200</w:t>
            </w:r>
          </w:p>
        </w:tc>
        <w:tc>
          <w:tcPr>
            <w:tcW w:type="dxa" w:w="32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Includes client/team dinners</w:t>
            </w:r>
          </w:p>
        </w:tc>
      </w:tr>
      <w:tr>
        <w:tc>
          <w:tcPr>
            <w:tcW w:type="dxa" w:w="1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Daily Total Cap</w:t>
            </w:r>
          </w:p>
        </w:tc>
        <w:tc>
          <w:tcPr>
            <w:tcW w:type="dxa" w:w="144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₹1,100</w:t>
            </w:r>
          </w:p>
        </w:tc>
        <w:tc>
          <w:tcPr>
            <w:tcW w:type="dxa" w:w="144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₹1,650</w:t>
            </w:r>
          </w:p>
        </w:tc>
        <w:tc>
          <w:tcPr>
            <w:tcW w:type="dxa" w:w="144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₹2,600</w:t>
            </w:r>
          </w:p>
        </w:tc>
        <w:tc>
          <w:tcPr>
            <w:tcW w:type="dxa" w:w="324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Cannot be exceeded without pre-approval</w:t>
            </w:r>
          </w:p>
        </w:tc>
      </w:tr>
    </w:tbl>
    <w:p>
      <w:pPr>
        <w:spacing w:after="120" w:before="0"/>
      </w:pPr>
    </w:p>
    <w:p>
      <w:pPr>
        <w:pStyle w:val="Heading2"/>
        <w:spacing w:after="110" w:before="260"/>
      </w:pPr>
      <w:r>
        <w:rPr>
          <w:rFonts w:ascii="Arial" w:cs="Arial" w:eastAsia="Arial" w:hAnsi="Arial"/>
          <w:b/>
          <w:bCs/>
          <w:color w:val="0B6E6E"/>
          <w:sz w:val="24"/>
          <w:szCs w:val="24"/>
        </w:rPr>
        <w:t xml:space="preserve">6.2  Client Entertainment</w:t>
      </w:r>
    </w:p>
    <w:p>
      <w:pPr>
        <w:pStyle w:val="ListParagraph"/>
        <w:numPr>
          <w:ilvl w:val="0"/>
          <w:numId w:val="2"/>
        </w:numPr>
        <w:spacing w:after="80"/>
      </w:pPr>
      <w:r>
        <w:rPr>
          <w:rFonts w:ascii="Arial" w:cs="Arial" w:eastAsia="Arial" w:hAnsi="Arial"/>
          <w:color w:val="555555"/>
          <w:sz w:val="20"/>
          <w:szCs w:val="20"/>
        </w:rPr>
        <w:t xml:space="preserve">Client meals (lunches, dinners, outings) are reimbursable when they serve a clear business purpose.</w:t>
      </w:r>
    </w:p>
    <w:p>
      <w:pPr>
        <w:pStyle w:val="ListParagraph"/>
        <w:numPr>
          <w:ilvl w:val="0"/>
          <w:numId w:val="2"/>
        </w:numPr>
        <w:spacing w:after="80"/>
      </w:pPr>
      <w:r>
        <w:rPr>
          <w:rFonts w:ascii="Arial" w:cs="Arial" w:eastAsia="Arial" w:hAnsi="Arial"/>
          <w:color w:val="555555"/>
          <w:sz w:val="20"/>
          <w:szCs w:val="20"/>
        </w:rPr>
        <w:t xml:space="preserve">The claim must include: (a) names and designations of all attendees, (b) client organisation, (c) business purpose, (d) itemised bill with GST.</w:t>
      </w:r>
    </w:p>
    <w:p>
      <w:pPr>
        <w:pStyle w:val="ListParagraph"/>
        <w:numPr>
          <w:ilvl w:val="0"/>
          <w:numId w:val="2"/>
        </w:numPr>
        <w:spacing w:after="80"/>
      </w:pPr>
      <w:r>
        <w:rPr>
          <w:rFonts w:ascii="Arial" w:cs="Arial" w:eastAsia="Arial" w:hAnsi="Arial"/>
          <w:color w:val="555555"/>
          <w:sz w:val="20"/>
          <w:szCs w:val="20"/>
        </w:rPr>
        <w:t xml:space="preserve">Alcohol is not reimbursable as a standalone expense. Where unavoidable at a client event, a modest amount (up to 20% of total bill) may be included, subject to manager approval.</w:t>
      </w:r>
    </w:p>
    <w:p>
      <w:pPr>
        <w:pStyle w:val="ListParagraph"/>
        <w:numPr>
          <w:ilvl w:val="0"/>
          <w:numId w:val="2"/>
        </w:numPr>
        <w:spacing w:after="80"/>
      </w:pPr>
      <w:r>
        <w:rPr>
          <w:rFonts w:ascii="Arial" w:cs="Arial" w:eastAsia="Arial" w:hAnsi="Arial"/>
          <w:color w:val="555555"/>
          <w:sz w:val="20"/>
          <w:szCs w:val="20"/>
        </w:rPr>
        <w:t xml:space="preserve">Client entertainment exceeding ₹5,000 per event requires Director-level approval before the event.</w:t>
      </w:r>
    </w:p>
    <w:p>
      <w:pPr>
        <w:spacing w:after="120" w:before="0"/>
      </w:pPr>
    </w:p>
    <w:p>
      <w:pPr>
        <w:pStyle w:val="Heading2"/>
        <w:spacing w:after="110" w:before="260"/>
      </w:pPr>
      <w:r>
        <w:rPr>
          <w:rFonts w:ascii="Arial" w:cs="Arial" w:eastAsia="Arial" w:hAnsi="Arial"/>
          <w:b/>
          <w:bCs/>
          <w:color w:val="0B6E6E"/>
          <w:sz w:val="24"/>
          <w:szCs w:val="24"/>
        </w:rPr>
        <w:t xml:space="preserve">6.3  In-Office Meals &amp; Ordering</w:t>
      </w:r>
    </w:p>
    <w:p>
      <w:pPr>
        <w:pStyle w:val="ListParagraph"/>
        <w:numPr>
          <w:ilvl w:val="0"/>
          <w:numId w:val="2"/>
        </w:numPr>
        <w:spacing w:after="80"/>
      </w:pPr>
      <w:r>
        <w:rPr>
          <w:rFonts w:ascii="Arial" w:cs="Arial" w:eastAsia="Arial" w:hAnsi="Arial"/>
          <w:color w:val="555555"/>
          <w:sz w:val="20"/>
          <w:szCs w:val="20"/>
        </w:rPr>
        <w:t xml:space="preserve">Team meals ordered in-office during working sessions (e.g., late-night project sprints, weekend work approved by manager) are reimbursable up to ₹350 per person per meal.</w:t>
      </w:r>
    </w:p>
    <w:p>
      <w:pPr>
        <w:pStyle w:val="ListParagraph"/>
        <w:numPr>
          <w:ilvl w:val="0"/>
          <w:numId w:val="2"/>
        </w:numPr>
        <w:spacing w:after="80"/>
      </w:pPr>
      <w:r>
        <w:rPr>
          <w:rFonts w:ascii="Arial" w:cs="Arial" w:eastAsia="Arial" w:hAnsi="Arial"/>
          <w:color w:val="555555"/>
          <w:sz w:val="20"/>
          <w:szCs w:val="20"/>
        </w:rPr>
        <w:t xml:space="preserve">Regular lunch or snack orders during normal office hours are a personal expense.</w:t>
      </w:r>
    </w:p>
    <w:p>
      <w:pPr>
        <w:pStyle w:val="ListParagraph"/>
        <w:numPr>
          <w:ilvl w:val="0"/>
          <w:numId w:val="2"/>
        </w:numPr>
        <w:spacing w:after="80"/>
      </w:pPr>
      <w:r>
        <w:rPr>
          <w:rFonts w:ascii="Arial" w:cs="Arial" w:eastAsia="Arial" w:hAnsi="Arial"/>
          <w:color w:val="555555"/>
          <w:sz w:val="20"/>
          <w:szCs w:val="20"/>
        </w:rPr>
        <w:t xml:space="preserve">Meal vouchers (Sodexo / Zeta) are a separate benefit and are not counted against this reimbursement policy.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5B20" w:sz="4"/>
              <w:left w:val="single" w:color="C75B20" w:sz="4"/>
              <w:bottom w:val="single" w:color="C75B20" w:sz="4"/>
              <w:right w:val="single" w:color="C75B20" w:sz="4"/>
            </w:tcBorders>
            <w:shd w:fill="FDEEDE" w:val="clear"/>
            <w:tcMar>
              <w:top w:type="dxa" w:w="120"/>
              <w:left w:type="dxa" w:w="180"/>
              <w:bottom w:type="dxa" w:w="120"/>
              <w:right w:type="dxa" w:w="180"/>
            </w:tcMar>
          </w:tcPr>
          <w:p>
            <w:pPr>
              <w:spacing w:after="60"/>
            </w:pPr>
            <w:r>
              <w:rPr>
                <w:rFonts w:ascii="Arial" w:cs="Arial" w:eastAsia="Arial" w:hAnsi="Arial"/>
                <w:b/>
                <w:bCs/>
                <w:color w:val="C75B20"/>
                <w:sz w:val="20"/>
                <w:szCs w:val="20"/>
              </w:rPr>
              <w:t xml:space="preserve">📋  Example 6A — Neha Singh (L3) hosts client dinner for 4 people</w:t>
            </w:r>
          </w:p>
          <w:p>
            <w:pPr>
              <w:spacing w:after="50"/>
            </w:pPr>
            <w:r>
              <w:rPr>
                <w:rFonts w:ascii="Arial" w:cs="Arial" w:eastAsia="Arial" w:hAnsi="Arial"/>
                <w:color w:val="555555"/>
                <w:sz w:val="20"/>
                <w:szCs w:val="20"/>
              </w:rPr>
              <w:t xml:space="preserve">Restaurant bill: ₹7,200 (4 people: Neha + 3 client stakeholders)</w:t>
            </w:r>
          </w:p>
          <w:p>
            <w:pPr>
              <w:spacing w:after="50"/>
            </w:pPr>
            <w:r>
              <w:rPr>
                <w:rFonts w:ascii="Arial" w:cs="Arial" w:eastAsia="Arial" w:hAnsi="Arial"/>
                <w:color w:val="555555"/>
                <w:sz w:val="20"/>
                <w:szCs w:val="20"/>
              </w:rPr>
              <w:t xml:space="preserve">Business purpose: Q2 partnership renewal discussion</w:t>
            </w:r>
          </w:p>
          <w:p>
            <w:pPr>
              <w:spacing w:after="50"/>
            </w:pPr>
            <w:r>
              <w:rPr>
                <w:rFonts w:ascii="Arial" w:cs="Arial" w:eastAsia="Arial" w:hAnsi="Arial"/>
                <w:color w:val="555555"/>
                <w:sz w:val="20"/>
                <w:szCs w:val="20"/>
              </w:rPr>
              <w:t xml:space="preserve">Approval: Pre-approved by Director (bill exceeds ₹5,000)</w:t>
            </w:r>
          </w:p>
          <w:p>
            <w:pPr>
              <w:spacing w:after="50"/>
            </w:pPr>
            <w:r>
              <w:rPr>
                <w:rFonts w:ascii="Arial" w:cs="Arial" w:eastAsia="Arial" w:hAnsi="Arial"/>
                <w:color w:val="555555"/>
                <w:sz w:val="20"/>
                <w:szCs w:val="20"/>
              </w:rPr>
              <w:t xml:space="preserve">Alcohol portion: ₹900 (12.5% of bill — within 20% guideline)</w:t>
            </w:r>
          </w:p>
          <w:p>
            <w:pPr>
              <w:spacing w:after="50"/>
            </w:pPr>
            <w:r>
              <w:rPr>
                <w:rFonts w:ascii="Arial" w:cs="Arial" w:eastAsia="Arial" w:hAnsi="Arial"/>
                <w:color w:val="555555"/>
                <w:sz w:val="20"/>
                <w:szCs w:val="20"/>
              </w:rPr>
              <w:t xml:space="preserve">Total Reimbursed: ₹7,200  |  Documentation: Itemised bill + attendee list submitted</w:t>
            </w:r>
          </w:p>
        </w:tc>
      </w:tr>
    </w:tbl>
    <w:p>
      <w:r>
        <w:br w:type="page"/>
      </w:r>
    </w:p>
    <w:p>
      <w:pPr>
        <w:pStyle w:val="Heading1"/>
        <w:spacing w:after="140" w:before="360"/>
      </w:pPr>
      <w:r>
        <w:rPr>
          <w:rFonts w:ascii="Arial" w:cs="Arial" w:eastAsia="Arial" w:hAnsi="Arial"/>
          <w:b/>
          <w:bCs/>
          <w:color w:val="1A3557"/>
          <w:sz w:val="32"/>
          <w:szCs w:val="32"/>
        </w:rPr>
        <w:t xml:space="preserve">7.  Approval Workflows</w:t>
      </w:r>
    </w:p>
    <w:p>
      <w:pPr>
        <w:pBdr>
          <w:bottom w:val="single" w:color="0B6E6E" w:sz="8" w:space="1"/>
        </w:pBdr>
        <w:spacing w:after="140"/>
      </w:pPr>
    </w:p>
    <w:p>
      <w:pPr>
        <w:spacing w:after="100"/>
      </w:pPr>
      <w:r>
        <w:rPr>
          <w:rFonts w:ascii="Arial" w:cs="Arial" w:eastAsia="Arial" w:hAnsi="Arial"/>
          <w:color w:val="555555"/>
          <w:sz w:val="20"/>
          <w:szCs w:val="20"/>
        </w:rPr>
        <w:t xml:space="preserve">All reimbursement claims follow a defined approval hierarchy to ensure accountability, budget adherence, and audit readiness. The approval workflow is managed through the HR/Finance portal.</w:t>
      </w:r>
    </w:p>
    <w:p>
      <w:pPr>
        <w:spacing w:after="120" w:before="0"/>
      </w:pPr>
    </w:p>
    <w:p>
      <w:pPr>
        <w:pStyle w:val="Heading2"/>
        <w:spacing w:after="110" w:before="260"/>
      </w:pPr>
      <w:r>
        <w:rPr>
          <w:rFonts w:ascii="Arial" w:cs="Arial" w:eastAsia="Arial" w:hAnsi="Arial"/>
          <w:b/>
          <w:bCs/>
          <w:color w:val="0B6E6E"/>
          <w:sz w:val="24"/>
          <w:szCs w:val="24"/>
        </w:rPr>
        <w:t xml:space="preserve">7.1  Standard Approval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Claim Amount</w:t>
            </w:r>
          </w:p>
        </w:tc>
        <w:tc>
          <w:tcPr>
            <w:tcW w:type="dxa" w:w="232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First Approver</w:t>
            </w:r>
          </w:p>
        </w:tc>
        <w:tc>
          <w:tcPr>
            <w:tcW w:type="dxa" w:w="232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Second Approver</w:t>
            </w:r>
          </w:p>
        </w:tc>
        <w:tc>
          <w:tcPr>
            <w:tcW w:type="dxa" w:w="232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Final Approver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Up to ₹5,000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Immediate Manager</w:t>
            </w:r>
          </w:p>
        </w:tc>
        <w:tc>
          <w:tcPr>
            <w:tcW w:type="dxa" w:w="2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w:t>
            </w:r>
          </w:p>
        </w:tc>
        <w:tc>
          <w:tcPr>
            <w:tcW w:type="dxa" w:w="2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Finance (auto-process)</w:t>
            </w:r>
          </w:p>
        </w:tc>
      </w:tr>
      <w:tr>
        <w:tc>
          <w:tcPr>
            <w:tcW w:type="dxa" w:w="24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₹5,001 – ₹25,000</w:t>
            </w:r>
          </w:p>
        </w:tc>
        <w:tc>
          <w:tcPr>
            <w:tcW w:type="dxa" w:w="2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Immediate Manager</w:t>
            </w:r>
          </w:p>
        </w:tc>
        <w:tc>
          <w:tcPr>
            <w:tcW w:type="dxa" w:w="2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Department Head</w:t>
            </w:r>
          </w:p>
        </w:tc>
        <w:tc>
          <w:tcPr>
            <w:tcW w:type="dxa" w:w="2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Finance Controller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₹25,001 – ₹1,00,000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Department Head</w:t>
            </w:r>
          </w:p>
        </w:tc>
        <w:tc>
          <w:tcPr>
            <w:tcW w:type="dxa" w:w="2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VP / Director</w:t>
            </w:r>
          </w:p>
        </w:tc>
        <w:tc>
          <w:tcPr>
            <w:tcW w:type="dxa" w:w="2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CFO</w:t>
            </w:r>
          </w:p>
        </w:tc>
      </w:tr>
      <w:tr>
        <w:tc>
          <w:tcPr>
            <w:tcW w:type="dxa" w:w="24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Above ₹1,00,000</w:t>
            </w:r>
          </w:p>
        </w:tc>
        <w:tc>
          <w:tcPr>
            <w:tcW w:type="dxa" w:w="2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VP / Director</w:t>
            </w:r>
          </w:p>
        </w:tc>
        <w:tc>
          <w:tcPr>
            <w:tcW w:type="dxa" w:w="2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CFO</w:t>
            </w:r>
          </w:p>
        </w:tc>
        <w:tc>
          <w:tcPr>
            <w:tcW w:type="dxa" w:w="232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CEO</w:t>
            </w:r>
          </w:p>
        </w:tc>
      </w:tr>
    </w:tbl>
    <w:p>
      <w:pPr>
        <w:spacing w:after="120" w:before="0"/>
      </w:pPr>
    </w:p>
    <w:p>
      <w:pPr>
        <w:pStyle w:val="Heading2"/>
        <w:spacing w:after="110" w:before="260"/>
      </w:pPr>
      <w:r>
        <w:rPr>
          <w:rFonts w:ascii="Arial" w:cs="Arial" w:eastAsia="Arial" w:hAnsi="Arial"/>
          <w:b/>
          <w:bCs/>
          <w:color w:val="0B6E6E"/>
          <w:sz w:val="24"/>
          <w:szCs w:val="24"/>
        </w:rPr>
        <w:t xml:space="preserve">7.2  Special Categories Requiring Prior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c>
          <w:tcPr>
            <w:tcW w:type="dxa" w:w="32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Expense Category</w:t>
            </w:r>
          </w:p>
        </w:tc>
        <w:tc>
          <w:tcPr>
            <w:tcW w:type="dxa" w:w="296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Who Must Pre-Approve</w:t>
            </w:r>
          </w:p>
        </w:tc>
        <w:tc>
          <w:tcPr>
            <w:tcW w:type="dxa" w:w="32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Lead Time Required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International travel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VP + Finance Controller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10 working days</w:t>
            </w:r>
          </w:p>
        </w:tc>
      </w:tr>
      <w:tr>
        <w:tc>
          <w:tcPr>
            <w:tcW w:type="dxa" w:w="3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Learning &amp; Certification</w:t>
            </w:r>
          </w:p>
        </w:tc>
        <w:tc>
          <w:tcPr>
            <w:tcW w:type="dxa" w:w="29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Manager + HR Head</w:t>
            </w:r>
          </w:p>
        </w:tc>
        <w:tc>
          <w:tcPr>
            <w:tcW w:type="dxa" w:w="3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5 working days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Client entertainment &gt; ₹5,000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Director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Before event</w:t>
            </w:r>
          </w:p>
        </w:tc>
      </w:tr>
      <w:tr>
        <w:tc>
          <w:tcPr>
            <w:tcW w:type="dxa" w:w="3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Personal vehicle mileage &gt; 200 km</w:t>
            </w:r>
          </w:p>
        </w:tc>
        <w:tc>
          <w:tcPr>
            <w:tcW w:type="dxa" w:w="29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Department Head</w:t>
            </w:r>
          </w:p>
        </w:tc>
        <w:tc>
          <w:tcPr>
            <w:tcW w:type="dxa" w:w="3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Before travel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Hotel stay extension beyond 7 nights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VP</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Before extension</w:t>
            </w:r>
          </w:p>
        </w:tc>
      </w:tr>
      <w:tr>
        <w:tc>
          <w:tcPr>
            <w:tcW w:type="dxa" w:w="3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Higher Education sponsorship</w:t>
            </w:r>
          </w:p>
        </w:tc>
        <w:tc>
          <w:tcPr>
            <w:tcW w:type="dxa" w:w="29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CHRO + CEO</w:t>
            </w:r>
          </w:p>
        </w:tc>
        <w:tc>
          <w:tcPr>
            <w:tcW w:type="dxa" w:w="3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30 working days</w:t>
            </w:r>
          </w:p>
        </w:tc>
      </w:tr>
    </w:tbl>
    <w:p>
      <w:pPr>
        <w:spacing w:after="120" w:before="0"/>
      </w:pPr>
    </w:p>
    <w:p>
      <w:pPr>
        <w:pStyle w:val="Heading2"/>
        <w:spacing w:after="110" w:before="260"/>
      </w:pPr>
      <w:r>
        <w:rPr>
          <w:rFonts w:ascii="Arial" w:cs="Arial" w:eastAsia="Arial" w:hAnsi="Arial"/>
          <w:b/>
          <w:bCs/>
          <w:color w:val="0B6E6E"/>
          <w:sz w:val="24"/>
          <w:szCs w:val="24"/>
        </w:rPr>
        <w:t xml:space="preserve">7.3  Approval Timelines (SLA)</w:t>
      </w:r>
    </w:p>
    <w:p>
      <w:pPr>
        <w:pStyle w:val="ListParagraph"/>
        <w:numPr>
          <w:ilvl w:val="0"/>
          <w:numId w:val="2"/>
        </w:numPr>
        <w:spacing w:after="80"/>
      </w:pPr>
      <w:r>
        <w:rPr>
          <w:rFonts w:ascii="Arial" w:cs="Arial" w:eastAsia="Arial" w:hAnsi="Arial"/>
          <w:color w:val="555555"/>
          <w:sz w:val="20"/>
          <w:szCs w:val="20"/>
        </w:rPr>
        <w:t xml:space="preserve">Immediate Manager: must approve or return claims within 2 working days of submission.</w:t>
      </w:r>
    </w:p>
    <w:p>
      <w:pPr>
        <w:pStyle w:val="ListParagraph"/>
        <w:numPr>
          <w:ilvl w:val="0"/>
          <w:numId w:val="2"/>
        </w:numPr>
        <w:spacing w:after="80"/>
      </w:pPr>
      <w:r>
        <w:rPr>
          <w:rFonts w:ascii="Arial" w:cs="Arial" w:eastAsia="Arial" w:hAnsi="Arial"/>
          <w:color w:val="555555"/>
          <w:sz w:val="20"/>
          <w:szCs w:val="20"/>
        </w:rPr>
        <w:t xml:space="preserve">Department Head / Director / VP: must act within 3 working days of receiving the claim.</w:t>
      </w:r>
    </w:p>
    <w:p>
      <w:pPr>
        <w:pStyle w:val="ListParagraph"/>
        <w:numPr>
          <w:ilvl w:val="0"/>
          <w:numId w:val="2"/>
        </w:numPr>
        <w:spacing w:after="80"/>
      </w:pPr>
      <w:r>
        <w:rPr>
          <w:rFonts w:ascii="Arial" w:cs="Arial" w:eastAsia="Arial" w:hAnsi="Arial"/>
          <w:color w:val="555555"/>
          <w:sz w:val="20"/>
          <w:szCs w:val="20"/>
        </w:rPr>
        <w:t xml:space="preserve">Finance Controller / CFO: must act within 2 working days after all management approvals.</w:t>
      </w:r>
    </w:p>
    <w:p>
      <w:pPr>
        <w:pStyle w:val="ListParagraph"/>
        <w:numPr>
          <w:ilvl w:val="0"/>
          <w:numId w:val="2"/>
        </w:numPr>
        <w:spacing w:after="80"/>
      </w:pPr>
      <w:r>
        <w:rPr>
          <w:rFonts w:ascii="Arial" w:cs="Arial" w:eastAsia="Arial" w:hAnsi="Arial"/>
          <w:color w:val="555555"/>
          <w:sz w:val="20"/>
          <w:szCs w:val="20"/>
        </w:rPr>
        <w:t xml:space="preserve">Breach of SLA: if an approver misses the timeline, the claim automatically escalates to the next level with an email alert to both parties.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6E6E" w:sz="4"/>
              <w:left w:val="single" w:color="0B6E6E" w:sz="4"/>
              <w:bottom w:val="single" w:color="0B6E6E" w:sz="4"/>
              <w:right w:val="single" w:color="0B6E6E" w:sz="4"/>
            </w:tcBorders>
            <w:shd w:fill="E3EEF9" w:val="clear"/>
            <w:tcMar>
              <w:top w:type="dxa" w:w="120"/>
              <w:left w:type="dxa" w:w="180"/>
              <w:bottom w:type="dxa" w:w="120"/>
              <w:right w:type="dxa" w:w="180"/>
            </w:tcMar>
          </w:tcPr>
          <w:p>
            <w:pPr>
              <w:spacing w:after="60"/>
            </w:pPr>
            <w:r>
              <w:rPr>
                <w:rFonts w:ascii="Arial" w:cs="Arial" w:eastAsia="Arial" w:hAnsi="Arial"/>
                <w:b/>
                <w:bCs/>
                <w:color w:val="1A3557"/>
                <w:sz w:val="20"/>
                <w:szCs w:val="20"/>
              </w:rPr>
              <w:t xml:space="preserve">Approval Portal Workflow</w:t>
            </w:r>
          </w:p>
          <w:p>
            <w:pPr>
              <w:spacing w:after="50"/>
            </w:pPr>
            <w:r>
              <w:rPr>
                <w:rFonts w:ascii="Arial" w:cs="Arial" w:eastAsia="Arial" w:hAnsi="Arial"/>
                <w:color w:val="555555"/>
                <w:sz w:val="20"/>
                <w:szCs w:val="20"/>
              </w:rPr>
              <w:t xml:space="preserve">Step 1: Employee logs in to HR portal → 'My Claims' → 'New Claim'</w:t>
            </w:r>
          </w:p>
          <w:p>
            <w:pPr>
              <w:spacing w:after="50"/>
            </w:pPr>
            <w:r>
              <w:rPr>
                <w:rFonts w:ascii="Arial" w:cs="Arial" w:eastAsia="Arial" w:hAnsi="Arial"/>
                <w:color w:val="555555"/>
                <w:sz w:val="20"/>
                <w:szCs w:val="20"/>
              </w:rPr>
              <w:t xml:space="preserve">Step 2: Select category, enter amount, upload receipts, add business justification</w:t>
            </w:r>
          </w:p>
          <w:p>
            <w:pPr>
              <w:spacing w:after="50"/>
            </w:pPr>
            <w:r>
              <w:rPr>
                <w:rFonts w:ascii="Arial" w:cs="Arial" w:eastAsia="Arial" w:hAnsi="Arial"/>
                <w:color w:val="555555"/>
                <w:sz w:val="20"/>
                <w:szCs w:val="20"/>
              </w:rPr>
              <w:t xml:space="preserve">Step 3: System routes claim to appropriate approver(s) based on amount and category</w:t>
            </w:r>
          </w:p>
          <w:p>
            <w:pPr>
              <w:spacing w:after="50"/>
            </w:pPr>
            <w:r>
              <w:rPr>
                <w:rFonts w:ascii="Arial" w:cs="Arial" w:eastAsia="Arial" w:hAnsi="Arial"/>
                <w:color w:val="555555"/>
                <w:sz w:val="20"/>
                <w:szCs w:val="20"/>
              </w:rPr>
              <w:t xml:space="preserve">Step 4: Approver approves / returns with comments / escalates</w:t>
            </w:r>
          </w:p>
          <w:p>
            <w:pPr>
              <w:spacing w:after="50"/>
            </w:pPr>
            <w:r>
              <w:rPr>
                <w:rFonts w:ascii="Arial" w:cs="Arial" w:eastAsia="Arial" w:hAnsi="Arial"/>
                <w:color w:val="555555"/>
                <w:sz w:val="20"/>
                <w:szCs w:val="20"/>
              </w:rPr>
              <w:t xml:space="preserve">Step 5: Finance validates documents and processes payment</w:t>
            </w:r>
          </w:p>
          <w:p>
            <w:pPr>
              <w:spacing w:after="50"/>
            </w:pPr>
            <w:r>
              <w:rPr>
                <w:rFonts w:ascii="Arial" w:cs="Arial" w:eastAsia="Arial" w:hAnsi="Arial"/>
                <w:color w:val="555555"/>
                <w:sz w:val="20"/>
                <w:szCs w:val="20"/>
              </w:rPr>
              <w:t xml:space="preserve">Step 6: Employee receives payment notification and updated payslip entry</w:t>
            </w:r>
          </w:p>
        </w:tc>
      </w:tr>
    </w:tbl>
    <w:p>
      <w:r>
        <w:br w:type="page"/>
      </w:r>
    </w:p>
    <w:p>
      <w:pPr>
        <w:pStyle w:val="Heading1"/>
        <w:spacing w:after="140" w:before="360"/>
      </w:pPr>
      <w:r>
        <w:rPr>
          <w:rFonts w:ascii="Arial" w:cs="Arial" w:eastAsia="Arial" w:hAnsi="Arial"/>
          <w:b/>
          <w:bCs/>
          <w:color w:val="1A3557"/>
          <w:sz w:val="32"/>
          <w:szCs w:val="32"/>
        </w:rPr>
        <w:t xml:space="preserve">8.  Submission Deadlines</w:t>
      </w:r>
    </w:p>
    <w:p>
      <w:pPr>
        <w:pBdr>
          <w:bottom w:val="single" w:color="0B6E6E" w:sz="8" w:space="1"/>
        </w:pBdr>
        <w:spacing w:after="140"/>
      </w:pPr>
    </w:p>
    <w:p>
      <w:pPr>
        <w:spacing w:after="100"/>
      </w:pPr>
      <w:r>
        <w:rPr>
          <w:rFonts w:ascii="Arial" w:cs="Arial" w:eastAsia="Arial" w:hAnsi="Arial"/>
          <w:color w:val="555555"/>
          <w:sz w:val="20"/>
          <w:szCs w:val="20"/>
        </w:rPr>
        <w:t xml:space="preserve">Timely submission of expense claims is critical for accurate financial reporting and prompt reimbursement. Late submissions create accounting complications and may result in claims being rejected.</w:t>
      </w:r>
    </w:p>
    <w:p>
      <w:pPr>
        <w:spacing w:after="120" w:before="0"/>
      </w:pPr>
    </w:p>
    <w:p>
      <w:pPr>
        <w:pStyle w:val="Heading2"/>
        <w:spacing w:after="110" w:before="260"/>
      </w:pPr>
      <w:r>
        <w:rPr>
          <w:rFonts w:ascii="Arial" w:cs="Arial" w:eastAsia="Arial" w:hAnsi="Arial"/>
          <w:b/>
          <w:bCs/>
          <w:color w:val="0B6E6E"/>
          <w:sz w:val="24"/>
          <w:szCs w:val="24"/>
        </w:rPr>
        <w:t xml:space="preserve">8.1  Standard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Expense Type</w:t>
            </w:r>
          </w:p>
        </w:tc>
        <w:tc>
          <w:tcPr>
            <w:tcW w:type="dxa" w:w="28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Submission Deadline</w:t>
            </w:r>
          </w:p>
        </w:tc>
        <w:tc>
          <w:tcPr>
            <w:tcW w:type="dxa" w:w="376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Consequence of Late Filing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Regular monthly expenses (internet, mobile)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By 22nd of the same month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Processed in next month's payroll</w:t>
            </w:r>
          </w:p>
        </w:tc>
      </w:tr>
      <w:tr>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Business travel claims</w:t>
            </w:r>
          </w:p>
        </w:tc>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Within 10 working days of return</w:t>
            </w:r>
          </w:p>
        </w:tc>
        <w:tc>
          <w:tcPr>
            <w:tcW w:type="dxa" w:w="37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Claims beyond 30 days rejected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Client entertainment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Within 7 working days of event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Claims beyond 21 days rejected</w:t>
            </w:r>
          </w:p>
        </w:tc>
      </w:tr>
      <w:tr>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Learning &amp; Certification</w:t>
            </w:r>
          </w:p>
        </w:tc>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Within 30 days of completion</w:t>
            </w:r>
          </w:p>
        </w:tc>
        <w:tc>
          <w:tcPr>
            <w:tcW w:type="dxa" w:w="37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Forfeited if beyond 45 days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Food / team meals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Within 7 working days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Not reimbursable after 21 days</w:t>
            </w:r>
          </w:p>
        </w:tc>
      </w:tr>
      <w:tr>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Year-end cut-off (for FY accounting)</w:t>
            </w:r>
          </w:p>
        </w:tc>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March 20th (all pending claims)</w:t>
            </w:r>
          </w:p>
        </w:tc>
        <w:tc>
          <w:tcPr>
            <w:tcW w:type="dxa" w:w="37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Unclaimed amounts lapse for that FY</w:t>
            </w:r>
          </w:p>
        </w:tc>
      </w:tr>
    </w:tbl>
    <w:p>
      <w:pPr>
        <w:spacing w:after="120" w:before="0"/>
      </w:pPr>
    </w:p>
    <w:p>
      <w:pPr>
        <w:pStyle w:val="Heading2"/>
        <w:spacing w:after="110" w:before="260"/>
      </w:pPr>
      <w:r>
        <w:rPr>
          <w:rFonts w:ascii="Arial" w:cs="Arial" w:eastAsia="Arial" w:hAnsi="Arial"/>
          <w:b/>
          <w:bCs/>
          <w:color w:val="0B6E6E"/>
          <w:sz w:val="24"/>
          <w:szCs w:val="24"/>
        </w:rPr>
        <w:t xml:space="preserve">8.2  Financial Year Cut-Off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5B20" w:sz="4"/>
              <w:left w:val="single" w:color="C75B20" w:sz="4"/>
              <w:bottom w:val="single" w:color="C75B20" w:sz="4"/>
              <w:right w:val="single" w:color="C75B20" w:sz="4"/>
            </w:tcBorders>
            <w:shd w:fill="FDEEDE" w:val="clear"/>
            <w:tcMar>
              <w:top w:type="dxa" w:w="120"/>
              <w:left w:type="dxa" w:w="180"/>
              <w:bottom w:type="dxa" w:w="120"/>
              <w:right w:type="dxa" w:w="180"/>
            </w:tcMar>
          </w:tcPr>
          <w:p>
            <w:pPr>
              <w:spacing w:after="60"/>
            </w:pPr>
            <w:r>
              <w:rPr>
                <w:rFonts w:ascii="Arial" w:cs="Arial" w:eastAsia="Arial" w:hAnsi="Arial"/>
                <w:b/>
                <w:bCs/>
                <w:color w:val="1A3557"/>
                <w:sz w:val="20"/>
                <w:szCs w:val="20"/>
              </w:rPr>
              <w:t xml:space="preserve">Year-End Deadline</w:t>
            </w:r>
          </w:p>
          <w:p>
            <w:pPr>
              <w:spacing w:after="50"/>
            </w:pPr>
            <w:r>
              <w:rPr>
                <w:rFonts w:ascii="Arial" w:cs="Arial" w:eastAsia="Arial" w:hAnsi="Arial"/>
                <w:color w:val="555555"/>
                <w:sz w:val="20"/>
                <w:szCs w:val="20"/>
              </w:rPr>
              <w:t xml:space="preserve">All expense claims for the financial year (April – March) must be submitted by March 20th.</w:t>
            </w:r>
          </w:p>
          <w:p>
            <w:pPr>
              <w:spacing w:after="50"/>
            </w:pPr>
            <w:r>
              <w:rPr>
                <w:rFonts w:ascii="Arial" w:cs="Arial" w:eastAsia="Arial" w:hAnsi="Arial"/>
                <w:color w:val="555555"/>
                <w:sz w:val="20"/>
                <w:szCs w:val="20"/>
              </w:rPr>
              <w:t xml:space="preserve">Claims submitted between March 21st and March 31st will be processed in April (next FY) and may affect budget allocation.</w:t>
            </w:r>
          </w:p>
          <w:p>
            <w:pPr>
              <w:spacing w:after="50"/>
            </w:pPr>
            <w:r>
              <w:rPr>
                <w:rFonts w:ascii="Arial" w:cs="Arial" w:eastAsia="Arial" w:hAnsi="Arial"/>
                <w:color w:val="555555"/>
                <w:sz w:val="20"/>
                <w:szCs w:val="20"/>
              </w:rPr>
              <w:t xml:space="preserve">Claims relating to expenses incurred before March 31st but submitted after April 15th will be declined.</w:t>
            </w:r>
          </w:p>
          <w:p>
            <w:pPr>
              <w:spacing w:after="50"/>
            </w:pPr>
            <w:r>
              <w:rPr>
                <w:rFonts w:ascii="Arial" w:cs="Arial" w:eastAsia="Arial" w:hAnsi="Arial"/>
                <w:color w:val="555555"/>
                <w:sz w:val="20"/>
                <w:szCs w:val="20"/>
              </w:rPr>
              <w:t xml:space="preserve">Employees travelling in March must submit claims immediately upon return, even before the standard 10-day window.</w:t>
            </w:r>
          </w:p>
        </w:tc>
      </w:tr>
    </w:tbl>
    <w:p>
      <w:r>
        <w:br w:type="page"/>
      </w:r>
    </w:p>
    <w:p>
      <w:pPr>
        <w:pStyle w:val="Heading1"/>
        <w:spacing w:after="140" w:before="360"/>
      </w:pPr>
      <w:r>
        <w:rPr>
          <w:rFonts w:ascii="Arial" w:cs="Arial" w:eastAsia="Arial" w:hAnsi="Arial"/>
          <w:b/>
          <w:bCs/>
          <w:color w:val="1A3557"/>
          <w:sz w:val="32"/>
          <w:szCs w:val="32"/>
        </w:rPr>
        <w:t xml:space="preserve">9.  Receipt &amp; Documentation Requirements</w:t>
      </w:r>
    </w:p>
    <w:p>
      <w:pPr>
        <w:pBdr>
          <w:bottom w:val="single" w:color="0B6E6E" w:sz="8" w:space="1"/>
        </w:pBdr>
        <w:spacing w:after="140"/>
      </w:pPr>
    </w:p>
    <w:p>
      <w:pPr>
        <w:spacing w:after="100"/>
      </w:pPr>
      <w:r>
        <w:rPr>
          <w:rFonts w:ascii="Arial" w:cs="Arial" w:eastAsia="Arial" w:hAnsi="Arial"/>
          <w:color w:val="555555"/>
          <w:sz w:val="20"/>
          <w:szCs w:val="20"/>
        </w:rPr>
        <w:t xml:space="preserve">Valid documentation is the foundation of every reimbursement claim. The Finance team cannot process claims without adequate supporting documents.</w:t>
      </w:r>
    </w:p>
    <w:p>
      <w:pPr>
        <w:spacing w:after="120" w:before="0"/>
      </w:pPr>
    </w:p>
    <w:p>
      <w:pPr>
        <w:pStyle w:val="Heading2"/>
        <w:spacing w:after="110" w:before="260"/>
      </w:pPr>
      <w:r>
        <w:rPr>
          <w:rFonts w:ascii="Arial" w:cs="Arial" w:eastAsia="Arial" w:hAnsi="Arial"/>
          <w:b/>
          <w:bCs/>
          <w:color w:val="0B6E6E"/>
          <w:sz w:val="24"/>
          <w:szCs w:val="24"/>
        </w:rPr>
        <w:t xml:space="preserve">9.1  Mandatory Fields on Every Receipt</w:t>
      </w:r>
    </w:p>
    <w:p>
      <w:pPr>
        <w:pStyle w:val="ListParagraph"/>
        <w:numPr>
          <w:ilvl w:val="0"/>
          <w:numId w:val="2"/>
        </w:numPr>
        <w:spacing w:after="80"/>
      </w:pPr>
      <w:r>
        <w:rPr>
          <w:rFonts w:ascii="Arial" w:cs="Arial" w:eastAsia="Arial" w:hAnsi="Arial"/>
          <w:color w:val="555555"/>
          <w:sz w:val="20"/>
          <w:szCs w:val="20"/>
        </w:rPr>
        <w:t xml:space="preserve">Date of transaction</w:t>
      </w:r>
    </w:p>
    <w:p>
      <w:pPr>
        <w:pStyle w:val="ListParagraph"/>
        <w:numPr>
          <w:ilvl w:val="0"/>
          <w:numId w:val="2"/>
        </w:numPr>
        <w:spacing w:after="80"/>
      </w:pPr>
      <w:r>
        <w:rPr>
          <w:rFonts w:ascii="Arial" w:cs="Arial" w:eastAsia="Arial" w:hAnsi="Arial"/>
          <w:color w:val="555555"/>
          <w:sz w:val="20"/>
          <w:szCs w:val="20"/>
        </w:rPr>
        <w:t xml:space="preserve">Vendor / merchant name and address</w:t>
      </w:r>
    </w:p>
    <w:p>
      <w:pPr>
        <w:pStyle w:val="ListParagraph"/>
        <w:numPr>
          <w:ilvl w:val="0"/>
          <w:numId w:val="2"/>
        </w:numPr>
        <w:spacing w:after="80"/>
      </w:pPr>
      <w:r>
        <w:rPr>
          <w:rFonts w:ascii="Arial" w:cs="Arial" w:eastAsia="Arial" w:hAnsi="Arial"/>
          <w:color w:val="555555"/>
          <w:sz w:val="20"/>
          <w:szCs w:val="20"/>
        </w:rPr>
        <w:t xml:space="preserve">Itemised description of goods or services</w:t>
      </w:r>
    </w:p>
    <w:p>
      <w:pPr>
        <w:pStyle w:val="ListParagraph"/>
        <w:numPr>
          <w:ilvl w:val="0"/>
          <w:numId w:val="2"/>
        </w:numPr>
        <w:spacing w:after="80"/>
      </w:pPr>
      <w:r>
        <w:rPr>
          <w:rFonts w:ascii="Arial" w:cs="Arial" w:eastAsia="Arial" w:hAnsi="Arial"/>
          <w:color w:val="555555"/>
          <w:sz w:val="20"/>
          <w:szCs w:val="20"/>
        </w:rPr>
        <w:t xml:space="preserve">Amount (including taxes, with tax breakup where applicable)</w:t>
      </w:r>
    </w:p>
    <w:p>
      <w:pPr>
        <w:pStyle w:val="ListParagraph"/>
        <w:numPr>
          <w:ilvl w:val="0"/>
          <w:numId w:val="2"/>
        </w:numPr>
        <w:spacing w:after="80"/>
      </w:pPr>
      <w:r>
        <w:rPr>
          <w:rFonts w:ascii="Arial" w:cs="Arial" w:eastAsia="Arial" w:hAnsi="Arial"/>
          <w:color w:val="555555"/>
          <w:sz w:val="20"/>
          <w:szCs w:val="20"/>
        </w:rPr>
        <w:t xml:space="preserve">GST Identification Number (GSTIN) of the vendor — required for amounts above ₹1,000</w:t>
      </w:r>
    </w:p>
    <w:p>
      <w:pPr>
        <w:pStyle w:val="ListParagraph"/>
        <w:numPr>
          <w:ilvl w:val="0"/>
          <w:numId w:val="2"/>
        </w:numPr>
        <w:spacing w:after="80"/>
      </w:pPr>
      <w:r>
        <w:rPr>
          <w:rFonts w:ascii="Arial" w:cs="Arial" w:eastAsia="Arial" w:hAnsi="Arial"/>
          <w:color w:val="555555"/>
          <w:sz w:val="20"/>
          <w:szCs w:val="20"/>
        </w:rPr>
        <w:t xml:space="preserve">Mode of payment (cash/card/UPI — though cash payments above ₹2,000 are discouraged)</w:t>
      </w:r>
    </w:p>
    <w:p>
      <w:pPr>
        <w:spacing w:after="120" w:before="0"/>
      </w:pPr>
    </w:p>
    <w:p>
      <w:pPr>
        <w:pStyle w:val="Heading2"/>
        <w:spacing w:after="110" w:before="260"/>
      </w:pPr>
      <w:r>
        <w:rPr>
          <w:rFonts w:ascii="Arial" w:cs="Arial" w:eastAsia="Arial" w:hAnsi="Arial"/>
          <w:b/>
          <w:bCs/>
          <w:color w:val="0B6E6E"/>
          <w:sz w:val="24"/>
          <w:szCs w:val="24"/>
        </w:rPr>
        <w:t xml:space="preserve">9.2  Acceptable Receipt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Receipt Type</w:t>
            </w:r>
          </w:p>
        </w:tc>
        <w:tc>
          <w:tcPr>
            <w:tcW w:type="dxa" w:w="18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Acceptable?</w:t>
            </w:r>
          </w:p>
        </w:tc>
        <w:tc>
          <w:tcPr>
            <w:tcW w:type="dxa" w:w="436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Notes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Original printed receipt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Yes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Preferred for all transactions</w:t>
            </w:r>
          </w:p>
        </w:tc>
      </w:tr>
      <w:tr>
        <w:tc>
          <w:tcPr>
            <w:tcW w:type="dxa" w:w="3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Digital receipt (email / PDF)</w:t>
            </w:r>
          </w:p>
        </w:tc>
        <w:tc>
          <w:tcPr>
            <w:tcW w:type="dxa" w:w="1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Yes</w:t>
            </w:r>
          </w:p>
        </w:tc>
        <w:tc>
          <w:tcPr>
            <w:tcW w:type="dxa" w:w="43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Must be unedited; PDF preferred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App screenshot (Ola, Uber, Zomato)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Yes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Must show fare, date, route</w:t>
            </w:r>
          </w:p>
        </w:tc>
      </w:tr>
      <w:tr>
        <w:tc>
          <w:tcPr>
            <w:tcW w:type="dxa" w:w="3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Handwritten receipt (small vendor)</w:t>
            </w:r>
          </w:p>
        </w:tc>
        <w:tc>
          <w:tcPr>
            <w:tcW w:type="dxa" w:w="1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Conditionally</w:t>
            </w:r>
          </w:p>
        </w:tc>
        <w:tc>
          <w:tcPr>
            <w:tcW w:type="dxa" w:w="43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Only for amounts below ₹500 with manager note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Bank statement as proof</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No</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Not accepted as a substitute for receipt</w:t>
            </w:r>
          </w:p>
        </w:tc>
      </w:tr>
      <w:tr>
        <w:tc>
          <w:tcPr>
            <w:tcW w:type="dxa" w:w="32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WhatsApp chat / screenshot of price</w:t>
            </w:r>
          </w:p>
        </w:tc>
        <w:tc>
          <w:tcPr>
            <w:tcW w:type="dxa" w:w="1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No</w:t>
            </w:r>
          </w:p>
        </w:tc>
        <w:tc>
          <w:tcPr>
            <w:tcW w:type="dxa" w:w="43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Not a valid receipt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Credit card slip alone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No</w:t>
            </w:r>
          </w:p>
        </w:tc>
        <w:tc>
          <w:tcPr>
            <w:tcW w:type="dxa" w:w="4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Must be accompanied by itemised merchant receipt</w:t>
            </w:r>
          </w:p>
        </w:tc>
      </w:tr>
    </w:tbl>
    <w:p>
      <w:pPr>
        <w:spacing w:after="120" w:before="0"/>
      </w:pPr>
    </w:p>
    <w:p>
      <w:pPr>
        <w:pStyle w:val="Heading2"/>
        <w:spacing w:after="110" w:before="260"/>
      </w:pPr>
      <w:r>
        <w:rPr>
          <w:rFonts w:ascii="Arial" w:cs="Arial" w:eastAsia="Arial" w:hAnsi="Arial"/>
          <w:b/>
          <w:bCs/>
          <w:color w:val="0B6E6E"/>
          <w:sz w:val="24"/>
          <w:szCs w:val="24"/>
        </w:rPr>
        <w:t xml:space="preserve">9.3  Digital Upload Requirements</w:t>
      </w:r>
    </w:p>
    <w:p>
      <w:pPr>
        <w:pStyle w:val="ListParagraph"/>
        <w:numPr>
          <w:ilvl w:val="0"/>
          <w:numId w:val="2"/>
        </w:numPr>
        <w:spacing w:after="80"/>
      </w:pPr>
      <w:r>
        <w:rPr>
          <w:rFonts w:ascii="Arial" w:cs="Arial" w:eastAsia="Arial" w:hAnsi="Arial"/>
          <w:color w:val="555555"/>
          <w:sz w:val="20"/>
          <w:szCs w:val="20"/>
        </w:rPr>
        <w:t xml:space="preserve">File formats accepted: PDF, JPG, PNG. Maximum file size: 5 MB per attachment.</w:t>
      </w:r>
    </w:p>
    <w:p>
      <w:pPr>
        <w:pStyle w:val="ListParagraph"/>
        <w:numPr>
          <w:ilvl w:val="0"/>
          <w:numId w:val="2"/>
        </w:numPr>
        <w:spacing w:after="80"/>
      </w:pPr>
      <w:r>
        <w:rPr>
          <w:rFonts w:ascii="Arial" w:cs="Arial" w:eastAsia="Arial" w:hAnsi="Arial"/>
          <w:color w:val="555555"/>
          <w:sz w:val="20"/>
          <w:szCs w:val="20"/>
        </w:rPr>
        <w:t xml:space="preserve">Each receipt must be uploaded as a separate file — do not bundle multiple receipts in one image.</w:t>
      </w:r>
    </w:p>
    <w:p>
      <w:pPr>
        <w:pStyle w:val="ListParagraph"/>
        <w:numPr>
          <w:ilvl w:val="0"/>
          <w:numId w:val="2"/>
        </w:numPr>
        <w:spacing w:after="80"/>
      </w:pPr>
      <w:r>
        <w:rPr>
          <w:rFonts w:ascii="Arial" w:cs="Arial" w:eastAsia="Arial" w:hAnsi="Arial"/>
          <w:color w:val="555555"/>
          <w:sz w:val="20"/>
          <w:szCs w:val="20"/>
        </w:rPr>
        <w:t xml:space="preserve">Receipts must be legible. Blurry, cut-off, or over-exposed images will be returned for re-upload.</w:t>
      </w:r>
    </w:p>
    <w:p>
      <w:pPr>
        <w:pStyle w:val="ListParagraph"/>
        <w:numPr>
          <w:ilvl w:val="0"/>
          <w:numId w:val="2"/>
        </w:numPr>
        <w:spacing w:after="80"/>
      </w:pPr>
      <w:r>
        <w:rPr>
          <w:rFonts w:ascii="Arial" w:cs="Arial" w:eastAsia="Arial" w:hAnsi="Arial"/>
          <w:color w:val="555555"/>
          <w:sz w:val="20"/>
          <w:szCs w:val="20"/>
        </w:rPr>
        <w:t xml:space="preserve">Amounts must match the claim amount exactly. Any discrepancy must be explained in the comments field.</w:t>
      </w:r>
    </w:p>
    <w:p>
      <w:r>
        <w:br w:type="page"/>
      </w:r>
    </w:p>
    <w:p>
      <w:pPr>
        <w:pStyle w:val="Heading1"/>
        <w:spacing w:after="140" w:before="360"/>
      </w:pPr>
      <w:r>
        <w:rPr>
          <w:rFonts w:ascii="Arial" w:cs="Arial" w:eastAsia="Arial" w:hAnsi="Arial"/>
          <w:b/>
          <w:bCs/>
          <w:color w:val="1A3557"/>
          <w:sz w:val="32"/>
          <w:szCs w:val="32"/>
        </w:rPr>
        <w:t xml:space="preserve">10.  Rejected Claim Scenarios</w:t>
      </w:r>
    </w:p>
    <w:p>
      <w:pPr>
        <w:pBdr>
          <w:bottom w:val="single" w:color="0B6E6E" w:sz="8" w:space="1"/>
        </w:pBdr>
        <w:spacing w:after="140"/>
      </w:pPr>
    </w:p>
    <w:p>
      <w:pPr>
        <w:spacing w:after="100"/>
      </w:pPr>
      <w:r>
        <w:rPr>
          <w:rFonts w:ascii="Arial" w:cs="Arial" w:eastAsia="Arial" w:hAnsi="Arial"/>
          <w:color w:val="555555"/>
          <w:sz w:val="20"/>
          <w:szCs w:val="20"/>
        </w:rPr>
        <w:t xml:space="preserve">Claims are rejected when they do not comply with this policy. Below are the most common rejection reasons with real-world scenarios to help employees avoid them.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2222" w:sz="4"/>
              <w:left w:val="single" w:color="B22222" w:sz="4"/>
              <w:bottom w:val="single" w:color="B22222" w:sz="4"/>
              <w:right w:val="single" w:color="B22222" w:sz="4"/>
            </w:tcBorders>
            <w:shd w:fill="FDF0F0" w:val="clear"/>
            <w:tcMar>
              <w:top w:type="dxa" w:w="120"/>
              <w:left w:type="dxa" w:w="180"/>
              <w:bottom w:type="dxa" w:w="120"/>
              <w:right w:type="dxa" w:w="180"/>
            </w:tcMar>
          </w:tcPr>
          <w:p>
            <w:pPr>
              <w:spacing w:after="60"/>
            </w:pPr>
            <w:r>
              <w:rPr>
                <w:rFonts w:ascii="Arial" w:cs="Arial" w:eastAsia="Arial" w:hAnsi="Arial"/>
                <w:b/>
                <w:bCs/>
                <w:color w:val="B22222"/>
                <w:sz w:val="20"/>
                <w:szCs w:val="20"/>
              </w:rPr>
              <w:t xml:space="preserve">✗  Rejection 1 — Missing or Invalid Receipt</w:t>
            </w:r>
          </w:p>
          <w:p>
            <w:pPr>
              <w:spacing w:after="50"/>
            </w:pPr>
            <w:r>
              <w:rPr>
                <w:rFonts w:ascii="Arial" w:cs="Arial" w:eastAsia="Arial" w:hAnsi="Arial"/>
                <w:color w:val="555555"/>
                <w:sz w:val="20"/>
                <w:szCs w:val="20"/>
              </w:rPr>
              <w:t xml:space="preserve">Employee: Vikram (L2) claims ₹1,800 cab fare to client office.</w:t>
            </w:r>
          </w:p>
          <w:p>
            <w:pPr>
              <w:spacing w:after="50"/>
            </w:pPr>
            <w:r>
              <w:rPr>
                <w:rFonts w:ascii="Arial" w:cs="Arial" w:eastAsia="Arial" w:hAnsi="Arial"/>
                <w:color w:val="555555"/>
                <w:sz w:val="20"/>
                <w:szCs w:val="20"/>
              </w:rPr>
              <w:t xml:space="preserve">Issue: Only a bank statement showing debit is submitted — no Ola/Uber receipt.</w:t>
            </w:r>
          </w:p>
          <w:p>
            <w:pPr>
              <w:spacing w:after="50"/>
            </w:pPr>
            <w:r>
              <w:rPr>
                <w:rFonts w:ascii="Arial" w:cs="Arial" w:eastAsia="Arial" w:hAnsi="Arial"/>
                <w:color w:val="555555"/>
                <w:sz w:val="20"/>
                <w:szCs w:val="20"/>
              </w:rPr>
              <w:t xml:space="preserve">Outcome: Claim rejected. Vikram must upload the app receipt showing route, fare, and date.</w:t>
            </w:r>
          </w:p>
          <w:p>
            <w:pPr>
              <w:spacing w:after="50"/>
            </w:pPr>
            <w:r>
              <w:rPr>
                <w:rFonts w:ascii="Arial" w:cs="Arial" w:eastAsia="Arial" w:hAnsi="Arial"/>
                <w:color w:val="555555"/>
                <w:sz w:val="20"/>
                <w:szCs w:val="20"/>
              </w:rPr>
              <w:t xml:space="preserve">Prevention: Always save app receipts immediately after your ride.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2222" w:sz="4"/>
              <w:left w:val="single" w:color="B22222" w:sz="4"/>
              <w:bottom w:val="single" w:color="B22222" w:sz="4"/>
              <w:right w:val="single" w:color="B22222" w:sz="4"/>
            </w:tcBorders>
            <w:shd w:fill="FDF0F0" w:val="clear"/>
            <w:tcMar>
              <w:top w:type="dxa" w:w="120"/>
              <w:left w:type="dxa" w:w="180"/>
              <w:bottom w:type="dxa" w:w="120"/>
              <w:right w:type="dxa" w:w="180"/>
            </w:tcMar>
          </w:tcPr>
          <w:p>
            <w:pPr>
              <w:spacing w:after="60"/>
            </w:pPr>
            <w:r>
              <w:rPr>
                <w:rFonts w:ascii="Arial" w:cs="Arial" w:eastAsia="Arial" w:hAnsi="Arial"/>
                <w:b/>
                <w:bCs/>
                <w:color w:val="B22222"/>
                <w:sz w:val="20"/>
                <w:szCs w:val="20"/>
              </w:rPr>
              <w:t xml:space="preserve">✗  Rejection 2 — Exceeds Approved Limit Without Pre-Approval</w:t>
            </w:r>
          </w:p>
          <w:p>
            <w:pPr>
              <w:spacing w:after="50"/>
            </w:pPr>
            <w:r>
              <w:rPr>
                <w:rFonts w:ascii="Arial" w:cs="Arial" w:eastAsia="Arial" w:hAnsi="Arial"/>
                <w:color w:val="555555"/>
                <w:sz w:val="20"/>
                <w:szCs w:val="20"/>
              </w:rPr>
              <w:t xml:space="preserve">Employee: Sunita (L2) books a hotel at ₹4,200/night in Bengaluru (L2 metro limit: ₹3,500).</w:t>
            </w:r>
          </w:p>
          <w:p>
            <w:pPr>
              <w:spacing w:after="50"/>
            </w:pPr>
            <w:r>
              <w:rPr>
                <w:rFonts w:ascii="Arial" w:cs="Arial" w:eastAsia="Arial" w:hAnsi="Arial"/>
                <w:color w:val="555555"/>
                <w:sz w:val="20"/>
                <w:szCs w:val="20"/>
              </w:rPr>
              <w:t xml:space="preserve">Issue: No pre-approval obtained for the excess amount of ₹700/night.</w:t>
            </w:r>
          </w:p>
          <w:p>
            <w:pPr>
              <w:spacing w:after="50"/>
            </w:pPr>
            <w:r>
              <w:rPr>
                <w:rFonts w:ascii="Arial" w:cs="Arial" w:eastAsia="Arial" w:hAnsi="Arial"/>
                <w:color w:val="555555"/>
                <w:sz w:val="20"/>
                <w:szCs w:val="20"/>
              </w:rPr>
              <w:t xml:space="preserve">Outcome: ₹3,500 reimbursed; ₹700/night borne by Sunita (₹2,100 for 3 nights).</w:t>
            </w:r>
          </w:p>
          <w:p>
            <w:pPr>
              <w:spacing w:after="50"/>
            </w:pPr>
            <w:r>
              <w:rPr>
                <w:rFonts w:ascii="Arial" w:cs="Arial" w:eastAsia="Arial" w:hAnsi="Arial"/>
                <w:color w:val="555555"/>
                <w:sz w:val="20"/>
                <w:szCs w:val="20"/>
              </w:rPr>
              <w:t xml:space="preserve">Prevention: If estimates exceed limits, get written Finance pre-approval before booking.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2222" w:sz="4"/>
              <w:left w:val="single" w:color="B22222" w:sz="4"/>
              <w:bottom w:val="single" w:color="B22222" w:sz="4"/>
              <w:right w:val="single" w:color="B22222" w:sz="4"/>
            </w:tcBorders>
            <w:shd w:fill="FDF0F0" w:val="clear"/>
            <w:tcMar>
              <w:top w:type="dxa" w:w="120"/>
              <w:left w:type="dxa" w:w="180"/>
              <w:bottom w:type="dxa" w:w="120"/>
              <w:right w:type="dxa" w:w="180"/>
            </w:tcMar>
          </w:tcPr>
          <w:p>
            <w:pPr>
              <w:spacing w:after="60"/>
            </w:pPr>
            <w:r>
              <w:rPr>
                <w:rFonts w:ascii="Arial" w:cs="Arial" w:eastAsia="Arial" w:hAnsi="Arial"/>
                <w:b/>
                <w:bCs/>
                <w:color w:val="B22222"/>
                <w:sz w:val="20"/>
                <w:szCs w:val="20"/>
              </w:rPr>
              <w:t xml:space="preserve">✗  Rejection 3 — Submitted Beyond Deadline</w:t>
            </w:r>
          </w:p>
          <w:p>
            <w:pPr>
              <w:spacing w:after="50"/>
            </w:pPr>
            <w:r>
              <w:rPr>
                <w:rFonts w:ascii="Arial" w:cs="Arial" w:eastAsia="Arial" w:hAnsi="Arial"/>
                <w:color w:val="555555"/>
                <w:sz w:val="20"/>
                <w:szCs w:val="20"/>
              </w:rPr>
              <w:t xml:space="preserve">Employee: Prashant (L3) returns from Hyderabad on February 10th but submits travel claim on March 5th (23 days late).</w:t>
            </w:r>
          </w:p>
          <w:p>
            <w:pPr>
              <w:spacing w:after="50"/>
            </w:pPr>
            <w:r>
              <w:rPr>
                <w:rFonts w:ascii="Arial" w:cs="Arial" w:eastAsia="Arial" w:hAnsi="Arial"/>
                <w:color w:val="555555"/>
                <w:sz w:val="20"/>
                <w:szCs w:val="20"/>
              </w:rPr>
              <w:t xml:space="preserve">Issue: Travel claims must be submitted within 10 working days; 30 days is the hard cap.</w:t>
            </w:r>
          </w:p>
          <w:p>
            <w:pPr>
              <w:spacing w:after="50"/>
            </w:pPr>
            <w:r>
              <w:rPr>
                <w:rFonts w:ascii="Arial" w:cs="Arial" w:eastAsia="Arial" w:hAnsi="Arial"/>
                <w:color w:val="555555"/>
                <w:sz w:val="20"/>
                <w:szCs w:val="20"/>
              </w:rPr>
              <w:t xml:space="preserve">Outcome: Claim rejected for late filing.</w:t>
            </w:r>
          </w:p>
          <w:p>
            <w:pPr>
              <w:spacing w:after="50"/>
            </w:pPr>
            <w:r>
              <w:rPr>
                <w:rFonts w:ascii="Arial" w:cs="Arial" w:eastAsia="Arial" w:hAnsi="Arial"/>
                <w:color w:val="555555"/>
                <w:sz w:val="20"/>
                <w:szCs w:val="20"/>
              </w:rPr>
              <w:t xml:space="preserve">Prevention: Set a calendar reminder for 7 days post-travel return.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2222" w:sz="4"/>
              <w:left w:val="single" w:color="B22222" w:sz="4"/>
              <w:bottom w:val="single" w:color="B22222" w:sz="4"/>
              <w:right w:val="single" w:color="B22222" w:sz="4"/>
            </w:tcBorders>
            <w:shd w:fill="FDF0F0" w:val="clear"/>
            <w:tcMar>
              <w:top w:type="dxa" w:w="120"/>
              <w:left w:type="dxa" w:w="180"/>
              <w:bottom w:type="dxa" w:w="120"/>
              <w:right w:type="dxa" w:w="180"/>
            </w:tcMar>
          </w:tcPr>
          <w:p>
            <w:pPr>
              <w:spacing w:after="60"/>
            </w:pPr>
            <w:r>
              <w:rPr>
                <w:rFonts w:ascii="Arial" w:cs="Arial" w:eastAsia="Arial" w:hAnsi="Arial"/>
                <w:b/>
                <w:bCs/>
                <w:color w:val="B22222"/>
                <w:sz w:val="20"/>
                <w:szCs w:val="20"/>
              </w:rPr>
              <w:t xml:space="preserve">✗  Rejection 4 — Personal Expense Claimed as Business</w:t>
            </w:r>
          </w:p>
          <w:p>
            <w:pPr>
              <w:spacing w:after="50"/>
            </w:pPr>
            <w:r>
              <w:rPr>
                <w:rFonts w:ascii="Arial" w:cs="Arial" w:eastAsia="Arial" w:hAnsi="Arial"/>
                <w:color w:val="555555"/>
                <w:sz w:val="20"/>
                <w:szCs w:val="20"/>
              </w:rPr>
              <w:t xml:space="preserve">Employee: Ananya (L3) claims ₹3,200 for a concert she attended the evening before a client visit in Mumbai.</w:t>
            </w:r>
          </w:p>
          <w:p>
            <w:pPr>
              <w:spacing w:after="50"/>
            </w:pPr>
            <w:r>
              <w:rPr>
                <w:rFonts w:ascii="Arial" w:cs="Arial" w:eastAsia="Arial" w:hAnsi="Arial"/>
                <w:color w:val="555555"/>
                <w:sz w:val="20"/>
                <w:szCs w:val="20"/>
              </w:rPr>
              <w:t xml:space="preserve">Issue: Entertainment with no business purpose; no client/colleague attendance.</w:t>
            </w:r>
          </w:p>
          <w:p>
            <w:pPr>
              <w:spacing w:after="50"/>
            </w:pPr>
            <w:r>
              <w:rPr>
                <w:rFonts w:ascii="Arial" w:cs="Arial" w:eastAsia="Arial" w:hAnsi="Arial"/>
                <w:color w:val="555555"/>
                <w:sz w:val="20"/>
                <w:szCs w:val="20"/>
              </w:rPr>
              <w:t xml:space="preserve">Outcome: Claim fully rejected. Ananya cautioned per the policy.</w:t>
            </w:r>
          </w:p>
          <w:p>
            <w:pPr>
              <w:spacing w:after="50"/>
            </w:pPr>
            <w:r>
              <w:rPr>
                <w:rFonts w:ascii="Arial" w:cs="Arial" w:eastAsia="Arial" w:hAnsi="Arial"/>
                <w:color w:val="555555"/>
                <w:sz w:val="20"/>
                <w:szCs w:val="20"/>
              </w:rPr>
              <w:t xml:space="preserve">Prevention: Only meals and entertainment with a documented business purpose are eligible.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2222" w:sz="4"/>
              <w:left w:val="single" w:color="B22222" w:sz="4"/>
              <w:bottom w:val="single" w:color="B22222" w:sz="4"/>
              <w:right w:val="single" w:color="B22222" w:sz="4"/>
            </w:tcBorders>
            <w:shd w:fill="FDF0F0" w:val="clear"/>
            <w:tcMar>
              <w:top w:type="dxa" w:w="120"/>
              <w:left w:type="dxa" w:w="180"/>
              <w:bottom w:type="dxa" w:w="120"/>
              <w:right w:type="dxa" w:w="180"/>
            </w:tcMar>
          </w:tcPr>
          <w:p>
            <w:pPr>
              <w:spacing w:after="60"/>
            </w:pPr>
            <w:r>
              <w:rPr>
                <w:rFonts w:ascii="Arial" w:cs="Arial" w:eastAsia="Arial" w:hAnsi="Arial"/>
                <w:b/>
                <w:bCs/>
                <w:color w:val="B22222"/>
                <w:sz w:val="20"/>
                <w:szCs w:val="20"/>
              </w:rPr>
              <w:t xml:space="preserve">✗  Rejection 5 — No Prior Approval for Certification</w:t>
            </w:r>
          </w:p>
          <w:p>
            <w:pPr>
              <w:spacing w:after="50"/>
            </w:pPr>
            <w:r>
              <w:rPr>
                <w:rFonts w:ascii="Arial" w:cs="Arial" w:eastAsia="Arial" w:hAnsi="Arial"/>
                <w:color w:val="555555"/>
                <w:sz w:val="20"/>
                <w:szCs w:val="20"/>
              </w:rPr>
              <w:t xml:space="preserve">Employee: Rohit (L2) self-enrols in a ₹12,000 PMP prep course and submits for reimbursement after completion.</w:t>
            </w:r>
          </w:p>
          <w:p>
            <w:pPr>
              <w:spacing w:after="50"/>
            </w:pPr>
            <w:r>
              <w:rPr>
                <w:rFonts w:ascii="Arial" w:cs="Arial" w:eastAsia="Arial" w:hAnsi="Arial"/>
                <w:color w:val="555555"/>
                <w:sz w:val="20"/>
                <w:szCs w:val="20"/>
              </w:rPr>
              <w:t xml:space="preserve">Issue: L&amp;D reimbursement requires prior approval before enrolment — not retrospective.</w:t>
            </w:r>
          </w:p>
          <w:p>
            <w:pPr>
              <w:spacing w:after="50"/>
            </w:pPr>
            <w:r>
              <w:rPr>
                <w:rFonts w:ascii="Arial" w:cs="Arial" w:eastAsia="Arial" w:hAnsi="Arial"/>
                <w:color w:val="555555"/>
                <w:sz w:val="20"/>
                <w:szCs w:val="20"/>
              </w:rPr>
              <w:t xml:space="preserve">Outcome: Claim rejected. Rohit bears the cost.</w:t>
            </w:r>
          </w:p>
          <w:p>
            <w:pPr>
              <w:spacing w:after="50"/>
            </w:pPr>
            <w:r>
              <w:rPr>
                <w:rFonts w:ascii="Arial" w:cs="Arial" w:eastAsia="Arial" w:hAnsi="Arial"/>
                <w:color w:val="555555"/>
                <w:sz w:val="20"/>
                <w:szCs w:val="20"/>
              </w:rPr>
              <w:t xml:space="preserve">Prevention: Always raise a pre-approval request on the portal before purchasing any course.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2222" w:sz="4"/>
              <w:left w:val="single" w:color="B22222" w:sz="4"/>
              <w:bottom w:val="single" w:color="B22222" w:sz="4"/>
              <w:right w:val="single" w:color="B22222" w:sz="4"/>
            </w:tcBorders>
            <w:shd w:fill="FDF0F0" w:val="clear"/>
            <w:tcMar>
              <w:top w:type="dxa" w:w="120"/>
              <w:left w:type="dxa" w:w="180"/>
              <w:bottom w:type="dxa" w:w="120"/>
              <w:right w:type="dxa" w:w="180"/>
            </w:tcMar>
          </w:tcPr>
          <w:p>
            <w:pPr>
              <w:spacing w:after="60"/>
            </w:pPr>
            <w:r>
              <w:rPr>
                <w:rFonts w:ascii="Arial" w:cs="Arial" w:eastAsia="Arial" w:hAnsi="Arial"/>
                <w:b/>
                <w:bCs/>
                <w:color w:val="B22222"/>
                <w:sz w:val="20"/>
                <w:szCs w:val="20"/>
              </w:rPr>
              <w:t xml:space="preserve">✗  Rejection 6 — Duplicate Claim</w:t>
            </w:r>
          </w:p>
          <w:p>
            <w:pPr>
              <w:spacing w:after="50"/>
            </w:pPr>
            <w:r>
              <w:rPr>
                <w:rFonts w:ascii="Arial" w:cs="Arial" w:eastAsia="Arial" w:hAnsi="Arial"/>
                <w:color w:val="555555"/>
                <w:sz w:val="20"/>
                <w:szCs w:val="20"/>
              </w:rPr>
              <w:t xml:space="preserve">Employee: Meera (L4) accidentally submits the same hotel bill twice — once in March and once in April.</w:t>
            </w:r>
          </w:p>
          <w:p>
            <w:pPr>
              <w:spacing w:after="50"/>
            </w:pPr>
            <w:r>
              <w:rPr>
                <w:rFonts w:ascii="Arial" w:cs="Arial" w:eastAsia="Arial" w:hAnsi="Arial"/>
                <w:color w:val="555555"/>
                <w:sz w:val="20"/>
                <w:szCs w:val="20"/>
              </w:rPr>
              <w:t xml:space="preserve">Issue: Finance system flags duplicate GST invoice number.</w:t>
            </w:r>
          </w:p>
          <w:p>
            <w:pPr>
              <w:spacing w:after="50"/>
            </w:pPr>
            <w:r>
              <w:rPr>
                <w:rFonts w:ascii="Arial" w:cs="Arial" w:eastAsia="Arial" w:hAnsi="Arial"/>
                <w:color w:val="555555"/>
                <w:sz w:val="20"/>
                <w:szCs w:val="20"/>
              </w:rPr>
              <w:t xml:space="preserve">Outcome: Second claim rejected automatically; Meera notified.</w:t>
            </w:r>
          </w:p>
          <w:p>
            <w:pPr>
              <w:spacing w:after="50"/>
            </w:pPr>
            <w:r>
              <w:rPr>
                <w:rFonts w:ascii="Arial" w:cs="Arial" w:eastAsia="Arial" w:hAnsi="Arial"/>
                <w:color w:val="555555"/>
                <w:sz w:val="20"/>
                <w:szCs w:val="20"/>
              </w:rPr>
              <w:t xml:space="preserve">Prevention: Mark receipts as 'CLAIMED – [DATE]' once submitted to avoid duplicates.</w:t>
            </w:r>
          </w:p>
        </w:tc>
      </w:tr>
    </w:tbl>
    <w:p>
      <w:r>
        <w:br w:type="page"/>
      </w:r>
    </w:p>
    <w:p>
      <w:pPr>
        <w:pStyle w:val="Heading1"/>
        <w:spacing w:after="140" w:before="360"/>
      </w:pPr>
      <w:r>
        <w:rPr>
          <w:rFonts w:ascii="Arial" w:cs="Arial" w:eastAsia="Arial" w:hAnsi="Arial"/>
          <w:b/>
          <w:bCs/>
          <w:color w:val="1A3557"/>
          <w:sz w:val="32"/>
          <w:szCs w:val="32"/>
        </w:rPr>
        <w:t xml:space="preserve">11.  Escalation Matrix</w:t>
      </w:r>
    </w:p>
    <w:p>
      <w:pPr>
        <w:pBdr>
          <w:bottom w:val="single" w:color="0B6E6E" w:sz="8" w:space="1"/>
        </w:pBdr>
        <w:spacing w:after="140"/>
      </w:pPr>
    </w:p>
    <w:p>
      <w:pPr>
        <w:spacing w:after="100"/>
      </w:pPr>
      <w:r>
        <w:rPr>
          <w:rFonts w:ascii="Arial" w:cs="Arial" w:eastAsia="Arial" w:hAnsi="Arial"/>
          <w:color w:val="555555"/>
          <w:sz w:val="20"/>
          <w:szCs w:val="20"/>
        </w:rPr>
        <w:t xml:space="preserve">If an employee believes their claim was incorrectly rejected, or if an approver is unresponsive beyond the SLA, the following escalation path applies.</w:t>
      </w:r>
    </w:p>
    <w:p>
      <w:pPr>
        <w:spacing w:after="120" w:before="0"/>
      </w:pPr>
    </w:p>
    <w:p>
      <w:pPr>
        <w:pStyle w:val="Heading2"/>
        <w:spacing w:after="110" w:before="260"/>
      </w:pPr>
      <w:r>
        <w:rPr>
          <w:rFonts w:ascii="Arial" w:cs="Arial" w:eastAsia="Arial" w:hAnsi="Arial"/>
          <w:b/>
          <w:bCs/>
          <w:color w:val="0B6E6E"/>
          <w:sz w:val="24"/>
          <w:szCs w:val="24"/>
        </w:rPr>
        <w:t xml:space="preserve">11.1  Grievance &amp; Escalation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c>
          <w:tcPr>
            <w:tcW w:type="dxa" w:w="14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Tier</w:t>
            </w:r>
          </w:p>
        </w:tc>
        <w:tc>
          <w:tcPr>
            <w:tcW w:type="dxa" w:w="28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Situation</w:t>
            </w:r>
          </w:p>
        </w:tc>
        <w:tc>
          <w:tcPr>
            <w:tcW w:type="dxa" w:w="256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Escalate To</w:t>
            </w:r>
          </w:p>
        </w:tc>
        <w:tc>
          <w:tcPr>
            <w:tcW w:type="dxa" w:w="2600"/>
            <w:tcBorders>
              <w:top w:val="single" w:color="0B6E6E" w:sz="4"/>
              <w:left w:val="single" w:color="0B6E6E" w:sz="4"/>
              <w:bottom w:val="single" w:color="0B6E6E" w:sz="4"/>
              <w:right w:val="single" w:color="0B6E6E" w:sz="4"/>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Response SLA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Tier 1 – Resubmission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Claim rejected due to documentation error / minor query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Resubmit with corrections to Finance team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3 working days</w:t>
            </w:r>
          </w:p>
        </w:tc>
      </w:tr>
      <w:tr>
        <w:tc>
          <w:tcPr>
            <w:tcW w:type="dxa" w:w="14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Tier 2 – Manager Dispute</w:t>
            </w:r>
          </w:p>
        </w:tc>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Claim rejected by manager on subjective grounds</w:t>
            </w:r>
          </w:p>
        </w:tc>
        <w:tc>
          <w:tcPr>
            <w:tcW w:type="dxa" w:w="25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HR Business Partner + Department Head</w:t>
            </w:r>
          </w:p>
        </w:tc>
        <w:tc>
          <w:tcPr>
            <w:tcW w:type="dxa" w:w="26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5 working days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Tier 3 – Finance Dispute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Finance rejects despite valid documentation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Finance Controller + HR Head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5 working days</w:t>
            </w:r>
          </w:p>
        </w:tc>
      </w:tr>
      <w:tr>
        <w:tc>
          <w:tcPr>
            <w:tcW w:type="dxa" w:w="14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Tier 4 – Policy Interpretation</w:t>
            </w:r>
          </w:p>
        </w:tc>
        <w:tc>
          <w:tcPr>
            <w:tcW w:type="dxa" w:w="28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Dispute over whether expense is covered under policy</w:t>
            </w:r>
          </w:p>
        </w:tc>
        <w:tc>
          <w:tcPr>
            <w:tcW w:type="dxa" w:w="256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HR Head + CFO joint review</w:t>
            </w:r>
          </w:p>
        </w:tc>
        <w:tc>
          <w:tcPr>
            <w:tcW w:type="dxa" w:w="2600"/>
            <w:tcBorders>
              <w:top w:val="single" w:color="CCCCCC" w:sz="4"/>
              <w:left w:val="single" w:color="CCCCCC" w:sz="4"/>
              <w:bottom w:val="single" w:color="CCCCCC" w:sz="4"/>
              <w:right w:val="single" w:color="CCCCCC" w:sz="4"/>
            </w:tcBorders>
            <w:shd w:fill="F6F6F6" w:val="clear"/>
            <w:tcMar>
              <w:top w:type="dxa" w:w="80"/>
              <w:left w:type="dxa" w:w="140"/>
              <w:bottom w:type="dxa" w:w="80"/>
              <w:right w:type="dxa" w:w="140"/>
            </w:tcMar>
          </w:tcPr>
          <w:p>
            <w:r>
              <w:rPr>
                <w:rFonts w:ascii="Arial" w:cs="Arial" w:eastAsia="Arial" w:hAnsi="Arial"/>
                <w:color w:val="555555"/>
                <w:sz w:val="20"/>
                <w:szCs w:val="20"/>
              </w:rPr>
              <w:t xml:space="preserve">7 working days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Tier 5 – Formal Grievance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Unresolved after Tier 4 or perceived unfair treatment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CHRO (Chief HR Officer)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10 working days</w:t>
            </w:r>
          </w:p>
        </w:tc>
      </w:tr>
    </w:tbl>
    <w:p>
      <w:pPr>
        <w:spacing w:after="120" w:before="0"/>
      </w:pPr>
    </w:p>
    <w:p>
      <w:pPr>
        <w:pStyle w:val="Heading2"/>
        <w:spacing w:after="110" w:before="260"/>
      </w:pPr>
      <w:r>
        <w:rPr>
          <w:rFonts w:ascii="Arial" w:cs="Arial" w:eastAsia="Arial" w:hAnsi="Arial"/>
          <w:b/>
          <w:bCs/>
          <w:color w:val="0B6E6E"/>
          <w:sz w:val="24"/>
          <w:szCs w:val="24"/>
        </w:rPr>
        <w:t xml:space="preserve">11.2  How to Escalate</w:t>
      </w:r>
    </w:p>
    <w:p>
      <w:pPr>
        <w:pStyle w:val="ListParagraph"/>
        <w:numPr>
          <w:ilvl w:val="0"/>
          <w:numId w:val="3"/>
        </w:numPr>
        <w:spacing w:after="80"/>
      </w:pPr>
      <w:r>
        <w:rPr>
          <w:rFonts w:ascii="Arial" w:cs="Arial" w:eastAsia="Arial" w:hAnsi="Arial"/>
          <w:color w:val="555555"/>
          <w:sz w:val="20"/>
          <w:szCs w:val="20"/>
        </w:rPr>
        <w:t xml:space="preserve">Log into the HR portal → 'My Claims' → Select the rejected claim → Click 'Dispute Rejection'.</w:t>
      </w:r>
    </w:p>
    <w:p>
      <w:pPr>
        <w:pStyle w:val="ListParagraph"/>
        <w:numPr>
          <w:ilvl w:val="0"/>
          <w:numId w:val="3"/>
        </w:numPr>
        <w:spacing w:after="80"/>
      </w:pPr>
      <w:r>
        <w:rPr>
          <w:rFonts w:ascii="Arial" w:cs="Arial" w:eastAsia="Arial" w:hAnsi="Arial"/>
          <w:color w:val="555555"/>
          <w:sz w:val="20"/>
          <w:szCs w:val="20"/>
        </w:rPr>
        <w:t xml:space="preserve">Select the escalation tier from the drop-down and provide a written justification.</w:t>
      </w:r>
    </w:p>
    <w:p>
      <w:pPr>
        <w:pStyle w:val="ListParagraph"/>
        <w:numPr>
          <w:ilvl w:val="0"/>
          <w:numId w:val="3"/>
        </w:numPr>
        <w:spacing w:after="80"/>
      </w:pPr>
      <w:r>
        <w:rPr>
          <w:rFonts w:ascii="Arial" w:cs="Arial" w:eastAsia="Arial" w:hAnsi="Arial"/>
          <w:color w:val="555555"/>
          <w:sz w:val="20"/>
          <w:szCs w:val="20"/>
        </w:rPr>
        <w:t xml:space="preserve">Attach any additional supporting documents if the rejection was documentation-related.</w:t>
      </w:r>
    </w:p>
    <w:p>
      <w:pPr>
        <w:pStyle w:val="ListParagraph"/>
        <w:numPr>
          <w:ilvl w:val="0"/>
          <w:numId w:val="3"/>
        </w:numPr>
        <w:spacing w:after="80"/>
      </w:pPr>
      <w:r>
        <w:rPr>
          <w:rFonts w:ascii="Arial" w:cs="Arial" w:eastAsia="Arial" w:hAnsi="Arial"/>
          <w:color w:val="555555"/>
          <w:sz w:val="20"/>
          <w:szCs w:val="20"/>
        </w:rPr>
        <w:t xml:space="preserve">The system automatically notifies the relevant escalation authority and starts the SLA timer.</w:t>
      </w:r>
    </w:p>
    <w:p>
      <w:pPr>
        <w:pStyle w:val="ListParagraph"/>
        <w:numPr>
          <w:ilvl w:val="0"/>
          <w:numId w:val="3"/>
        </w:numPr>
        <w:spacing w:after="80"/>
      </w:pPr>
      <w:r>
        <w:rPr>
          <w:rFonts w:ascii="Arial" w:cs="Arial" w:eastAsia="Arial" w:hAnsi="Arial"/>
          <w:color w:val="555555"/>
          <w:sz w:val="20"/>
          <w:szCs w:val="20"/>
        </w:rPr>
        <w:t xml:space="preserve">The employee receives an email acknowledgement within 1 working day confirming receipt of the escalation.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6E6E" w:sz="4"/>
              <w:left w:val="single" w:color="0B6E6E" w:sz="4"/>
              <w:bottom w:val="single" w:color="0B6E6E" w:sz="4"/>
              <w:right w:val="single" w:color="0B6E6E" w:sz="4"/>
            </w:tcBorders>
            <w:shd w:fill="D4EFEF" w:val="clear"/>
            <w:tcMar>
              <w:top w:type="dxa" w:w="120"/>
              <w:left w:type="dxa" w:w="180"/>
              <w:bottom w:type="dxa" w:w="120"/>
              <w:right w:type="dxa" w:w="180"/>
            </w:tcMar>
          </w:tcPr>
          <w:p>
            <w:pPr>
              <w:spacing w:after="60"/>
            </w:pPr>
            <w:r>
              <w:rPr>
                <w:rFonts w:ascii="Arial" w:cs="Arial" w:eastAsia="Arial" w:hAnsi="Arial"/>
                <w:b/>
                <w:bCs/>
                <w:color w:val="1A3557"/>
                <w:sz w:val="20"/>
                <w:szCs w:val="20"/>
              </w:rPr>
              <w:t xml:space="preserve">Important — Escalation Ethics</w:t>
            </w:r>
          </w:p>
          <w:p>
            <w:pPr>
              <w:spacing w:after="50"/>
            </w:pPr>
            <w:r>
              <w:rPr>
                <w:rFonts w:ascii="Arial" w:cs="Arial" w:eastAsia="Arial" w:hAnsi="Arial"/>
                <w:color w:val="555555"/>
                <w:sz w:val="20"/>
                <w:szCs w:val="20"/>
              </w:rPr>
              <w:t xml:space="preserve">Escalations are for genuine disputes, not attempts to bypass policy limits.</w:t>
            </w:r>
          </w:p>
          <w:p>
            <w:pPr>
              <w:spacing w:after="50"/>
            </w:pPr>
            <w:r>
              <w:rPr>
                <w:rFonts w:ascii="Arial" w:cs="Arial" w:eastAsia="Arial" w:hAnsi="Arial"/>
                <w:color w:val="555555"/>
                <w:sz w:val="20"/>
                <w:szCs w:val="20"/>
              </w:rPr>
              <w:t xml:space="preserve">Frivolous escalations may be noted in the employee's HR record.</w:t>
            </w:r>
          </w:p>
          <w:p>
            <w:pPr>
              <w:spacing w:after="50"/>
            </w:pPr>
            <w:r>
              <w:rPr>
                <w:rFonts w:ascii="Arial" w:cs="Arial" w:eastAsia="Arial" w:hAnsi="Arial"/>
                <w:color w:val="555555"/>
                <w:sz w:val="20"/>
                <w:szCs w:val="20"/>
              </w:rPr>
              <w:t xml:space="preserve">Decisions at Tier 4 and above are final and binding.</w:t>
            </w:r>
          </w:p>
          <w:p>
            <w:pPr>
              <w:spacing w:after="50"/>
            </w:pPr>
            <w:r>
              <w:rPr>
                <w:rFonts w:ascii="Arial" w:cs="Arial" w:eastAsia="Arial" w:hAnsi="Arial"/>
                <w:color w:val="555555"/>
                <w:sz w:val="20"/>
                <w:szCs w:val="20"/>
              </w:rPr>
              <w:t xml:space="preserve">Employees are protected from retaliation for raising good-faith disputes.</w:t>
            </w:r>
          </w:p>
        </w:tc>
      </w:tr>
    </w:tbl>
    <w:p>
      <w:r>
        <w:br w:type="page"/>
      </w:r>
    </w:p>
    <w:p>
      <w:pPr>
        <w:pStyle w:val="Heading1"/>
        <w:spacing w:after="140" w:before="360"/>
      </w:pPr>
      <w:r>
        <w:rPr>
          <w:rFonts w:ascii="Arial" w:cs="Arial" w:eastAsia="Arial" w:hAnsi="Arial"/>
          <w:b/>
          <w:bCs/>
          <w:color w:val="1A3557"/>
          <w:sz w:val="32"/>
          <w:szCs w:val="32"/>
        </w:rPr>
        <w:t xml:space="preserve">12.  Frequently Asked Questions (FAQs)</w:t>
      </w:r>
    </w:p>
    <w:p>
      <w:pPr>
        <w:pBdr>
          <w:bottom w:val="single" w:color="0B6E6E" w:sz="8" w:space="1"/>
        </w:pBdr>
        <w:spacing w:after="140"/>
      </w:pPr>
    </w:p>
    <w:p>
      <w:pPr>
        <w:pStyle w:val="Heading3"/>
        <w:spacing w:after="80" w:before="180"/>
      </w:pPr>
      <w:r>
        <w:rPr>
          <w:rFonts w:ascii="Arial" w:cs="Arial" w:eastAsia="Arial" w:hAnsi="Arial"/>
          <w:b/>
          <w:bCs/>
          <w:color w:val="C75B20"/>
          <w:sz w:val="21"/>
          <w:szCs w:val="21"/>
        </w:rPr>
        <w:t xml:space="preserve">Q1. Can I claim reimbursement for expenses paid by my family member?</w:t>
      </w:r>
    </w:p>
    <w:p>
      <w:pPr>
        <w:spacing w:after="100"/>
      </w:pPr>
      <w:r>
        <w:rPr>
          <w:rFonts w:ascii="Arial" w:cs="Arial" w:eastAsia="Arial" w:hAnsi="Arial"/>
          <w:color w:val="555555"/>
          <w:sz w:val="20"/>
          <w:szCs w:val="20"/>
        </w:rPr>
        <w:t xml:space="preserve">Yes, provided the expense is for a legitimate business purpose and you are the primary beneficiary (e.g., a colleague paid your cab fare and you reimburse them). Submit their receipt along with a self-declaration. Bills in a spouse's name are accepted for internet/mobile with a declaration form.</w:t>
      </w:r>
    </w:p>
    <w:p>
      <w:pPr>
        <w:pStyle w:val="Heading3"/>
        <w:spacing w:after="80" w:before="180"/>
      </w:pPr>
      <w:r>
        <w:rPr>
          <w:rFonts w:ascii="Arial" w:cs="Arial" w:eastAsia="Arial" w:hAnsi="Arial"/>
          <w:b/>
          <w:bCs/>
          <w:color w:val="C75B20"/>
          <w:sz w:val="21"/>
          <w:szCs w:val="21"/>
        </w:rPr>
        <w:t xml:space="preserve">Q2. I lost my hotel receipt. Can I still claim?</w:t>
      </w:r>
    </w:p>
    <w:p>
      <w:pPr>
        <w:spacing w:after="100"/>
      </w:pPr>
      <w:r>
        <w:rPr>
          <w:rFonts w:ascii="Arial" w:cs="Arial" w:eastAsia="Arial" w:hAnsi="Arial"/>
          <w:color w:val="555555"/>
          <w:sz w:val="20"/>
          <w:szCs w:val="20"/>
        </w:rPr>
        <w:t xml:space="preserve">A duplicate receipt from the hotel (in PDF format with hotel letterhead and GSTIN) is acceptable. If the hotel is unable to provide a duplicate, submit a self-declaration form (available on the HR portal) with the manager's countersignature. Self-declarations are accepted only once in a 12-month period per employee.</w:t>
      </w:r>
    </w:p>
    <w:p>
      <w:pPr>
        <w:pStyle w:val="Heading3"/>
        <w:spacing w:after="80" w:before="180"/>
      </w:pPr>
      <w:r>
        <w:rPr>
          <w:rFonts w:ascii="Arial" w:cs="Arial" w:eastAsia="Arial" w:hAnsi="Arial"/>
          <w:b/>
          <w:bCs/>
          <w:color w:val="C75B20"/>
          <w:sz w:val="21"/>
          <w:szCs w:val="21"/>
        </w:rPr>
        <w:t xml:space="preserve">Q3. My travel involved a personal stopover. How do I claim?</w:t>
      </w:r>
    </w:p>
    <w:p>
      <w:pPr>
        <w:spacing w:after="100"/>
      </w:pPr>
      <w:r>
        <w:rPr>
          <w:rFonts w:ascii="Arial" w:cs="Arial" w:eastAsia="Arial" w:hAnsi="Arial"/>
          <w:color w:val="555555"/>
          <w:sz w:val="20"/>
          <w:szCs w:val="20"/>
        </w:rPr>
        <w:t xml:space="preserve">Only the incremental cost of the business portion is reimbursable. For example, if you fly BLR → DEL (client) → GOA (personal holiday), the company reimburses only the cost of BLR → DEL return. If the personal stopover makes the ticket cheaper, the company pays the price of the direct business route — not the actual (lower) ticket cost.</w:t>
      </w:r>
    </w:p>
    <w:p>
      <w:pPr>
        <w:pStyle w:val="Heading3"/>
        <w:spacing w:after="80" w:before="180"/>
      </w:pPr>
      <w:r>
        <w:rPr>
          <w:rFonts w:ascii="Arial" w:cs="Arial" w:eastAsia="Arial" w:hAnsi="Arial"/>
          <w:b/>
          <w:bCs/>
          <w:color w:val="C75B20"/>
          <w:sz w:val="21"/>
          <w:szCs w:val="21"/>
        </w:rPr>
        <w:t xml:space="preserve">Q4. Can I book travel on a personal credit card and earn reward points?</w:t>
      </w:r>
    </w:p>
    <w:p>
      <w:pPr>
        <w:spacing w:after="100"/>
      </w:pPr>
      <w:r>
        <w:rPr>
          <w:rFonts w:ascii="Arial" w:cs="Arial" w:eastAsia="Arial" w:hAnsi="Arial"/>
          <w:color w:val="555555"/>
          <w:sz w:val="20"/>
          <w:szCs w:val="20"/>
        </w:rPr>
        <w:t xml:space="preserve">Yes. There is no restriction on using personal credit cards for business expenses. The company reimburses the invoice amount regardless of whether you earn personal reward points. Booking through the corporate portal is still encouraged to enable consolidated corporate discounts.</w:t>
      </w:r>
    </w:p>
    <w:p>
      <w:pPr>
        <w:pStyle w:val="Heading3"/>
        <w:spacing w:after="80" w:before="180"/>
      </w:pPr>
      <w:r>
        <w:rPr>
          <w:rFonts w:ascii="Arial" w:cs="Arial" w:eastAsia="Arial" w:hAnsi="Arial"/>
          <w:b/>
          <w:bCs/>
          <w:color w:val="C75B20"/>
          <w:sz w:val="21"/>
          <w:szCs w:val="21"/>
        </w:rPr>
        <w:t xml:space="preserve">Q5. I am on a long-term client deputation (3+ months). Does this policy apply?</w:t>
      </w:r>
    </w:p>
    <w:p>
      <w:pPr>
        <w:spacing w:after="100"/>
      </w:pPr>
      <w:r>
        <w:rPr>
          <w:rFonts w:ascii="Arial" w:cs="Arial" w:eastAsia="Arial" w:hAnsi="Arial"/>
          <w:color w:val="555555"/>
          <w:sz w:val="20"/>
          <w:szCs w:val="20"/>
        </w:rPr>
        <w:t xml:space="preserve">For deputations longer than 60 days, a separate Per Diem / Deputation Allowance structure applies, which supersedes Section 6 of this policy. Accommodation for deputations longer than 30 days is negotiated directly by the company and may be provided as a furnished flat rather than hotel stays. Contact HR for the Deputation Policy document.</w:t>
      </w:r>
    </w:p>
    <w:p>
      <w:pPr>
        <w:pStyle w:val="Heading3"/>
        <w:spacing w:after="80" w:before="180"/>
      </w:pPr>
      <w:r>
        <w:rPr>
          <w:rFonts w:ascii="Arial" w:cs="Arial" w:eastAsia="Arial" w:hAnsi="Arial"/>
          <w:b/>
          <w:bCs/>
          <w:color w:val="C75B20"/>
          <w:sz w:val="21"/>
          <w:szCs w:val="21"/>
        </w:rPr>
        <w:t xml:space="preserve">Q6. What if the GST rate on a hotel bill has changed since the limits were set?</w:t>
      </w:r>
    </w:p>
    <w:p>
      <w:pPr>
        <w:spacing w:after="100"/>
      </w:pPr>
      <w:r>
        <w:rPr>
          <w:rFonts w:ascii="Arial" w:cs="Arial" w:eastAsia="Arial" w:hAnsi="Arial"/>
          <w:color w:val="555555"/>
          <w:sz w:val="20"/>
          <w:szCs w:val="20"/>
        </w:rPr>
        <w:t xml:space="preserve">The accommodation limits in Section 3 are inclusive of all taxes (GST, service charges). If GST increases cause standard business hotels to exceed the limit in a specific city, employees may raise this with Finance for a one-time limit review. The burden of proof lies with the employee to demonstrate that no reasonably priced option within the limit was available.</w:t>
      </w:r>
    </w:p>
    <w:p>
      <w:pPr>
        <w:pStyle w:val="Heading3"/>
        <w:spacing w:after="80" w:before="180"/>
      </w:pPr>
      <w:r>
        <w:rPr>
          <w:rFonts w:ascii="Arial" w:cs="Arial" w:eastAsia="Arial" w:hAnsi="Arial"/>
          <w:b/>
          <w:bCs/>
          <w:color w:val="C75B20"/>
          <w:sz w:val="21"/>
          <w:szCs w:val="21"/>
        </w:rPr>
        <w:t xml:space="preserve">Q7. Can I claim internet reimbursement if I work from a co-working space?</w:t>
      </w:r>
    </w:p>
    <w:p>
      <w:pPr>
        <w:spacing w:after="100"/>
      </w:pPr>
      <w:r>
        <w:rPr>
          <w:rFonts w:ascii="Arial" w:cs="Arial" w:eastAsia="Arial" w:hAnsi="Arial"/>
          <w:color w:val="555555"/>
          <w:sz w:val="20"/>
          <w:szCs w:val="20"/>
        </w:rPr>
        <w:t xml:space="preserve">Yes, the monthly cost of a co-working space membership may be reimbursed under the internet/connectivity budget if: (a) you are on an approved WFH arrangement, (b) the company does not provide a seat in a local office, and (c) the monthly cost does not exceed ₹3,000 for L1–L2 or ₹5,000 for L3+. A monthly invoice from the co-working operator is required.</w:t>
      </w:r>
    </w:p>
    <w:p>
      <w:pPr>
        <w:pStyle w:val="Heading3"/>
        <w:spacing w:after="80" w:before="180"/>
      </w:pPr>
      <w:r>
        <w:rPr>
          <w:rFonts w:ascii="Arial" w:cs="Arial" w:eastAsia="Arial" w:hAnsi="Arial"/>
          <w:b/>
          <w:bCs/>
          <w:color w:val="C75B20"/>
          <w:sz w:val="21"/>
          <w:szCs w:val="21"/>
        </w:rPr>
        <w:t xml:space="preserve">Q8. My certification course is offered by my previous employer's platform — am I eligible?</w:t>
      </w:r>
    </w:p>
    <w:p>
      <w:pPr>
        <w:spacing w:after="100"/>
      </w:pPr>
      <w:r>
        <w:rPr>
          <w:rFonts w:ascii="Arial" w:cs="Arial" w:eastAsia="Arial" w:hAnsi="Arial"/>
          <w:color w:val="555555"/>
          <w:sz w:val="20"/>
          <w:szCs w:val="20"/>
        </w:rPr>
        <w:t xml:space="preserve">Eligibility is based on the course and its business relevance, not the platform provider. If the course is pre-approved by your manager and HR as relevant to your role, the reimbursement is valid regardless of where it is hosted, including platforms associated with former employers.</w:t>
      </w:r>
    </w:p>
    <w:p>
      <w:pPr>
        <w:pStyle w:val="Heading3"/>
        <w:spacing w:after="80" w:before="180"/>
      </w:pPr>
      <w:r>
        <w:rPr>
          <w:rFonts w:ascii="Arial" w:cs="Arial" w:eastAsia="Arial" w:hAnsi="Arial"/>
          <w:b/>
          <w:bCs/>
          <w:color w:val="C75B20"/>
          <w:sz w:val="21"/>
          <w:szCs w:val="21"/>
        </w:rPr>
        <w:t xml:space="preserve">Q9. Can I claim reimbursement for a team outing I organised?</w:t>
      </w:r>
    </w:p>
    <w:p>
      <w:pPr>
        <w:spacing w:after="100"/>
      </w:pPr>
      <w:r>
        <w:rPr>
          <w:rFonts w:ascii="Arial" w:cs="Arial" w:eastAsia="Arial" w:hAnsi="Arial"/>
          <w:color w:val="555555"/>
          <w:sz w:val="20"/>
          <w:szCs w:val="20"/>
        </w:rPr>
        <w:t xml:space="preserve">Team engagement activities (team outings, celebration meals) are managed through the department's team engagement budget, not individual reimbursement claims. Raise a team budget request through your Department Head at least 5 working days in advance. Finance processes group reimbursements separately with a consolidated bill and attendance sheet.</w:t>
      </w:r>
    </w:p>
    <w:p>
      <w:pPr>
        <w:pStyle w:val="Heading3"/>
        <w:spacing w:after="80" w:before="180"/>
      </w:pPr>
      <w:r>
        <w:rPr>
          <w:rFonts w:ascii="Arial" w:cs="Arial" w:eastAsia="Arial" w:hAnsi="Arial"/>
          <w:b/>
          <w:bCs/>
          <w:color w:val="C75B20"/>
          <w:sz w:val="21"/>
          <w:szCs w:val="21"/>
        </w:rPr>
        <w:t xml:space="preserve">Q10. What happens to my reimbursement claims if I resign?</w:t>
      </w:r>
    </w:p>
    <w:p>
      <w:pPr>
        <w:spacing w:after="100"/>
      </w:pPr>
      <w:r>
        <w:rPr>
          <w:rFonts w:ascii="Arial" w:cs="Arial" w:eastAsia="Arial" w:hAnsi="Arial"/>
          <w:color w:val="555555"/>
          <w:sz w:val="20"/>
          <w:szCs w:val="20"/>
        </w:rPr>
        <w:t xml:space="preserve">Pending reimbursement claims are processed as part of the Full and Final Settlement (FnF) provided they are submitted within the standard deadlines. If valid claims are pending at the time of FnF, they are included in the final settlement amount. Any claims submitted after the FnF date will not be entertained.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557" w:sz="4"/>
              <w:left w:val="single" w:color="1A3557" w:sz="4"/>
              <w:bottom w:val="single" w:color="1A3557" w:sz="4"/>
              <w:right w:val="single" w:color="1A3557" w:sz="4"/>
            </w:tcBorders>
            <w:shd w:fill="1A3557" w:val="clear"/>
            <w:tcMar>
              <w:top w:type="dxa" w:w="240"/>
              <w:left w:type="dxa" w:w="320"/>
              <w:bottom w:type="dxa" w:w="240"/>
              <w:right w:type="dxa" w:w="320"/>
            </w:tcMar>
          </w:tcPr>
          <w:p>
            <w:pPr>
              <w:spacing w:after="80"/>
              <w:jc w:val="center"/>
            </w:pPr>
            <w:r>
              <w:rPr>
                <w:rFonts w:ascii="Arial" w:cs="Arial" w:eastAsia="Arial" w:hAnsi="Arial"/>
                <w:b/>
                <w:bCs/>
                <w:color w:val="FFFFFF"/>
                <w:sz w:val="24"/>
                <w:szCs w:val="24"/>
              </w:rPr>
              <w:t xml:space="preserve">Document Control</w:t>
            </w:r>
          </w:p>
          <w:p>
            <w:pPr>
              <w:spacing w:after="50"/>
              <w:jc w:val="center"/>
            </w:pPr>
            <w:r>
              <w:rPr>
                <w:rFonts w:ascii="Arial" w:cs="Arial" w:eastAsia="Arial" w:hAnsi="Arial"/>
                <w:color w:val="E3EEF9"/>
                <w:sz w:val="18"/>
                <w:szCs w:val="18"/>
              </w:rPr>
              <w:t xml:space="preserve">Prepared by: Finance &amp; Compensation Team  |  Reviewed by: Finance Controller &amp; HR Head</w:t>
            </w:r>
          </w:p>
          <w:p>
            <w:pPr>
              <w:spacing w:after="50"/>
              <w:jc w:val="center"/>
            </w:pPr>
            <w:r>
              <w:rPr>
                <w:rFonts w:ascii="Arial" w:cs="Arial" w:eastAsia="Arial" w:hAnsi="Arial"/>
                <w:color w:val="E3EEF9"/>
                <w:sz w:val="18"/>
                <w:szCs w:val="18"/>
              </w:rPr>
              <w:t xml:space="preserve">Approved by: CFO &amp; CHRO  |  Next Annual Review: March 2026</w:t>
            </w:r>
          </w:p>
          <w:p>
            <w:pPr>
              <w:spacing w:after="0"/>
              <w:jc w:val="center"/>
            </w:pPr>
            <w:r>
              <w:rPr>
                <w:rFonts w:ascii="Arial" w:cs="Arial" w:eastAsia="Arial" w:hAnsi="Arial"/>
                <w:color w:val="D4EFEF"/>
                <w:sz w:val="18"/>
                <w:szCs w:val="18"/>
              </w:rPr>
              <w:t xml:space="preserve">For queries: expenses@company.com  |  HR Portal: hr.company.internal</w:t>
            </w:r>
          </w:p>
        </w:tc>
      </w:tr>
    </w:tbl>
    <w:p>
      <w:pPr>
        <w:spacing w:after="300" w:before="0"/>
      </w:pPr>
    </w:p>
    <w:p>
      <w:pPr>
        <w:spacing w:after="80"/>
        <w:jc w:val="center"/>
      </w:pPr>
      <w:r>
        <w:rPr>
          <w:rFonts w:ascii="Arial" w:cs="Arial" w:eastAsia="Arial" w:hAnsi="Arial"/>
          <w:i/>
          <w:iCs/>
          <w:color w:val="555555"/>
          <w:sz w:val="17"/>
          <w:szCs w:val="17"/>
        </w:rPr>
        <w:t xml:space="preserve">This document is intended for internal use only. Unauthorised distribution is prohibited.</w:t>
      </w:r>
    </w:p>
    <w:p>
      <w:pPr>
        <w:spacing w:after="0"/>
        <w:jc w:val="center"/>
      </w:pPr>
      <w:r>
        <w:rPr>
          <w:rFonts w:ascii="Arial" w:cs="Arial" w:eastAsia="Arial" w:hAnsi="Arial"/>
          <w:color w:val="555555"/>
          <w:sz w:val="17"/>
          <w:szCs w:val="17"/>
        </w:rPr>
        <w:t xml:space="preserve">© 2025 Organisation Name. All rights reserved.</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6E6E" w:sz="6" w:space="1"/>
      </w:pBdr>
      <w:tabs>
        <w:tab w:val="right" w:pos="9026"/>
      </w:tabs>
      <w:spacing w:before="80"/>
    </w:pPr>
    <w:r>
      <w:rPr>
        <w:rFonts w:ascii="Arial" w:cs="Arial" w:eastAsia="Arial" w:hAnsi="Arial"/>
        <w:color w:val="0B6E6E"/>
        <w:sz w:val="16"/>
        <w:szCs w:val="16"/>
      </w:rPr>
      <w:t xml:space="preserve">Version 1.0  |  Effective: April 1, 2025</w:t>
    </w:r>
    <w:r>
      <w:rPr>
        <w:rFonts w:ascii="Arial" w:cs="Arial" w:eastAsia="Arial" w:hAnsi="Arial"/>
        <w:sz w:val="16"/>
        <w:szCs w:val="16"/>
      </w:rPr>
      <w:t xml:space="preserve">	</w:t>
    </w:r>
    <w:r>
      <w:rPr>
        <w:rFonts w:ascii="Arial" w:cs="Arial" w:eastAsia="Arial" w:hAnsi="Arial"/>
        <w:color w:val="0B6E6E"/>
        <w:sz w:val="16"/>
        <w:szCs w:val="16"/>
      </w:rPr>
      <w:t xml:space="preserve">Page </w:t>
    </w:r>
    <w:r>
      <w:rPr>
        <w:rFonts w:ascii="Arial" w:cs="Arial" w:eastAsia="Arial" w:hAnsi="Arial"/>
        <w:color w:val="0B6E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E6E" w:sz="6" w:space="1"/>
      </w:pBdr>
      <w:spacing w:after="100"/>
    </w:pPr>
    <w:r>
      <w:rPr>
        <w:rFonts w:ascii="Arial" w:cs="Arial" w:eastAsia="Arial" w:hAnsi="Arial"/>
        <w:b/>
        <w:bCs/>
        <w:color w:val="0B6E6E"/>
        <w:sz w:val="16"/>
        <w:szCs w:val="16"/>
      </w:rPr>
      <w:t xml:space="preserve">CONFIDENTIAL  |  CORPORATE REIMBURSEMENT POLICY  |  FINANCE &amp; HR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A3557"/>
      <w:sz w:val="32"/>
      <w:szCs w:val="32"/>
    </w:rPr>
  </w:style>
  <w:style w:type="paragraph" w:styleId="Heading2">
    <w:name w:val="Heading 2"/>
    <w:basedOn w:val="Normal"/>
    <w:next w:val="Normal"/>
    <w:qFormat/>
    <w:pPr>
      <w:spacing w:after="110" w:before="260"/>
      <w:outlineLvl w:val="1"/>
    </w:pPr>
    <w:rPr>
      <w:rFonts w:ascii="Arial" w:cs="Arial" w:eastAsia="Arial" w:hAnsi="Arial"/>
      <w:b/>
      <w:bCs/>
      <w:color w:val="0B6E6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C75B2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2026-06-05T06:09:52.568Z</dcterms:created>
  <dcterms:modified xsi:type="dcterms:W3CDTF">2026-06-05T06:09:52.568Z</dcterms:modified>
</cp:coreProperties>
</file>

<file path=docProps/custom.xml><?xml version="1.0" encoding="utf-8"?>
<Properties xmlns="http://schemas.openxmlformats.org/officeDocument/2006/custom-properties" xmlns:vt="http://schemas.openxmlformats.org/officeDocument/2006/docPropsVTypes"/>
</file>