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0" w:before="0"/>
      </w:pPr>
    </w:p>
    <w:p>
      <w:pPr>
        <w:spacing w:after="80" w:before="0"/>
        <w:jc w:val="center"/>
      </w:pPr>
      <w:r>
        <w:rPr>
          <w:rFonts w:ascii="Arial" w:cs="Arial" w:eastAsia="Arial" w:hAnsi="Arial"/>
          <w:b/>
          <w:bCs/>
          <w:color w:val="1B3A6B"/>
          <w:sz w:val="64"/>
          <w:szCs w:val="64"/>
        </w:rPr>
        <w:t xml:space="preserve">EMPLOYEE ONBOARDING GUIDE</w:t>
      </w:r>
    </w:p>
    <w:p>
      <w:pPr>
        <w:spacing w:after="60" w:before="0"/>
        <w:jc w:val="center"/>
      </w:pPr>
      <w:r>
        <w:rPr>
          <w:rFonts w:ascii="Arial" w:cs="Arial" w:eastAsia="Arial" w:hAnsi="Arial"/>
          <w:i/>
          <w:iCs/>
          <w:color w:val="0E7E7E"/>
          <w:sz w:val="28"/>
          <w:szCs w:val="28"/>
        </w:rPr>
        <w:t xml:space="preserve">A Complete Guide from Offer to Confirmation</w:t>
      </w:r>
    </w:p>
    <w:p>
      <w:pPr>
        <w:spacing w:after="40" w:before="0"/>
      </w:pPr>
    </w:p>
    <w:p>
      <w:pPr>
        <w:pBdr>
          <w:bottom w:val="single" w:color="0E7E7E" w:sz="8" w:space="2"/>
        </w:pBdr>
        <w:spacing w:after="0" w:before="0"/>
        <w:jc w:val="center"/>
      </w:pPr>
    </w:p>
    <w:p>
      <w:pPr>
        <w:spacing w:after="40" w:before="0"/>
      </w:pPr>
    </w:p>
    <w:p>
      <w:pPr>
        <w:spacing w:after="40" w:before="40"/>
        <w:jc w:val="center"/>
      </w:pPr>
      <w:r>
        <w:rPr>
          <w:rFonts w:ascii="Arial" w:cs="Arial" w:eastAsia="Arial" w:hAnsi="Arial"/>
          <w:color w:val="0E7E7E"/>
          <w:sz w:val="22"/>
          <w:szCs w:val="22"/>
        </w:rPr>
        <w:t xml:space="preserve">People &amp; Culture Department  |  Version 2.0  |  2025</w:t>
      </w:r>
    </w:p>
    <w:p>
      <w:pPr>
        <w:spacing w:after="600" w:before="0"/>
      </w:pPr>
    </w:p>
    <w:p>
      <w:r>
        <w:br w:type="page"/>
      </w:r>
    </w:p>
    <w:p>
      <w:pPr>
        <w:pStyle w:val="Heading1"/>
        <w:spacing w:after="160" w:before="320"/>
      </w:pPr>
      <w:r>
        <w:rPr>
          <w:rFonts w:ascii="Arial" w:cs="Arial" w:eastAsia="Arial" w:hAnsi="Arial"/>
          <w:b/>
          <w:bCs/>
          <w:color w:val="1B3A6B"/>
          <w:sz w:val="36"/>
          <w:szCs w:val="36"/>
        </w:rPr>
        <w:t xml:space="preserve">1. Overview &amp; Master Timeline</w:t>
      </w:r>
    </w:p>
    <w:p>
      <w:pPr>
        <w:pBdr>
          <w:bottom w:val="single" w:color="0E7E7E" w:sz="6" w:space="1"/>
        </w:pBdr>
        <w:spacing w:after="120" w:before="120"/>
      </w:pPr>
    </w:p>
    <w:p>
      <w:pPr>
        <w:spacing w:after="100" w:before="60"/>
      </w:pPr>
      <w:r>
        <w:rPr>
          <w:rFonts w:ascii="Arial" w:cs="Arial" w:eastAsia="Arial" w:hAnsi="Arial"/>
          <w:color w:val="1E2A3A"/>
          <w:sz w:val="22"/>
          <w:szCs w:val="22"/>
        </w:rPr>
        <w:t xml:space="preserve">Welcome to the organization. This guide walks you through every stage of your journey—from accepting your offer to completing your probation period. HR, IT, and your hiring manager will collaborate to ensure a smooth, well-structured onboarding experience.</w:t>
      </w:r>
    </w:p>
    <w:p>
      <w:pPr>
        <w:spacing w:after="80" w:before="0"/>
      </w:pPr>
    </w:p>
    <w:p>
      <w:pPr>
        <w:pStyle w:val="Heading2"/>
        <w:spacing w:after="120" w:before="240"/>
      </w:pPr>
      <w:r>
        <w:rPr>
          <w:rFonts w:ascii="Arial" w:cs="Arial" w:eastAsia="Arial" w:hAnsi="Arial"/>
          <w:b/>
          <w:bCs/>
          <w:color w:val="0E7E7E"/>
          <w:sz w:val="26"/>
          <w:szCs w:val="26"/>
        </w:rPr>
        <w:t xml:space="preserve">1.1  End-to-End Onboarding Timeline</w:t>
      </w:r>
    </w:p>
    <w:p>
      <w:pPr>
        <w:spacing w:after="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5000"/>
        <w:gridCol w:w="2360"/>
      </w:tblGrid>
      <w:tr>
        <w:tc>
          <w:tcPr>
            <w:tcW w:type="dxa" w:w="2000"/>
            <w:tcBorders>
              <w:top w:val="single" w:color="D0D9E4" w:sz="1"/>
              <w:left w:val="single" w:color="D0D9E4" w:sz="1"/>
              <w:bottom w:val="single" w:color="D0D9E4" w:sz="1"/>
              <w:right w:val="single" w:color="D0D9E4"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5000"/>
            <w:tcBorders>
              <w:top w:val="single" w:color="D0D9E4" w:sz="1"/>
              <w:left w:val="single" w:color="D0D9E4" w:sz="1"/>
              <w:bottom w:val="single" w:color="D0D9E4" w:sz="1"/>
              <w:right w:val="single" w:color="D0D9E4"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Key Activities</w:t>
            </w:r>
          </w:p>
        </w:tc>
        <w:tc>
          <w:tcPr>
            <w:tcW w:type="dxa" w:w="2360"/>
            <w:tcBorders>
              <w:top w:val="single" w:color="D0D9E4" w:sz="1"/>
              <w:left w:val="single" w:color="D0D9E4" w:sz="1"/>
              <w:bottom w:val="single" w:color="D0D9E4" w:sz="1"/>
              <w:right w:val="single" w:color="D0D9E4"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Timeline</w:t>
            </w:r>
          </w:p>
        </w:tc>
      </w:tr>
      <w:tr>
        <w:tc>
          <w:tcPr>
            <w:tcW w:type="dxa" w:w="2000"/>
            <w:tcBorders>
              <w:top w:val="single" w:color="D0D9E4" w:sz="1"/>
              <w:left w:val="single" w:color="D0D9E4" w:sz="1"/>
              <w:bottom w:val="single" w:color="D0D9E4" w:sz="1"/>
              <w:right w:val="single" w:color="D0D9E4" w:sz="1"/>
            </w:tcBorders>
            <w:shd w:fill="F2F5F9" w:val="clear"/>
            <w:tcMar>
              <w:top w:type="dxa" w:w="80"/>
              <w:left w:type="dxa" w:w="120"/>
              <w:bottom w:type="dxa" w:w="80"/>
              <w:right w:type="dxa" w:w="120"/>
            </w:tcMar>
          </w:tcPr>
          <w:p>
            <w:r>
              <w:rPr>
                <w:rFonts w:ascii="Arial" w:cs="Arial" w:eastAsia="Arial" w:hAnsi="Arial"/>
                <w:b w:val="false"/>
                <w:bCs w:val="false"/>
                <w:color w:val="1E2A3A"/>
                <w:sz w:val="20"/>
                <w:szCs w:val="20"/>
              </w:rPr>
              <w:t xml:space="preserve">Pre-Joining</w:t>
            </w:r>
          </w:p>
        </w:tc>
        <w:tc>
          <w:tcPr>
            <w:tcW w:type="dxa" w:w="5000"/>
            <w:tcBorders>
              <w:top w:val="single" w:color="D0D9E4" w:sz="1"/>
              <w:left w:val="single" w:color="D0D9E4" w:sz="1"/>
              <w:bottom w:val="single" w:color="D0D9E4" w:sz="1"/>
              <w:right w:val="single" w:color="D0D9E4" w:sz="1"/>
            </w:tcBorders>
            <w:shd w:fill="FFFFFF" w:val="clear"/>
            <w:tcMar>
              <w:top w:type="dxa" w:w="80"/>
              <w:left w:type="dxa" w:w="120"/>
              <w:bottom w:type="dxa" w:w="80"/>
              <w:right w:type="dxa" w:w="120"/>
            </w:tcMar>
          </w:tcPr>
          <w:p>
            <w:r>
              <w:rPr>
                <w:rFonts w:ascii="Arial" w:cs="Arial" w:eastAsia="Arial" w:hAnsi="Arial"/>
                <w:b w:val="false"/>
                <w:bCs w:val="false"/>
                <w:color w:val="1E2A3A"/>
                <w:sz w:val="20"/>
                <w:szCs w:val="20"/>
              </w:rPr>
              <w:t xml:space="preserve">Offer acceptance, document collection, BGV initiation</w:t>
            </w:r>
          </w:p>
        </w:tc>
        <w:tc>
          <w:tcPr>
            <w:tcW w:type="dxa" w:w="2360"/>
            <w:tcBorders>
              <w:top w:val="single" w:color="D0D9E4" w:sz="1"/>
              <w:left w:val="single" w:color="D0D9E4" w:sz="1"/>
              <w:bottom w:val="single" w:color="D0D9E4" w:sz="1"/>
              <w:right w:val="single" w:color="D0D9E4" w:sz="1"/>
            </w:tcBorders>
            <w:shd w:fill="FFFFFF" w:val="clear"/>
            <w:tcMar>
              <w:top w:type="dxa" w:w="80"/>
              <w:left w:type="dxa" w:w="120"/>
              <w:bottom w:type="dxa" w:w="80"/>
              <w:right w:type="dxa" w:w="120"/>
            </w:tcMar>
          </w:tcPr>
          <w:p>
            <w:r>
              <w:rPr>
                <w:rFonts w:ascii="Arial" w:cs="Arial" w:eastAsia="Arial" w:hAnsi="Arial"/>
                <w:b w:val="false"/>
                <w:bCs w:val="false"/>
                <w:color w:val="1E2A3A"/>
                <w:sz w:val="20"/>
                <w:szCs w:val="20"/>
              </w:rPr>
              <w:t xml:space="preserve">Day −30 to Day −1</w:t>
            </w:r>
          </w:p>
        </w:tc>
      </w:tr>
      <w:tr>
        <w:tc>
          <w:tcPr>
            <w:tcW w:type="dxa" w:w="2000"/>
            <w:tcBorders>
              <w:top w:val="single" w:color="D0D9E4" w:sz="1"/>
              <w:left w:val="single" w:color="D0D9E4" w:sz="1"/>
              <w:bottom w:val="single" w:color="D0D9E4" w:sz="1"/>
              <w:right w:val="single" w:color="D0D9E4" w:sz="1"/>
            </w:tcBorders>
            <w:shd w:fill="F2F5F9" w:val="clear"/>
            <w:tcMar>
              <w:top w:type="dxa" w:w="80"/>
              <w:left w:type="dxa" w:w="120"/>
              <w:bottom w:type="dxa" w:w="80"/>
              <w:right w:type="dxa" w:w="120"/>
            </w:tcMar>
          </w:tcPr>
          <w:p>
            <w:r>
              <w:rPr>
                <w:rFonts w:ascii="Arial" w:cs="Arial" w:eastAsia="Arial" w:hAnsi="Arial"/>
                <w:b w:val="false"/>
                <w:bCs w:val="false"/>
                <w:color w:val="1E2A3A"/>
                <w:sz w:val="20"/>
                <w:szCs w:val="20"/>
              </w:rPr>
              <w:t xml:space="preserve">Day 1 – Orientation</w:t>
            </w:r>
          </w:p>
        </w:tc>
        <w:tc>
          <w:tcPr>
            <w:tcW w:type="dxa" w:w="5000"/>
            <w:tcBorders>
              <w:top w:val="single" w:color="D0D9E4" w:sz="1"/>
              <w:left w:val="single" w:color="D0D9E4" w:sz="1"/>
              <w:bottom w:val="single" w:color="D0D9E4" w:sz="1"/>
              <w:right w:val="single" w:color="D0D9E4" w:sz="1"/>
            </w:tcBorders>
            <w:shd w:fill="FFFFFF" w:val="clear"/>
            <w:tcMar>
              <w:top w:type="dxa" w:w="80"/>
              <w:left w:type="dxa" w:w="120"/>
              <w:bottom w:type="dxa" w:w="80"/>
              <w:right w:type="dxa" w:w="120"/>
            </w:tcMar>
          </w:tcPr>
          <w:p>
            <w:r>
              <w:rPr>
                <w:rFonts w:ascii="Arial" w:cs="Arial" w:eastAsia="Arial" w:hAnsi="Arial"/>
                <w:b w:val="false"/>
                <w:bCs w:val="false"/>
                <w:color w:val="1E2A3A"/>
                <w:sz w:val="20"/>
                <w:szCs w:val="20"/>
              </w:rPr>
              <w:t xml:space="preserve">Joining formalities, ID issuance, IT setup, welcome session</w:t>
            </w:r>
          </w:p>
        </w:tc>
        <w:tc>
          <w:tcPr>
            <w:tcW w:type="dxa" w:w="2360"/>
            <w:tcBorders>
              <w:top w:val="single" w:color="D0D9E4" w:sz="1"/>
              <w:left w:val="single" w:color="D0D9E4" w:sz="1"/>
              <w:bottom w:val="single" w:color="D0D9E4" w:sz="1"/>
              <w:right w:val="single" w:color="D0D9E4" w:sz="1"/>
            </w:tcBorders>
            <w:shd w:fill="FFFFFF" w:val="clear"/>
            <w:tcMar>
              <w:top w:type="dxa" w:w="80"/>
              <w:left w:type="dxa" w:w="120"/>
              <w:bottom w:type="dxa" w:w="80"/>
              <w:right w:type="dxa" w:w="120"/>
            </w:tcMar>
          </w:tcPr>
          <w:p>
            <w:r>
              <w:rPr>
                <w:rFonts w:ascii="Arial" w:cs="Arial" w:eastAsia="Arial" w:hAnsi="Arial"/>
                <w:b w:val="false"/>
                <w:bCs w:val="false"/>
                <w:color w:val="1E2A3A"/>
                <w:sz w:val="20"/>
                <w:szCs w:val="20"/>
              </w:rPr>
              <w:t xml:space="preserve">Day 1</w:t>
            </w:r>
          </w:p>
        </w:tc>
      </w:tr>
      <w:tr>
        <w:tc>
          <w:tcPr>
            <w:tcW w:type="dxa" w:w="2000"/>
            <w:tcBorders>
              <w:top w:val="single" w:color="D0D9E4" w:sz="1"/>
              <w:left w:val="single" w:color="D0D9E4" w:sz="1"/>
              <w:bottom w:val="single" w:color="D0D9E4" w:sz="1"/>
              <w:right w:val="single" w:color="D0D9E4" w:sz="1"/>
            </w:tcBorders>
            <w:shd w:fill="F2F5F9" w:val="clear"/>
            <w:tcMar>
              <w:top w:type="dxa" w:w="80"/>
              <w:left w:type="dxa" w:w="120"/>
              <w:bottom w:type="dxa" w:w="80"/>
              <w:right w:type="dxa" w:w="120"/>
            </w:tcMar>
          </w:tcPr>
          <w:p>
            <w:r>
              <w:rPr>
                <w:rFonts w:ascii="Arial" w:cs="Arial" w:eastAsia="Arial" w:hAnsi="Arial"/>
                <w:b w:val="false"/>
                <w:bCs w:val="false"/>
                <w:color w:val="1E2A3A"/>
                <w:sz w:val="20"/>
                <w:szCs w:val="20"/>
              </w:rPr>
              <w:t xml:space="preserve">Week 1</w:t>
            </w:r>
          </w:p>
        </w:tc>
        <w:tc>
          <w:tcPr>
            <w:tcW w:type="dxa" w:w="5000"/>
            <w:tcBorders>
              <w:top w:val="single" w:color="D0D9E4" w:sz="1"/>
              <w:left w:val="single" w:color="D0D9E4" w:sz="1"/>
              <w:bottom w:val="single" w:color="D0D9E4" w:sz="1"/>
              <w:right w:val="single" w:color="D0D9E4" w:sz="1"/>
            </w:tcBorders>
            <w:shd w:fill="FFFFFF" w:val="clear"/>
            <w:tcMar>
              <w:top w:type="dxa" w:w="80"/>
              <w:left w:type="dxa" w:w="120"/>
              <w:bottom w:type="dxa" w:w="80"/>
              <w:right w:type="dxa" w:w="120"/>
            </w:tcMar>
          </w:tcPr>
          <w:p>
            <w:r>
              <w:rPr>
                <w:rFonts w:ascii="Arial" w:cs="Arial" w:eastAsia="Arial" w:hAnsi="Arial"/>
                <w:b w:val="false"/>
                <w:bCs w:val="false"/>
                <w:color w:val="1E2A3A"/>
                <w:sz w:val="20"/>
                <w:szCs w:val="20"/>
              </w:rPr>
              <w:t xml:space="preserve">Team introductions, tool access, role briefings, buddy assignment</w:t>
            </w:r>
          </w:p>
        </w:tc>
        <w:tc>
          <w:tcPr>
            <w:tcW w:type="dxa" w:w="2360"/>
            <w:tcBorders>
              <w:top w:val="single" w:color="D0D9E4" w:sz="1"/>
              <w:left w:val="single" w:color="D0D9E4" w:sz="1"/>
              <w:bottom w:val="single" w:color="D0D9E4" w:sz="1"/>
              <w:right w:val="single" w:color="D0D9E4" w:sz="1"/>
            </w:tcBorders>
            <w:shd w:fill="FFFFFF" w:val="clear"/>
            <w:tcMar>
              <w:top w:type="dxa" w:w="80"/>
              <w:left w:type="dxa" w:w="120"/>
              <w:bottom w:type="dxa" w:w="80"/>
              <w:right w:type="dxa" w:w="120"/>
            </w:tcMar>
          </w:tcPr>
          <w:p>
            <w:r>
              <w:rPr>
                <w:rFonts w:ascii="Arial" w:cs="Arial" w:eastAsia="Arial" w:hAnsi="Arial"/>
                <w:b w:val="false"/>
                <w:bCs w:val="false"/>
                <w:color w:val="1E2A3A"/>
                <w:sz w:val="20"/>
                <w:szCs w:val="20"/>
              </w:rPr>
              <w:t xml:space="preserve">Days 2–5</w:t>
            </w:r>
          </w:p>
        </w:tc>
      </w:tr>
      <w:tr>
        <w:tc>
          <w:tcPr>
            <w:tcW w:type="dxa" w:w="2000"/>
            <w:tcBorders>
              <w:top w:val="single" w:color="D0D9E4" w:sz="1"/>
              <w:left w:val="single" w:color="D0D9E4" w:sz="1"/>
              <w:bottom w:val="single" w:color="D0D9E4" w:sz="1"/>
              <w:right w:val="single" w:color="D0D9E4" w:sz="1"/>
            </w:tcBorders>
            <w:shd w:fill="F2F5F9" w:val="clear"/>
            <w:tcMar>
              <w:top w:type="dxa" w:w="80"/>
              <w:left w:type="dxa" w:w="120"/>
              <w:bottom w:type="dxa" w:w="80"/>
              <w:right w:type="dxa" w:w="120"/>
            </w:tcMar>
          </w:tcPr>
          <w:p>
            <w:r>
              <w:rPr>
                <w:rFonts w:ascii="Arial" w:cs="Arial" w:eastAsia="Arial" w:hAnsi="Arial"/>
                <w:b w:val="false"/>
                <w:bCs w:val="false"/>
                <w:color w:val="1E2A3A"/>
                <w:sz w:val="20"/>
                <w:szCs w:val="20"/>
              </w:rPr>
              <w:t xml:space="preserve">Month 1</w:t>
            </w:r>
          </w:p>
        </w:tc>
        <w:tc>
          <w:tcPr>
            <w:tcW w:type="dxa" w:w="5000"/>
            <w:tcBorders>
              <w:top w:val="single" w:color="D0D9E4" w:sz="1"/>
              <w:left w:val="single" w:color="D0D9E4" w:sz="1"/>
              <w:bottom w:val="single" w:color="D0D9E4" w:sz="1"/>
              <w:right w:val="single" w:color="D0D9E4" w:sz="1"/>
            </w:tcBorders>
            <w:shd w:fill="FFFFFF" w:val="clear"/>
            <w:tcMar>
              <w:top w:type="dxa" w:w="80"/>
              <w:left w:type="dxa" w:w="120"/>
              <w:bottom w:type="dxa" w:w="80"/>
              <w:right w:type="dxa" w:w="120"/>
            </w:tcMar>
          </w:tcPr>
          <w:p>
            <w:r>
              <w:rPr>
                <w:rFonts w:ascii="Arial" w:cs="Arial" w:eastAsia="Arial" w:hAnsi="Arial"/>
                <w:b w:val="false"/>
                <w:bCs w:val="false"/>
                <w:color w:val="1E2A3A"/>
                <w:sz w:val="20"/>
                <w:szCs w:val="20"/>
              </w:rPr>
              <w:t xml:space="preserve">Role-specific training, goal setting, check-in meetings</w:t>
            </w:r>
          </w:p>
        </w:tc>
        <w:tc>
          <w:tcPr>
            <w:tcW w:type="dxa" w:w="2360"/>
            <w:tcBorders>
              <w:top w:val="single" w:color="D0D9E4" w:sz="1"/>
              <w:left w:val="single" w:color="D0D9E4" w:sz="1"/>
              <w:bottom w:val="single" w:color="D0D9E4" w:sz="1"/>
              <w:right w:val="single" w:color="D0D9E4" w:sz="1"/>
            </w:tcBorders>
            <w:shd w:fill="FFFFFF" w:val="clear"/>
            <w:tcMar>
              <w:top w:type="dxa" w:w="80"/>
              <w:left w:type="dxa" w:w="120"/>
              <w:bottom w:type="dxa" w:w="80"/>
              <w:right w:type="dxa" w:w="120"/>
            </w:tcMar>
          </w:tcPr>
          <w:p>
            <w:r>
              <w:rPr>
                <w:rFonts w:ascii="Arial" w:cs="Arial" w:eastAsia="Arial" w:hAnsi="Arial"/>
                <w:b w:val="false"/>
                <w:bCs w:val="false"/>
                <w:color w:val="1E2A3A"/>
                <w:sz w:val="20"/>
                <w:szCs w:val="20"/>
              </w:rPr>
              <w:t xml:space="preserve">Weeks 2–4</w:t>
            </w:r>
          </w:p>
        </w:tc>
      </w:tr>
      <w:tr>
        <w:tc>
          <w:tcPr>
            <w:tcW w:type="dxa" w:w="2000"/>
            <w:tcBorders>
              <w:top w:val="single" w:color="D0D9E4" w:sz="1"/>
              <w:left w:val="single" w:color="D0D9E4" w:sz="1"/>
              <w:bottom w:val="single" w:color="D0D9E4" w:sz="1"/>
              <w:right w:val="single" w:color="D0D9E4" w:sz="1"/>
            </w:tcBorders>
            <w:shd w:fill="F2F5F9" w:val="clear"/>
            <w:tcMar>
              <w:top w:type="dxa" w:w="80"/>
              <w:left w:type="dxa" w:w="120"/>
              <w:bottom w:type="dxa" w:w="80"/>
              <w:right w:type="dxa" w:w="120"/>
            </w:tcMar>
          </w:tcPr>
          <w:p>
            <w:r>
              <w:rPr>
                <w:rFonts w:ascii="Arial" w:cs="Arial" w:eastAsia="Arial" w:hAnsi="Arial"/>
                <w:b w:val="false"/>
                <w:bCs w:val="false"/>
                <w:color w:val="1E2A3A"/>
                <w:sz w:val="20"/>
                <w:szCs w:val="20"/>
              </w:rPr>
              <w:t xml:space="preserve">Month 2–3</w:t>
            </w:r>
          </w:p>
        </w:tc>
        <w:tc>
          <w:tcPr>
            <w:tcW w:type="dxa" w:w="5000"/>
            <w:tcBorders>
              <w:top w:val="single" w:color="D0D9E4" w:sz="1"/>
              <w:left w:val="single" w:color="D0D9E4" w:sz="1"/>
              <w:bottom w:val="single" w:color="D0D9E4" w:sz="1"/>
              <w:right w:val="single" w:color="D0D9E4" w:sz="1"/>
            </w:tcBorders>
            <w:shd w:fill="FFFFFF" w:val="clear"/>
            <w:tcMar>
              <w:top w:type="dxa" w:w="80"/>
              <w:left w:type="dxa" w:w="120"/>
              <w:bottom w:type="dxa" w:w="80"/>
              <w:right w:type="dxa" w:w="120"/>
            </w:tcMar>
          </w:tcPr>
          <w:p>
            <w:r>
              <w:rPr>
                <w:rFonts w:ascii="Arial" w:cs="Arial" w:eastAsia="Arial" w:hAnsi="Arial"/>
                <w:b w:val="false"/>
                <w:bCs w:val="false"/>
                <w:color w:val="1E2A3A"/>
                <w:sz w:val="20"/>
                <w:szCs w:val="20"/>
              </w:rPr>
              <w:t xml:space="preserve">Project immersion, skill development, mid-probation review</w:t>
            </w:r>
          </w:p>
        </w:tc>
        <w:tc>
          <w:tcPr>
            <w:tcW w:type="dxa" w:w="2360"/>
            <w:tcBorders>
              <w:top w:val="single" w:color="D0D9E4" w:sz="1"/>
              <w:left w:val="single" w:color="D0D9E4" w:sz="1"/>
              <w:bottom w:val="single" w:color="D0D9E4" w:sz="1"/>
              <w:right w:val="single" w:color="D0D9E4" w:sz="1"/>
            </w:tcBorders>
            <w:shd w:fill="FFFFFF" w:val="clear"/>
            <w:tcMar>
              <w:top w:type="dxa" w:w="80"/>
              <w:left w:type="dxa" w:w="120"/>
              <w:bottom w:type="dxa" w:w="80"/>
              <w:right w:type="dxa" w:w="120"/>
            </w:tcMar>
          </w:tcPr>
          <w:p>
            <w:r>
              <w:rPr>
                <w:rFonts w:ascii="Arial" w:cs="Arial" w:eastAsia="Arial" w:hAnsi="Arial"/>
                <w:b w:val="false"/>
                <w:bCs w:val="false"/>
                <w:color w:val="1E2A3A"/>
                <w:sz w:val="20"/>
                <w:szCs w:val="20"/>
              </w:rPr>
              <w:t xml:space="preserve">Weeks 5–12</w:t>
            </w:r>
          </w:p>
        </w:tc>
      </w:tr>
      <w:tr>
        <w:tc>
          <w:tcPr>
            <w:tcW w:type="dxa" w:w="2000"/>
            <w:tcBorders>
              <w:top w:val="single" w:color="D0D9E4" w:sz="1"/>
              <w:left w:val="single" w:color="D0D9E4" w:sz="1"/>
              <w:bottom w:val="single" w:color="D0D9E4" w:sz="1"/>
              <w:right w:val="single" w:color="D0D9E4" w:sz="1"/>
            </w:tcBorders>
            <w:shd w:fill="F2F5F9" w:val="clear"/>
            <w:tcMar>
              <w:top w:type="dxa" w:w="80"/>
              <w:left w:type="dxa" w:w="120"/>
              <w:bottom w:type="dxa" w:w="80"/>
              <w:right w:type="dxa" w:w="120"/>
            </w:tcMar>
          </w:tcPr>
          <w:p>
            <w:r>
              <w:rPr>
                <w:rFonts w:ascii="Arial" w:cs="Arial" w:eastAsia="Arial" w:hAnsi="Arial"/>
                <w:b w:val="false"/>
                <w:bCs w:val="false"/>
                <w:color w:val="1E2A3A"/>
                <w:sz w:val="20"/>
                <w:szCs w:val="20"/>
              </w:rPr>
              <w:t xml:space="preserve">End of Probation</w:t>
            </w:r>
          </w:p>
        </w:tc>
        <w:tc>
          <w:tcPr>
            <w:tcW w:type="dxa" w:w="5000"/>
            <w:tcBorders>
              <w:top w:val="single" w:color="D0D9E4" w:sz="1"/>
              <w:left w:val="single" w:color="D0D9E4" w:sz="1"/>
              <w:bottom w:val="single" w:color="D0D9E4" w:sz="1"/>
              <w:right w:val="single" w:color="D0D9E4" w:sz="1"/>
            </w:tcBorders>
            <w:shd w:fill="FFFFFF" w:val="clear"/>
            <w:tcMar>
              <w:top w:type="dxa" w:w="80"/>
              <w:left w:type="dxa" w:w="120"/>
              <w:bottom w:type="dxa" w:w="80"/>
              <w:right w:type="dxa" w:w="120"/>
            </w:tcMar>
          </w:tcPr>
          <w:p>
            <w:r>
              <w:rPr>
                <w:rFonts w:ascii="Arial" w:cs="Arial" w:eastAsia="Arial" w:hAnsi="Arial"/>
                <w:b w:val="false"/>
                <w:bCs w:val="false"/>
                <w:color w:val="1E2A3A"/>
                <w:sz w:val="20"/>
                <w:szCs w:val="20"/>
              </w:rPr>
              <w:t xml:space="preserve">Performance review, confirmation letter or extension notice</w:t>
            </w:r>
          </w:p>
        </w:tc>
        <w:tc>
          <w:tcPr>
            <w:tcW w:type="dxa" w:w="2360"/>
            <w:tcBorders>
              <w:top w:val="single" w:color="D0D9E4" w:sz="1"/>
              <w:left w:val="single" w:color="D0D9E4" w:sz="1"/>
              <w:bottom w:val="single" w:color="D0D9E4" w:sz="1"/>
              <w:right w:val="single" w:color="D0D9E4" w:sz="1"/>
            </w:tcBorders>
            <w:shd w:fill="FFFFFF" w:val="clear"/>
            <w:tcMar>
              <w:top w:type="dxa" w:w="80"/>
              <w:left w:type="dxa" w:w="120"/>
              <w:bottom w:type="dxa" w:w="80"/>
              <w:right w:type="dxa" w:w="120"/>
            </w:tcMar>
          </w:tcPr>
          <w:p>
            <w:r>
              <w:rPr>
                <w:rFonts w:ascii="Arial" w:cs="Arial" w:eastAsia="Arial" w:hAnsi="Arial"/>
                <w:b w:val="false"/>
                <w:bCs w:val="false"/>
                <w:color w:val="1E2A3A"/>
                <w:sz w:val="20"/>
                <w:szCs w:val="20"/>
              </w:rPr>
              <w:t xml:space="preserve">Day 90 (±15)</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9E4" w:sz="1"/>
              <w:left w:val="single" w:color="D0D9E4" w:sz="1"/>
              <w:bottom w:val="single" w:color="D0D9E4" w:sz="1"/>
              <w:right w:val="single" w:color="D0D9E4" w:sz="1"/>
            </w:tcBorders>
            <w:shd w:fill="E8F4F4" w:val="clear"/>
            <w:tcMar>
              <w:top w:type="dxa" w:w="120"/>
              <w:left w:type="dxa" w:w="200"/>
              <w:bottom w:type="dxa" w:w="120"/>
              <w:right w:type="dxa" w:w="200"/>
            </w:tcMar>
          </w:tcPr>
          <w:p>
            <w:pPr>
              <w:spacing w:after="40" w:before="40"/>
            </w:pPr>
            <w:r>
              <w:rPr>
                <w:rFonts w:ascii="Arial" w:cs="Arial" w:eastAsia="Arial" w:hAnsi="Arial"/>
                <w:b/>
                <w:bCs/>
                <w:color w:val="0E7E7E"/>
                <w:sz w:val="22"/>
                <w:szCs w:val="22"/>
              </w:rPr>
              <w:t xml:space="preserve">ℹ  Note: </w:t>
            </w:r>
            <w:r>
              <w:rPr>
                <w:rFonts w:ascii="Arial" w:cs="Arial" w:eastAsia="Arial" w:hAnsi="Arial"/>
                <w:color w:val="1E2A3A"/>
                <w:sz w:val="22"/>
                <w:szCs w:val="22"/>
              </w:rPr>
              <w:t xml:space="preserve">All timelines are indicative. Your HR Business Partner (HRBP) will confirm exact dates based on your joining date and role.</w:t>
            </w:r>
          </w:p>
        </w:tc>
      </w:tr>
    </w:tbl>
    <w:p>
      <w:pPr>
        <w:spacing w:after="120" w:before="0"/>
      </w:pPr>
    </w:p>
    <w:p>
      <w:r>
        <w:br w:type="page"/>
      </w:r>
    </w:p>
    <w:p>
      <w:pPr>
        <w:pStyle w:val="Heading1"/>
        <w:spacing w:after="160" w:before="320"/>
      </w:pPr>
      <w:r>
        <w:rPr>
          <w:rFonts w:ascii="Arial" w:cs="Arial" w:eastAsia="Arial" w:hAnsi="Arial"/>
          <w:b/>
          <w:bCs/>
          <w:color w:val="1B3A6B"/>
          <w:sz w:val="36"/>
          <w:szCs w:val="36"/>
        </w:rPr>
        <w:t xml:space="preserve">2. Pre-Joining Process</w:t>
      </w:r>
    </w:p>
    <w:p>
      <w:pPr>
        <w:pBdr>
          <w:bottom w:val="single" w:color="0E7E7E" w:sz="6" w:space="1"/>
        </w:pBdr>
        <w:spacing w:after="120" w:before="120"/>
      </w:pPr>
    </w:p>
    <w:p>
      <w:pPr>
        <w:spacing w:after="100" w:before="60"/>
      </w:pPr>
      <w:r>
        <w:rPr>
          <w:rFonts w:ascii="Arial" w:cs="Arial" w:eastAsia="Arial" w:hAnsi="Arial"/>
          <w:color w:val="1E2A3A"/>
          <w:sz w:val="22"/>
          <w:szCs w:val="22"/>
        </w:rPr>
        <w:t xml:space="preserve">The pre-joining phase begins the moment you accept your offer and continues until your first day at work. This period is crucial for completing formalities in a timely manner so that Day 1 is smooth and productive.</w:t>
      </w:r>
    </w:p>
    <w:p>
      <w:pPr>
        <w:spacing w:after="80" w:before="0"/>
      </w:pPr>
    </w:p>
    <w:p>
      <w:pPr>
        <w:pStyle w:val="Heading2"/>
        <w:spacing w:after="120" w:before="240"/>
      </w:pPr>
      <w:r>
        <w:rPr>
          <w:rFonts w:ascii="Arial" w:cs="Arial" w:eastAsia="Arial" w:hAnsi="Arial"/>
          <w:b/>
          <w:bCs/>
          <w:color w:val="0E7E7E"/>
          <w:sz w:val="26"/>
          <w:szCs w:val="26"/>
        </w:rPr>
        <w:t xml:space="preserve">2.1  Offer Acceptance</w:t>
      </w:r>
    </w:p>
    <w:p>
      <w:pPr>
        <w:spacing w:after="100" w:before="60"/>
      </w:pPr>
      <w:r>
        <w:rPr>
          <w:rFonts w:ascii="Arial" w:cs="Arial" w:eastAsia="Arial" w:hAnsi="Arial"/>
          <w:color w:val="1E2A3A"/>
          <w:sz w:val="22"/>
          <w:szCs w:val="22"/>
        </w:rPr>
        <w:t xml:space="preserve">Upon receiving your offer letter, you are required to:</w:t>
      </w:r>
    </w:p>
    <w:p>
      <w:pPr>
        <w:pStyle w:val="ListParagraph"/>
        <w:numPr>
          <w:ilvl w:val="0"/>
          <w:numId w:val="2"/>
        </w:numPr>
        <w:spacing w:after="60" w:before="40"/>
      </w:pPr>
      <w:r>
        <w:rPr>
          <w:rFonts w:ascii="Arial" w:cs="Arial" w:eastAsia="Arial" w:hAnsi="Arial"/>
          <w:color w:val="1E2A3A"/>
          <w:sz w:val="22"/>
          <w:szCs w:val="22"/>
        </w:rPr>
        <w:t xml:space="preserve">Review all terms including compensation, designation, reporting structure, and location.</w:t>
      </w:r>
    </w:p>
    <w:p>
      <w:pPr>
        <w:pStyle w:val="ListParagraph"/>
        <w:numPr>
          <w:ilvl w:val="0"/>
          <w:numId w:val="2"/>
        </w:numPr>
        <w:spacing w:after="60" w:before="40"/>
      </w:pPr>
      <w:r>
        <w:rPr>
          <w:rFonts w:ascii="Arial" w:cs="Arial" w:eastAsia="Arial" w:hAnsi="Arial"/>
          <w:color w:val="1E2A3A"/>
          <w:sz w:val="22"/>
          <w:szCs w:val="22"/>
        </w:rPr>
        <w:t xml:space="preserve">Sign and return the acceptance copy within 3 business days.</w:t>
      </w:r>
    </w:p>
    <w:p>
      <w:pPr>
        <w:pStyle w:val="ListParagraph"/>
        <w:numPr>
          <w:ilvl w:val="0"/>
          <w:numId w:val="2"/>
        </w:numPr>
        <w:spacing w:after="60" w:before="40"/>
      </w:pPr>
      <w:r>
        <w:rPr>
          <w:rFonts w:ascii="Arial" w:cs="Arial" w:eastAsia="Arial" w:hAnsi="Arial"/>
          <w:color w:val="1E2A3A"/>
          <w:sz w:val="22"/>
          <w:szCs w:val="22"/>
        </w:rPr>
        <w:t xml:space="preserve">Confirm your joining date in writing to your assigned HR contact.</w:t>
      </w:r>
    </w:p>
    <w:p>
      <w:pPr>
        <w:pStyle w:val="ListParagraph"/>
        <w:numPr>
          <w:ilvl w:val="0"/>
          <w:numId w:val="2"/>
        </w:numPr>
        <w:spacing w:after="60" w:before="40"/>
      </w:pPr>
      <w:r>
        <w:rPr>
          <w:rFonts w:ascii="Arial" w:cs="Arial" w:eastAsia="Arial" w:hAnsi="Arial"/>
          <w:color w:val="1E2A3A"/>
          <w:sz w:val="22"/>
          <w:szCs w:val="22"/>
        </w:rPr>
        <w:t xml:space="preserve">Withdraw any competing offers or employment discussions with other organizations.</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9E4" w:sz="1"/>
              <w:left w:val="single" w:color="D0D9E4" w:sz="1"/>
              <w:bottom w:val="single" w:color="D0D9E4" w:sz="1"/>
              <w:right w:val="single" w:color="D0D9E4" w:sz="1"/>
            </w:tcBorders>
            <w:shd w:fill="E8F4F4" w:val="clear"/>
            <w:tcMar>
              <w:top w:type="dxa" w:w="120"/>
              <w:left w:type="dxa" w:w="200"/>
              <w:bottom w:type="dxa" w:w="120"/>
              <w:right w:type="dxa" w:w="200"/>
            </w:tcMar>
          </w:tcPr>
          <w:p>
            <w:pPr>
              <w:spacing w:after="40" w:before="40"/>
            </w:pPr>
            <w:r>
              <w:rPr>
                <w:rFonts w:ascii="Arial" w:cs="Arial" w:eastAsia="Arial" w:hAnsi="Arial"/>
                <w:b/>
                <w:bCs/>
                <w:color w:val="0E7E7E"/>
                <w:sz w:val="22"/>
                <w:szCs w:val="22"/>
              </w:rPr>
              <w:t xml:space="preserve">📧  Acceptance Email: </w:t>
            </w:r>
            <w:r>
              <w:rPr>
                <w:rFonts w:ascii="Arial" w:cs="Arial" w:eastAsia="Arial" w:hAnsi="Arial"/>
                <w:color w:val="1E2A3A"/>
                <w:sz w:val="22"/>
                <w:szCs w:val="22"/>
              </w:rPr>
              <w:t xml:space="preserve">Send your signed offer to hr.joining@company.com with subject: OFFER ACCEPTANCE – [Your Full Name] – [Joining Date].</w:t>
            </w:r>
          </w:p>
        </w:tc>
      </w:tr>
    </w:tbl>
    <w:p>
      <w:pPr>
        <w:spacing w:after="100" w:before="0"/>
      </w:pPr>
    </w:p>
    <w:p>
      <w:pPr>
        <w:pStyle w:val="Heading2"/>
        <w:spacing w:after="120" w:before="240"/>
      </w:pPr>
      <w:r>
        <w:rPr>
          <w:rFonts w:ascii="Arial" w:cs="Arial" w:eastAsia="Arial" w:hAnsi="Arial"/>
          <w:b/>
          <w:bCs/>
          <w:color w:val="0E7E7E"/>
          <w:sz w:val="26"/>
          <w:szCs w:val="26"/>
        </w:rPr>
        <w:t xml:space="preserve">2.2  Pre-Joining Communication</w:t>
      </w:r>
    </w:p>
    <w:p>
      <w:pPr>
        <w:spacing w:after="100" w:before="60"/>
      </w:pPr>
      <w:r>
        <w:rPr>
          <w:rFonts w:ascii="Arial" w:cs="Arial" w:eastAsia="Arial" w:hAnsi="Arial"/>
          <w:color w:val="1E2A3A"/>
          <w:sz w:val="22"/>
          <w:szCs w:val="22"/>
        </w:rPr>
        <w:t xml:space="preserve">HR will send you a structured pre-joining welcome email containing:</w:t>
      </w:r>
    </w:p>
    <w:p>
      <w:pPr>
        <w:pStyle w:val="ListParagraph"/>
        <w:numPr>
          <w:ilvl w:val="0"/>
          <w:numId w:val="2"/>
        </w:numPr>
        <w:spacing w:after="60" w:before="40"/>
      </w:pPr>
      <w:r>
        <w:rPr>
          <w:rFonts w:ascii="Arial" w:cs="Arial" w:eastAsia="Arial" w:hAnsi="Arial"/>
          <w:color w:val="1E2A3A"/>
          <w:sz w:val="22"/>
          <w:szCs w:val="22"/>
        </w:rPr>
        <w:t xml:space="preserve">Joining instructions and location details.</w:t>
      </w:r>
    </w:p>
    <w:p>
      <w:pPr>
        <w:pStyle w:val="ListParagraph"/>
        <w:numPr>
          <w:ilvl w:val="0"/>
          <w:numId w:val="2"/>
        </w:numPr>
        <w:spacing w:after="60" w:before="40"/>
      </w:pPr>
      <w:r>
        <w:rPr>
          <w:rFonts w:ascii="Arial" w:cs="Arial" w:eastAsia="Arial" w:hAnsi="Arial"/>
          <w:color w:val="1E2A3A"/>
          <w:sz w:val="22"/>
          <w:szCs w:val="22"/>
        </w:rPr>
        <w:t xml:space="preserve">Document checklist (see Section 3).</w:t>
      </w:r>
    </w:p>
    <w:p>
      <w:pPr>
        <w:pStyle w:val="ListParagraph"/>
        <w:numPr>
          <w:ilvl w:val="0"/>
          <w:numId w:val="2"/>
        </w:numPr>
        <w:spacing w:after="60" w:before="40"/>
      </w:pPr>
      <w:r>
        <w:rPr>
          <w:rFonts w:ascii="Arial" w:cs="Arial" w:eastAsia="Arial" w:hAnsi="Arial"/>
          <w:color w:val="1E2A3A"/>
          <w:sz w:val="22"/>
          <w:szCs w:val="22"/>
        </w:rPr>
        <w:t xml:space="preserve">Link to the employee self-service portal for uploading documents.</w:t>
      </w:r>
    </w:p>
    <w:p>
      <w:pPr>
        <w:pStyle w:val="ListParagraph"/>
        <w:numPr>
          <w:ilvl w:val="0"/>
          <w:numId w:val="2"/>
        </w:numPr>
        <w:spacing w:after="60" w:before="40"/>
      </w:pPr>
      <w:r>
        <w:rPr>
          <w:rFonts w:ascii="Arial" w:cs="Arial" w:eastAsia="Arial" w:hAnsi="Arial"/>
          <w:color w:val="1E2A3A"/>
          <w:sz w:val="22"/>
          <w:szCs w:val="22"/>
        </w:rPr>
        <w:t xml:space="preserve">Details of your assigned HR buddy and IT contact.</w:t>
      </w:r>
    </w:p>
    <w:p>
      <w:pPr>
        <w:pStyle w:val="ListParagraph"/>
        <w:numPr>
          <w:ilvl w:val="0"/>
          <w:numId w:val="2"/>
        </w:numPr>
        <w:spacing w:after="60" w:before="40"/>
      </w:pPr>
      <w:r>
        <w:rPr>
          <w:rFonts w:ascii="Arial" w:cs="Arial" w:eastAsia="Arial" w:hAnsi="Arial"/>
          <w:color w:val="1E2A3A"/>
          <w:sz w:val="22"/>
          <w:szCs w:val="22"/>
        </w:rPr>
        <w:t xml:space="preserve">Links to complete background verification forms (see Section 4).</w:t>
      </w:r>
    </w:p>
    <w:p>
      <w:pPr>
        <w:spacing w:after="100" w:before="0"/>
      </w:pPr>
    </w:p>
    <w:p>
      <w:pPr>
        <w:pStyle w:val="Heading2"/>
        <w:spacing w:after="120" w:before="240"/>
      </w:pPr>
      <w:r>
        <w:rPr>
          <w:rFonts w:ascii="Arial" w:cs="Arial" w:eastAsia="Arial" w:hAnsi="Arial"/>
          <w:b/>
          <w:bCs/>
          <w:color w:val="0E7E7E"/>
          <w:sz w:val="26"/>
          <w:szCs w:val="26"/>
        </w:rPr>
        <w:t xml:space="preserve">2.3  Pre-Joining Activities Checklist</w:t>
      </w:r>
    </w:p>
    <w:p>
      <w:pPr>
        <w:spacing w:after="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0D9E4" w:sz="1"/>
              <w:left w:val="single" w:color="D0D9E4" w:sz="1"/>
              <w:bottom w:val="single" w:color="D0D9E4" w:sz="1"/>
              <w:right w:val="single" w:color="D0D9E4" w:sz="1"/>
            </w:tcBorders>
            <w:shd w:fill="1B3A6B" w:val="clear"/>
            <w:tcMar>
              <w:top w:type="dxa" w:w="80"/>
              <w:left w:type="dxa" w:w="120"/>
              <w:bottom w:type="dxa" w:w="80"/>
              <w:right w:type="dxa" w:w="120"/>
            </w:tcMar>
            <w:vAlign w:val="center"/>
          </w:tcPr>
          <w:p>
            <w:r>
              <w:rPr>
                <w:rFonts w:ascii="Arial" w:cs="Arial" w:eastAsia="Arial" w:hAnsi="Arial"/>
                <w:b/>
                <w:bCs/>
                <w:color w:val="FFFFFF"/>
                <w:sz w:val="20"/>
                <w:szCs w:val="20"/>
              </w:rPr>
              <w:t xml:space="preserve">Task</w:t>
            </w:r>
          </w:p>
        </w:tc>
        <w:tc>
          <w:tcPr>
            <w:tcW w:type="dxa" w:w="6160"/>
            <w:tcBorders>
              <w:top w:val="single" w:color="D0D9E4" w:sz="1"/>
              <w:left w:val="single" w:color="D0D9E4" w:sz="1"/>
              <w:bottom w:val="single" w:color="D0D9E4" w:sz="1"/>
              <w:right w:val="single" w:color="D0D9E4" w:sz="1"/>
            </w:tcBorders>
            <w:shd w:fill="1B3A6B" w:val="clear"/>
            <w:tcMar>
              <w:top w:type="dxa" w:w="80"/>
              <w:left w:type="dxa" w:w="120"/>
              <w:bottom w:type="dxa" w:w="80"/>
              <w:right w:type="dxa" w:w="120"/>
            </w:tcMar>
          </w:tcPr>
          <w:p>
            <w:r>
              <w:rPr>
                <w:rFonts w:ascii="Arial" w:cs="Arial" w:eastAsia="Arial" w:hAnsi="Arial"/>
                <w:color w:val="FFFFFF"/>
                <w:sz w:val="20"/>
                <w:szCs w:val="20"/>
              </w:rPr>
              <w:t xml:space="preserve">Deadline</w:t>
            </w:r>
          </w:p>
        </w:tc>
      </w:tr>
      <w:tr>
        <w:tc>
          <w:tcPr>
            <w:tcW w:type="dxa" w:w="3200"/>
            <w:tcBorders>
              <w:top w:val="single" w:color="D0D9E4" w:sz="1"/>
              <w:left w:val="single" w:color="D0D9E4" w:sz="1"/>
              <w:bottom w:val="single" w:color="D0D9E4" w:sz="1"/>
              <w:right w:val="single" w:color="D0D9E4" w:sz="1"/>
            </w:tcBorders>
            <w:shd w:fill="F2F5F9" w:val="clear"/>
            <w:tcMar>
              <w:top w:type="dxa" w:w="80"/>
              <w:left w:type="dxa" w:w="120"/>
              <w:bottom w:type="dxa" w:w="80"/>
              <w:right w:type="dxa" w:w="120"/>
            </w:tcMar>
            <w:vAlign w:val="center"/>
          </w:tcPr>
          <w:p>
            <w:r>
              <w:rPr>
                <w:rFonts w:ascii="Arial" w:cs="Arial" w:eastAsia="Arial" w:hAnsi="Arial"/>
                <w:b w:val="false"/>
                <w:bCs w:val="false"/>
                <w:color w:val="1B3A6B"/>
                <w:sz w:val="20"/>
                <w:szCs w:val="20"/>
              </w:rPr>
              <w:t xml:space="preserve">Sign and return offer letter</w:t>
            </w:r>
          </w:p>
        </w:tc>
        <w:tc>
          <w:tcPr>
            <w:tcW w:type="dxa" w:w="6160"/>
            <w:tcBorders>
              <w:top w:val="single" w:color="D0D9E4" w:sz="1"/>
              <w:left w:val="single" w:color="D0D9E4" w:sz="1"/>
              <w:bottom w:val="single" w:color="D0D9E4" w:sz="1"/>
              <w:right w:val="single" w:color="D0D9E4" w:sz="1"/>
            </w:tcBorders>
            <w:shd w:fill="FFFFFF" w:val="clear"/>
            <w:tcMar>
              <w:top w:type="dxa" w:w="80"/>
              <w:left w:type="dxa" w:w="120"/>
              <w:bottom w:type="dxa" w:w="80"/>
              <w:right w:type="dxa" w:w="120"/>
            </w:tcMar>
          </w:tcPr>
          <w:p>
            <w:r>
              <w:rPr>
                <w:rFonts w:ascii="Arial" w:cs="Arial" w:eastAsia="Arial" w:hAnsi="Arial"/>
                <w:color w:val="1E2A3A"/>
                <w:sz w:val="20"/>
                <w:szCs w:val="20"/>
              </w:rPr>
              <w:t xml:space="preserve">Within 3 days of receipt</w:t>
            </w:r>
          </w:p>
        </w:tc>
      </w:tr>
      <w:tr>
        <w:tc>
          <w:tcPr>
            <w:tcW w:type="dxa" w:w="3200"/>
            <w:tcBorders>
              <w:top w:val="single" w:color="D0D9E4" w:sz="1"/>
              <w:left w:val="single" w:color="D0D9E4" w:sz="1"/>
              <w:bottom w:val="single" w:color="D0D9E4" w:sz="1"/>
              <w:right w:val="single" w:color="D0D9E4" w:sz="1"/>
            </w:tcBorders>
            <w:shd w:fill="F2F5F9" w:val="clear"/>
            <w:tcMar>
              <w:top w:type="dxa" w:w="80"/>
              <w:left w:type="dxa" w:w="120"/>
              <w:bottom w:type="dxa" w:w="80"/>
              <w:right w:type="dxa" w:w="120"/>
            </w:tcMar>
            <w:vAlign w:val="center"/>
          </w:tcPr>
          <w:p>
            <w:r>
              <w:rPr>
                <w:rFonts w:ascii="Arial" w:cs="Arial" w:eastAsia="Arial" w:hAnsi="Arial"/>
                <w:b w:val="false"/>
                <w:bCs w:val="false"/>
                <w:color w:val="1B3A6B"/>
                <w:sz w:val="20"/>
                <w:szCs w:val="20"/>
              </w:rPr>
              <w:t xml:space="preserve">Upload all documents to HR portal</w:t>
            </w:r>
          </w:p>
        </w:tc>
        <w:tc>
          <w:tcPr>
            <w:tcW w:type="dxa" w:w="6160"/>
            <w:tcBorders>
              <w:top w:val="single" w:color="D0D9E4" w:sz="1"/>
              <w:left w:val="single" w:color="D0D9E4" w:sz="1"/>
              <w:bottom w:val="single" w:color="D0D9E4" w:sz="1"/>
              <w:right w:val="single" w:color="D0D9E4" w:sz="1"/>
            </w:tcBorders>
            <w:shd w:fill="FFFFFF" w:val="clear"/>
            <w:tcMar>
              <w:top w:type="dxa" w:w="80"/>
              <w:left w:type="dxa" w:w="120"/>
              <w:bottom w:type="dxa" w:w="80"/>
              <w:right w:type="dxa" w:w="120"/>
            </w:tcMar>
          </w:tcPr>
          <w:p>
            <w:r>
              <w:rPr>
                <w:rFonts w:ascii="Arial" w:cs="Arial" w:eastAsia="Arial" w:hAnsi="Arial"/>
                <w:color w:val="1E2A3A"/>
                <w:sz w:val="20"/>
                <w:szCs w:val="20"/>
              </w:rPr>
              <w:t xml:space="preserve">10 days before joining</w:t>
            </w:r>
          </w:p>
        </w:tc>
      </w:tr>
      <w:tr>
        <w:tc>
          <w:tcPr>
            <w:tcW w:type="dxa" w:w="3200"/>
            <w:tcBorders>
              <w:top w:val="single" w:color="D0D9E4" w:sz="1"/>
              <w:left w:val="single" w:color="D0D9E4" w:sz="1"/>
              <w:bottom w:val="single" w:color="D0D9E4" w:sz="1"/>
              <w:right w:val="single" w:color="D0D9E4" w:sz="1"/>
            </w:tcBorders>
            <w:shd w:fill="F2F5F9" w:val="clear"/>
            <w:tcMar>
              <w:top w:type="dxa" w:w="80"/>
              <w:left w:type="dxa" w:w="120"/>
              <w:bottom w:type="dxa" w:w="80"/>
              <w:right w:type="dxa" w:w="120"/>
            </w:tcMar>
            <w:vAlign w:val="center"/>
          </w:tcPr>
          <w:p>
            <w:r>
              <w:rPr>
                <w:rFonts w:ascii="Arial" w:cs="Arial" w:eastAsia="Arial" w:hAnsi="Arial"/>
                <w:b w:val="false"/>
                <w:bCs w:val="false"/>
                <w:color w:val="1B3A6B"/>
                <w:sz w:val="20"/>
                <w:szCs w:val="20"/>
              </w:rPr>
              <w:t xml:space="preserve">Complete background verification form</w:t>
            </w:r>
          </w:p>
        </w:tc>
        <w:tc>
          <w:tcPr>
            <w:tcW w:type="dxa" w:w="6160"/>
            <w:tcBorders>
              <w:top w:val="single" w:color="D0D9E4" w:sz="1"/>
              <w:left w:val="single" w:color="D0D9E4" w:sz="1"/>
              <w:bottom w:val="single" w:color="D0D9E4" w:sz="1"/>
              <w:right w:val="single" w:color="D0D9E4" w:sz="1"/>
            </w:tcBorders>
            <w:shd w:fill="FFFFFF" w:val="clear"/>
            <w:tcMar>
              <w:top w:type="dxa" w:w="80"/>
              <w:left w:type="dxa" w:w="120"/>
              <w:bottom w:type="dxa" w:w="80"/>
              <w:right w:type="dxa" w:w="120"/>
            </w:tcMar>
          </w:tcPr>
          <w:p>
            <w:r>
              <w:rPr>
                <w:rFonts w:ascii="Arial" w:cs="Arial" w:eastAsia="Arial" w:hAnsi="Arial"/>
                <w:color w:val="1E2A3A"/>
                <w:sz w:val="20"/>
                <w:szCs w:val="20"/>
              </w:rPr>
              <w:t xml:space="preserve">10 days before joining</w:t>
            </w:r>
          </w:p>
        </w:tc>
      </w:tr>
      <w:tr>
        <w:tc>
          <w:tcPr>
            <w:tcW w:type="dxa" w:w="3200"/>
            <w:tcBorders>
              <w:top w:val="single" w:color="D0D9E4" w:sz="1"/>
              <w:left w:val="single" w:color="D0D9E4" w:sz="1"/>
              <w:bottom w:val="single" w:color="D0D9E4" w:sz="1"/>
              <w:right w:val="single" w:color="D0D9E4" w:sz="1"/>
            </w:tcBorders>
            <w:shd w:fill="F2F5F9" w:val="clear"/>
            <w:tcMar>
              <w:top w:type="dxa" w:w="80"/>
              <w:left w:type="dxa" w:w="120"/>
              <w:bottom w:type="dxa" w:w="80"/>
              <w:right w:type="dxa" w:w="120"/>
            </w:tcMar>
            <w:vAlign w:val="center"/>
          </w:tcPr>
          <w:p>
            <w:r>
              <w:rPr>
                <w:rFonts w:ascii="Arial" w:cs="Arial" w:eastAsia="Arial" w:hAnsi="Arial"/>
                <w:b w:val="false"/>
                <w:bCs w:val="false"/>
                <w:color w:val="1B3A6B"/>
                <w:sz w:val="20"/>
                <w:szCs w:val="20"/>
              </w:rPr>
              <w:t xml:space="preserve">Confirm bank account details for payroll</w:t>
            </w:r>
          </w:p>
        </w:tc>
        <w:tc>
          <w:tcPr>
            <w:tcW w:type="dxa" w:w="6160"/>
            <w:tcBorders>
              <w:top w:val="single" w:color="D0D9E4" w:sz="1"/>
              <w:left w:val="single" w:color="D0D9E4" w:sz="1"/>
              <w:bottom w:val="single" w:color="D0D9E4" w:sz="1"/>
              <w:right w:val="single" w:color="D0D9E4" w:sz="1"/>
            </w:tcBorders>
            <w:shd w:fill="FFFFFF" w:val="clear"/>
            <w:tcMar>
              <w:top w:type="dxa" w:w="80"/>
              <w:left w:type="dxa" w:w="120"/>
              <w:bottom w:type="dxa" w:w="80"/>
              <w:right w:type="dxa" w:w="120"/>
            </w:tcMar>
          </w:tcPr>
          <w:p>
            <w:r>
              <w:rPr>
                <w:rFonts w:ascii="Arial" w:cs="Arial" w:eastAsia="Arial" w:hAnsi="Arial"/>
                <w:color w:val="1E2A3A"/>
                <w:sz w:val="20"/>
                <w:szCs w:val="20"/>
              </w:rPr>
              <w:t xml:space="preserve">7 days before joining</w:t>
            </w:r>
          </w:p>
        </w:tc>
      </w:tr>
      <w:tr>
        <w:tc>
          <w:tcPr>
            <w:tcW w:type="dxa" w:w="3200"/>
            <w:tcBorders>
              <w:top w:val="single" w:color="D0D9E4" w:sz="1"/>
              <w:left w:val="single" w:color="D0D9E4" w:sz="1"/>
              <w:bottom w:val="single" w:color="D0D9E4" w:sz="1"/>
              <w:right w:val="single" w:color="D0D9E4" w:sz="1"/>
            </w:tcBorders>
            <w:shd w:fill="F2F5F9" w:val="clear"/>
            <w:tcMar>
              <w:top w:type="dxa" w:w="80"/>
              <w:left w:type="dxa" w:w="120"/>
              <w:bottom w:type="dxa" w:w="80"/>
              <w:right w:type="dxa" w:w="120"/>
            </w:tcMar>
            <w:vAlign w:val="center"/>
          </w:tcPr>
          <w:p>
            <w:r>
              <w:rPr>
                <w:rFonts w:ascii="Arial" w:cs="Arial" w:eastAsia="Arial" w:hAnsi="Arial"/>
                <w:b w:val="false"/>
                <w:bCs w:val="false"/>
                <w:color w:val="1B3A6B"/>
                <w:sz w:val="20"/>
                <w:szCs w:val="20"/>
              </w:rPr>
              <w:t xml:space="preserve">Complete online pre-joining form (HRMS)</w:t>
            </w:r>
          </w:p>
        </w:tc>
        <w:tc>
          <w:tcPr>
            <w:tcW w:type="dxa" w:w="6160"/>
            <w:tcBorders>
              <w:top w:val="single" w:color="D0D9E4" w:sz="1"/>
              <w:left w:val="single" w:color="D0D9E4" w:sz="1"/>
              <w:bottom w:val="single" w:color="D0D9E4" w:sz="1"/>
              <w:right w:val="single" w:color="D0D9E4" w:sz="1"/>
            </w:tcBorders>
            <w:shd w:fill="FFFFFF" w:val="clear"/>
            <w:tcMar>
              <w:top w:type="dxa" w:w="80"/>
              <w:left w:type="dxa" w:w="120"/>
              <w:bottom w:type="dxa" w:w="80"/>
              <w:right w:type="dxa" w:w="120"/>
            </w:tcMar>
          </w:tcPr>
          <w:p>
            <w:r>
              <w:rPr>
                <w:rFonts w:ascii="Arial" w:cs="Arial" w:eastAsia="Arial" w:hAnsi="Arial"/>
                <w:color w:val="1E2A3A"/>
                <w:sz w:val="20"/>
                <w:szCs w:val="20"/>
              </w:rPr>
              <w:t xml:space="preserve">5 days before joining</w:t>
            </w:r>
          </w:p>
        </w:tc>
      </w:tr>
      <w:tr>
        <w:tc>
          <w:tcPr>
            <w:tcW w:type="dxa" w:w="3200"/>
            <w:tcBorders>
              <w:top w:val="single" w:color="D0D9E4" w:sz="1"/>
              <w:left w:val="single" w:color="D0D9E4" w:sz="1"/>
              <w:bottom w:val="single" w:color="D0D9E4" w:sz="1"/>
              <w:right w:val="single" w:color="D0D9E4" w:sz="1"/>
            </w:tcBorders>
            <w:shd w:fill="F2F5F9" w:val="clear"/>
            <w:tcMar>
              <w:top w:type="dxa" w:w="80"/>
              <w:left w:type="dxa" w:w="120"/>
              <w:bottom w:type="dxa" w:w="80"/>
              <w:right w:type="dxa" w:w="120"/>
            </w:tcMar>
            <w:vAlign w:val="center"/>
          </w:tcPr>
          <w:p>
            <w:r>
              <w:rPr>
                <w:rFonts w:ascii="Arial" w:cs="Arial" w:eastAsia="Arial" w:hAnsi="Arial"/>
                <w:b w:val="false"/>
                <w:bCs w:val="false"/>
                <w:color w:val="1B3A6B"/>
                <w:sz w:val="20"/>
                <w:szCs w:val="20"/>
              </w:rPr>
              <w:t xml:space="preserve">Review and sign the Code of Conduct</w:t>
            </w:r>
          </w:p>
        </w:tc>
        <w:tc>
          <w:tcPr>
            <w:tcW w:type="dxa" w:w="6160"/>
            <w:tcBorders>
              <w:top w:val="single" w:color="D0D9E4" w:sz="1"/>
              <w:left w:val="single" w:color="D0D9E4" w:sz="1"/>
              <w:bottom w:val="single" w:color="D0D9E4" w:sz="1"/>
              <w:right w:val="single" w:color="D0D9E4" w:sz="1"/>
            </w:tcBorders>
            <w:shd w:fill="FFFFFF" w:val="clear"/>
            <w:tcMar>
              <w:top w:type="dxa" w:w="80"/>
              <w:left w:type="dxa" w:w="120"/>
              <w:bottom w:type="dxa" w:w="80"/>
              <w:right w:type="dxa" w:w="120"/>
            </w:tcMar>
          </w:tcPr>
          <w:p>
            <w:r>
              <w:rPr>
                <w:rFonts w:ascii="Arial" w:cs="Arial" w:eastAsia="Arial" w:hAnsi="Arial"/>
                <w:color w:val="1E2A3A"/>
                <w:sz w:val="20"/>
                <w:szCs w:val="20"/>
              </w:rPr>
              <w:t xml:space="preserve">Before Day 1</w:t>
            </w:r>
          </w:p>
        </w:tc>
      </w:tr>
      <w:tr>
        <w:tc>
          <w:tcPr>
            <w:tcW w:type="dxa" w:w="3200"/>
            <w:tcBorders>
              <w:top w:val="single" w:color="D0D9E4" w:sz="1"/>
              <w:left w:val="single" w:color="D0D9E4" w:sz="1"/>
              <w:bottom w:val="single" w:color="D0D9E4" w:sz="1"/>
              <w:right w:val="single" w:color="D0D9E4" w:sz="1"/>
            </w:tcBorders>
            <w:shd w:fill="F2F5F9" w:val="clear"/>
            <w:tcMar>
              <w:top w:type="dxa" w:w="80"/>
              <w:left w:type="dxa" w:w="120"/>
              <w:bottom w:type="dxa" w:w="80"/>
              <w:right w:type="dxa" w:w="120"/>
            </w:tcMar>
            <w:vAlign w:val="center"/>
          </w:tcPr>
          <w:p>
            <w:r>
              <w:rPr>
                <w:rFonts w:ascii="Arial" w:cs="Arial" w:eastAsia="Arial" w:hAnsi="Arial"/>
                <w:b w:val="false"/>
                <w:bCs w:val="false"/>
                <w:color w:val="1B3A6B"/>
                <w:sz w:val="20"/>
                <w:szCs w:val="20"/>
              </w:rPr>
              <w:t xml:space="preserve">Confirm IT asset requirements with HR</w:t>
            </w:r>
          </w:p>
        </w:tc>
        <w:tc>
          <w:tcPr>
            <w:tcW w:type="dxa" w:w="6160"/>
            <w:tcBorders>
              <w:top w:val="single" w:color="D0D9E4" w:sz="1"/>
              <w:left w:val="single" w:color="D0D9E4" w:sz="1"/>
              <w:bottom w:val="single" w:color="D0D9E4" w:sz="1"/>
              <w:right w:val="single" w:color="D0D9E4" w:sz="1"/>
            </w:tcBorders>
            <w:shd w:fill="FFFFFF" w:val="clear"/>
            <w:tcMar>
              <w:top w:type="dxa" w:w="80"/>
              <w:left w:type="dxa" w:w="120"/>
              <w:bottom w:type="dxa" w:w="80"/>
              <w:right w:type="dxa" w:w="120"/>
            </w:tcMar>
          </w:tcPr>
          <w:p>
            <w:r>
              <w:rPr>
                <w:rFonts w:ascii="Arial" w:cs="Arial" w:eastAsia="Arial" w:hAnsi="Arial"/>
                <w:color w:val="1E2A3A"/>
                <w:sz w:val="20"/>
                <w:szCs w:val="20"/>
              </w:rPr>
              <w:t xml:space="preserve">5 days before joining</w:t>
            </w:r>
          </w:p>
        </w:tc>
      </w:tr>
    </w:tbl>
    <w:p>
      <w:pPr>
        <w:spacing w:after="120" w:before="0"/>
      </w:pPr>
    </w:p>
    <w:p>
      <w:r>
        <w:br w:type="page"/>
      </w:r>
    </w:p>
    <w:p>
      <w:pPr>
        <w:pStyle w:val="Heading1"/>
        <w:spacing w:after="160" w:before="320"/>
      </w:pPr>
      <w:r>
        <w:rPr>
          <w:rFonts w:ascii="Arial" w:cs="Arial" w:eastAsia="Arial" w:hAnsi="Arial"/>
          <w:b/>
          <w:bCs/>
          <w:color w:val="1B3A6B"/>
          <w:sz w:val="36"/>
          <w:szCs w:val="36"/>
        </w:rPr>
        <w:t xml:space="preserve">3. Documentation Checklist</w:t>
      </w:r>
    </w:p>
    <w:p>
      <w:pPr>
        <w:pBdr>
          <w:bottom w:val="single" w:color="0E7E7E" w:sz="6" w:space="1"/>
        </w:pBdr>
        <w:spacing w:after="120" w:before="120"/>
      </w:pPr>
    </w:p>
    <w:p>
      <w:pPr>
        <w:spacing w:after="100" w:before="60"/>
      </w:pPr>
      <w:r>
        <w:rPr>
          <w:rFonts w:ascii="Arial" w:cs="Arial" w:eastAsia="Arial" w:hAnsi="Arial"/>
          <w:color w:val="1E2A3A"/>
          <w:sz w:val="22"/>
          <w:szCs w:val="22"/>
        </w:rPr>
        <w:t xml:space="preserve">All documents must be submitted in self-attested originals and photocopies unless specified otherwise. Digital uploads via the HR portal are preferred. Physical copies should be submitted on Day 1.</w:t>
      </w:r>
    </w:p>
    <w:p>
      <w:pPr>
        <w:spacing w:after="80" w:before="0"/>
      </w:pPr>
    </w:p>
    <w:p>
      <w:pPr>
        <w:pStyle w:val="Heading2"/>
        <w:spacing w:after="120" w:before="240"/>
      </w:pPr>
      <w:r>
        <w:rPr>
          <w:rFonts w:ascii="Arial" w:cs="Arial" w:eastAsia="Arial" w:hAnsi="Arial"/>
          <w:b/>
          <w:bCs/>
          <w:color w:val="0E7E7E"/>
          <w:sz w:val="26"/>
          <w:szCs w:val="26"/>
        </w:rPr>
        <w:t xml:space="preserve">3.1  Identity &amp; Address Proof</w:t>
      </w:r>
    </w:p>
    <w:p>
      <w:pPr>
        <w:pStyle w:val="ListParagraph"/>
        <w:numPr>
          <w:ilvl w:val="0"/>
          <w:numId w:val="2"/>
        </w:numPr>
        <w:spacing w:after="60" w:before="40"/>
      </w:pPr>
      <w:r>
        <w:rPr>
          <w:rFonts w:ascii="Arial" w:cs="Arial" w:eastAsia="Arial" w:hAnsi="Arial"/>
          <w:color w:val="1E2A3A"/>
          <w:sz w:val="22"/>
          <w:szCs w:val="22"/>
        </w:rPr>
        <w:t xml:space="preserve">Aadhaar Card (mandatory for all employees)</w:t>
      </w:r>
    </w:p>
    <w:p>
      <w:pPr>
        <w:pStyle w:val="ListParagraph"/>
        <w:numPr>
          <w:ilvl w:val="0"/>
          <w:numId w:val="2"/>
        </w:numPr>
        <w:spacing w:after="60" w:before="40"/>
      </w:pPr>
      <w:r>
        <w:rPr>
          <w:rFonts w:ascii="Arial" w:cs="Arial" w:eastAsia="Arial" w:hAnsi="Arial"/>
          <w:color w:val="1E2A3A"/>
          <w:sz w:val="22"/>
          <w:szCs w:val="22"/>
        </w:rPr>
        <w:t xml:space="preserve">PAN Card (mandatory for payroll processing)</w:t>
      </w:r>
    </w:p>
    <w:p>
      <w:pPr>
        <w:pStyle w:val="ListParagraph"/>
        <w:numPr>
          <w:ilvl w:val="0"/>
          <w:numId w:val="2"/>
        </w:numPr>
        <w:spacing w:after="60" w:before="40"/>
      </w:pPr>
      <w:r>
        <w:rPr>
          <w:rFonts w:ascii="Arial" w:cs="Arial" w:eastAsia="Arial" w:hAnsi="Arial"/>
          <w:color w:val="1E2A3A"/>
          <w:sz w:val="22"/>
          <w:szCs w:val="22"/>
        </w:rPr>
        <w:t xml:space="preserve">Passport (if applicable — mandatory for international travel roles)</w:t>
      </w:r>
    </w:p>
    <w:p>
      <w:pPr>
        <w:pStyle w:val="ListParagraph"/>
        <w:numPr>
          <w:ilvl w:val="0"/>
          <w:numId w:val="2"/>
        </w:numPr>
        <w:spacing w:after="60" w:before="40"/>
      </w:pPr>
      <w:r>
        <w:rPr>
          <w:rFonts w:ascii="Arial" w:cs="Arial" w:eastAsia="Arial" w:hAnsi="Arial"/>
          <w:color w:val="1E2A3A"/>
          <w:sz w:val="22"/>
          <w:szCs w:val="22"/>
        </w:rPr>
        <w:t xml:space="preserve">Voter ID or Driving Licence (as secondary address proof)</w:t>
      </w:r>
    </w:p>
    <w:p>
      <w:pPr>
        <w:spacing w:after="60" w:before="0"/>
      </w:pPr>
    </w:p>
    <w:p>
      <w:pPr>
        <w:pStyle w:val="Heading2"/>
        <w:spacing w:after="120" w:before="240"/>
      </w:pPr>
      <w:r>
        <w:rPr>
          <w:rFonts w:ascii="Arial" w:cs="Arial" w:eastAsia="Arial" w:hAnsi="Arial"/>
          <w:b/>
          <w:bCs/>
          <w:color w:val="0E7E7E"/>
          <w:sz w:val="26"/>
          <w:szCs w:val="26"/>
        </w:rPr>
        <w:t xml:space="preserve">3.2  Academic &amp; Professional Qualifications</w:t>
      </w:r>
    </w:p>
    <w:p>
      <w:pPr>
        <w:pStyle w:val="ListParagraph"/>
        <w:numPr>
          <w:ilvl w:val="0"/>
          <w:numId w:val="2"/>
        </w:numPr>
        <w:spacing w:after="60" w:before="40"/>
      </w:pPr>
      <w:r>
        <w:rPr>
          <w:rFonts w:ascii="Arial" w:cs="Arial" w:eastAsia="Arial" w:hAnsi="Arial"/>
          <w:color w:val="1E2A3A"/>
          <w:sz w:val="22"/>
          <w:szCs w:val="22"/>
        </w:rPr>
        <w:t xml:space="preserve">10th and 12th Mark Sheets and Certificates</w:t>
      </w:r>
    </w:p>
    <w:p>
      <w:pPr>
        <w:pStyle w:val="ListParagraph"/>
        <w:numPr>
          <w:ilvl w:val="0"/>
          <w:numId w:val="2"/>
        </w:numPr>
        <w:spacing w:after="60" w:before="40"/>
      </w:pPr>
      <w:r>
        <w:rPr>
          <w:rFonts w:ascii="Arial" w:cs="Arial" w:eastAsia="Arial" w:hAnsi="Arial"/>
          <w:color w:val="1E2A3A"/>
          <w:sz w:val="22"/>
          <w:szCs w:val="22"/>
        </w:rPr>
        <w:t xml:space="preserve">Graduation Degree Certificate and Transcripts</w:t>
      </w:r>
    </w:p>
    <w:p>
      <w:pPr>
        <w:pStyle w:val="ListParagraph"/>
        <w:numPr>
          <w:ilvl w:val="0"/>
          <w:numId w:val="2"/>
        </w:numPr>
        <w:spacing w:after="60" w:before="40"/>
      </w:pPr>
      <w:r>
        <w:rPr>
          <w:rFonts w:ascii="Arial" w:cs="Arial" w:eastAsia="Arial" w:hAnsi="Arial"/>
          <w:color w:val="1E2A3A"/>
          <w:sz w:val="22"/>
          <w:szCs w:val="22"/>
        </w:rPr>
        <w:t xml:space="preserve">Post-Graduate Certificate and Transcripts (if applicable)</w:t>
      </w:r>
    </w:p>
    <w:p>
      <w:pPr>
        <w:pStyle w:val="ListParagraph"/>
        <w:numPr>
          <w:ilvl w:val="0"/>
          <w:numId w:val="2"/>
        </w:numPr>
        <w:spacing w:after="60" w:before="40"/>
      </w:pPr>
      <w:r>
        <w:rPr>
          <w:rFonts w:ascii="Arial" w:cs="Arial" w:eastAsia="Arial" w:hAnsi="Arial"/>
          <w:color w:val="1E2A3A"/>
          <w:sz w:val="22"/>
          <w:szCs w:val="22"/>
        </w:rPr>
        <w:t xml:space="preserve">Professional certifications (CA, CFA, AWS, PMP, etc.)</w:t>
      </w:r>
    </w:p>
    <w:p>
      <w:pPr>
        <w:spacing w:after="60" w:before="0"/>
      </w:pPr>
    </w:p>
    <w:p>
      <w:pPr>
        <w:pStyle w:val="Heading2"/>
        <w:spacing w:after="120" w:before="240"/>
      </w:pPr>
      <w:r>
        <w:rPr>
          <w:rFonts w:ascii="Arial" w:cs="Arial" w:eastAsia="Arial" w:hAnsi="Arial"/>
          <w:b/>
          <w:bCs/>
          <w:color w:val="0E7E7E"/>
          <w:sz w:val="26"/>
          <w:szCs w:val="26"/>
        </w:rPr>
        <w:t xml:space="preserve">3.3  Previous Employment Documents</w:t>
      </w:r>
    </w:p>
    <w:p>
      <w:pPr>
        <w:pStyle w:val="ListParagraph"/>
        <w:numPr>
          <w:ilvl w:val="0"/>
          <w:numId w:val="2"/>
        </w:numPr>
        <w:spacing w:after="60" w:before="40"/>
      </w:pPr>
      <w:r>
        <w:rPr>
          <w:rFonts w:ascii="Arial" w:cs="Arial" w:eastAsia="Arial" w:hAnsi="Arial"/>
          <w:color w:val="1E2A3A"/>
          <w:sz w:val="22"/>
          <w:szCs w:val="22"/>
        </w:rPr>
        <w:t xml:space="preserve">Last drawn salary slip (most recent 3 months)</w:t>
      </w:r>
    </w:p>
    <w:p>
      <w:pPr>
        <w:pStyle w:val="ListParagraph"/>
        <w:numPr>
          <w:ilvl w:val="0"/>
          <w:numId w:val="2"/>
        </w:numPr>
        <w:spacing w:after="60" w:before="40"/>
      </w:pPr>
      <w:r>
        <w:rPr>
          <w:rFonts w:ascii="Arial" w:cs="Arial" w:eastAsia="Arial" w:hAnsi="Arial"/>
          <w:color w:val="1E2A3A"/>
          <w:sz w:val="22"/>
          <w:szCs w:val="22"/>
        </w:rPr>
        <w:t xml:space="preserve">Relieving Letter from last employer</w:t>
      </w:r>
    </w:p>
    <w:p>
      <w:pPr>
        <w:pStyle w:val="ListParagraph"/>
        <w:numPr>
          <w:ilvl w:val="0"/>
          <w:numId w:val="2"/>
        </w:numPr>
        <w:spacing w:after="60" w:before="40"/>
      </w:pPr>
      <w:r>
        <w:rPr>
          <w:rFonts w:ascii="Arial" w:cs="Arial" w:eastAsia="Arial" w:hAnsi="Arial"/>
          <w:color w:val="1E2A3A"/>
          <w:sz w:val="22"/>
          <w:szCs w:val="22"/>
        </w:rPr>
        <w:t xml:space="preserve">Experience Letter from all previous employers</w:t>
      </w:r>
    </w:p>
    <w:p>
      <w:pPr>
        <w:pStyle w:val="ListParagraph"/>
        <w:numPr>
          <w:ilvl w:val="0"/>
          <w:numId w:val="2"/>
        </w:numPr>
        <w:spacing w:after="60" w:before="40"/>
      </w:pPr>
      <w:r>
        <w:rPr>
          <w:rFonts w:ascii="Arial" w:cs="Arial" w:eastAsia="Arial" w:hAnsi="Arial"/>
          <w:color w:val="1E2A3A"/>
          <w:sz w:val="22"/>
          <w:szCs w:val="22"/>
        </w:rPr>
        <w:t xml:space="preserve">Appointment Letter from previous employer (most recent)</w:t>
      </w:r>
    </w:p>
    <w:p>
      <w:pPr>
        <w:pStyle w:val="ListParagraph"/>
        <w:numPr>
          <w:ilvl w:val="0"/>
          <w:numId w:val="2"/>
        </w:numPr>
        <w:spacing w:after="60" w:before="40"/>
      </w:pPr>
      <w:r>
        <w:rPr>
          <w:rFonts w:ascii="Arial" w:cs="Arial" w:eastAsia="Arial" w:hAnsi="Arial"/>
          <w:color w:val="1E2A3A"/>
          <w:sz w:val="22"/>
          <w:szCs w:val="22"/>
        </w:rPr>
        <w:t xml:space="preserve">Form 16 / Tax Returns for last 2 financial years</w:t>
      </w:r>
    </w:p>
    <w:p>
      <w:pPr>
        <w:spacing w:after="60" w:before="0"/>
      </w:pPr>
    </w:p>
    <w:p>
      <w:pPr>
        <w:pStyle w:val="Heading2"/>
        <w:spacing w:after="120" w:before="240"/>
      </w:pPr>
      <w:r>
        <w:rPr>
          <w:rFonts w:ascii="Arial" w:cs="Arial" w:eastAsia="Arial" w:hAnsi="Arial"/>
          <w:b/>
          <w:bCs/>
          <w:color w:val="0E7E7E"/>
          <w:sz w:val="26"/>
          <w:szCs w:val="26"/>
        </w:rPr>
        <w:t xml:space="preserve">3.4  Financial &amp; Statutory Documents</w:t>
      </w:r>
    </w:p>
    <w:p>
      <w:pPr>
        <w:pStyle w:val="ListParagraph"/>
        <w:numPr>
          <w:ilvl w:val="0"/>
          <w:numId w:val="2"/>
        </w:numPr>
        <w:spacing w:after="60" w:before="40"/>
      </w:pPr>
      <w:r>
        <w:rPr>
          <w:rFonts w:ascii="Arial" w:cs="Arial" w:eastAsia="Arial" w:hAnsi="Arial"/>
          <w:color w:val="1E2A3A"/>
          <w:sz w:val="22"/>
          <w:szCs w:val="22"/>
        </w:rPr>
        <w:t xml:space="preserve">Cancelled cheque or bank account passbook copy (for salary account)</w:t>
      </w:r>
    </w:p>
    <w:p>
      <w:pPr>
        <w:pStyle w:val="ListParagraph"/>
        <w:numPr>
          <w:ilvl w:val="0"/>
          <w:numId w:val="2"/>
        </w:numPr>
        <w:spacing w:after="60" w:before="40"/>
      </w:pPr>
      <w:r>
        <w:rPr>
          <w:rFonts w:ascii="Arial" w:cs="Arial" w:eastAsia="Arial" w:hAnsi="Arial"/>
          <w:color w:val="1E2A3A"/>
          <w:sz w:val="22"/>
          <w:szCs w:val="22"/>
        </w:rPr>
        <w:t xml:space="preserve">Provident Fund (PF) UAN Number (if previously employed)</w:t>
      </w:r>
    </w:p>
    <w:p>
      <w:pPr>
        <w:pStyle w:val="ListParagraph"/>
        <w:numPr>
          <w:ilvl w:val="0"/>
          <w:numId w:val="2"/>
        </w:numPr>
        <w:spacing w:after="60" w:before="40"/>
      </w:pPr>
      <w:r>
        <w:rPr>
          <w:rFonts w:ascii="Arial" w:cs="Arial" w:eastAsia="Arial" w:hAnsi="Arial"/>
          <w:color w:val="1E2A3A"/>
          <w:sz w:val="22"/>
          <w:szCs w:val="22"/>
        </w:rPr>
        <w:t xml:space="preserve">National Pension System (NPS) PRAN, if enrolled</w:t>
      </w:r>
    </w:p>
    <w:p>
      <w:pPr>
        <w:pStyle w:val="ListParagraph"/>
        <w:numPr>
          <w:ilvl w:val="0"/>
          <w:numId w:val="2"/>
        </w:numPr>
        <w:spacing w:after="60" w:before="40"/>
      </w:pPr>
      <w:r>
        <w:rPr>
          <w:rFonts w:ascii="Arial" w:cs="Arial" w:eastAsia="Arial" w:hAnsi="Arial"/>
          <w:color w:val="1E2A3A"/>
          <w:sz w:val="22"/>
          <w:szCs w:val="22"/>
        </w:rPr>
        <w:t xml:space="preserve">Gratuity nomination form (to be filled on Day 1)</w:t>
      </w:r>
    </w:p>
    <w:p>
      <w:pPr>
        <w:spacing w:after="60" w:before="0"/>
      </w:pPr>
    </w:p>
    <w:p>
      <w:pPr>
        <w:pStyle w:val="Heading2"/>
        <w:spacing w:after="120" w:before="240"/>
      </w:pPr>
      <w:r>
        <w:rPr>
          <w:rFonts w:ascii="Arial" w:cs="Arial" w:eastAsia="Arial" w:hAnsi="Arial"/>
          <w:b/>
          <w:bCs/>
          <w:color w:val="0E7E7E"/>
          <w:sz w:val="26"/>
          <w:szCs w:val="26"/>
        </w:rPr>
        <w:t xml:space="preserve">3.5  Other Documents</w:t>
      </w:r>
    </w:p>
    <w:p>
      <w:pPr>
        <w:pStyle w:val="ListParagraph"/>
        <w:numPr>
          <w:ilvl w:val="0"/>
          <w:numId w:val="2"/>
        </w:numPr>
        <w:spacing w:after="60" w:before="40"/>
      </w:pPr>
      <w:r>
        <w:rPr>
          <w:rFonts w:ascii="Arial" w:cs="Arial" w:eastAsia="Arial" w:hAnsi="Arial"/>
          <w:color w:val="1E2A3A"/>
          <w:sz w:val="22"/>
          <w:szCs w:val="22"/>
        </w:rPr>
        <w:t xml:space="preserve">2 passport-size photographs (colour, white background)</w:t>
      </w:r>
    </w:p>
    <w:p>
      <w:pPr>
        <w:pStyle w:val="ListParagraph"/>
        <w:numPr>
          <w:ilvl w:val="0"/>
          <w:numId w:val="2"/>
        </w:numPr>
        <w:spacing w:after="60" w:before="40"/>
      </w:pPr>
      <w:r>
        <w:rPr>
          <w:rFonts w:ascii="Arial" w:cs="Arial" w:eastAsia="Arial" w:hAnsi="Arial"/>
          <w:color w:val="1E2A3A"/>
          <w:sz w:val="22"/>
          <w:szCs w:val="22"/>
        </w:rPr>
        <w:t xml:space="preserve">Medical fitness certificate (for certain roles — HR will confirm)</w:t>
      </w:r>
    </w:p>
    <w:p>
      <w:pPr>
        <w:pStyle w:val="ListParagraph"/>
        <w:numPr>
          <w:ilvl w:val="0"/>
          <w:numId w:val="2"/>
        </w:numPr>
        <w:spacing w:after="60" w:before="40"/>
      </w:pPr>
      <w:r>
        <w:rPr>
          <w:rFonts w:ascii="Arial" w:cs="Arial" w:eastAsia="Arial" w:hAnsi="Arial"/>
          <w:color w:val="1E2A3A"/>
          <w:sz w:val="22"/>
          <w:szCs w:val="22"/>
        </w:rPr>
        <w:t xml:space="preserve">Disability certificate (if applicable, for accommodation requests)</w:t>
      </w:r>
    </w:p>
    <w:p>
      <w:pPr>
        <w:pStyle w:val="ListParagraph"/>
        <w:numPr>
          <w:ilvl w:val="0"/>
          <w:numId w:val="2"/>
        </w:numPr>
        <w:spacing w:after="60" w:before="40"/>
      </w:pPr>
      <w:r>
        <w:rPr>
          <w:rFonts w:ascii="Arial" w:cs="Arial" w:eastAsia="Arial" w:hAnsi="Arial"/>
          <w:color w:val="1E2A3A"/>
          <w:sz w:val="22"/>
          <w:szCs w:val="22"/>
        </w:rPr>
        <w:t xml:space="preserve">Emergency contact form (to be completed on Day 1)</w:t>
      </w:r>
    </w:p>
    <w:p>
      <w:pPr>
        <w:spacing w:after="1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9E4" w:sz="1"/>
              <w:left w:val="single" w:color="D0D9E4" w:sz="1"/>
              <w:bottom w:val="single" w:color="D0D9E4" w:sz="1"/>
              <w:right w:val="single" w:color="D0D9E4" w:sz="1"/>
            </w:tcBorders>
            <w:shd w:fill="E8F4F4" w:val="clear"/>
            <w:tcMar>
              <w:top w:type="dxa" w:w="120"/>
              <w:left w:type="dxa" w:w="200"/>
              <w:bottom w:type="dxa" w:w="120"/>
              <w:right w:type="dxa" w:w="200"/>
            </w:tcMar>
          </w:tcPr>
          <w:p>
            <w:pPr>
              <w:spacing w:after="40" w:before="40"/>
            </w:pPr>
            <w:r>
              <w:rPr>
                <w:rFonts w:ascii="Arial" w:cs="Arial" w:eastAsia="Arial" w:hAnsi="Arial"/>
                <w:b/>
                <w:bCs/>
                <w:color w:val="0E7E7E"/>
                <w:sz w:val="22"/>
                <w:szCs w:val="22"/>
              </w:rPr>
              <w:t xml:space="preserve">⚠  Important: </w:t>
            </w:r>
            <w:r>
              <w:rPr>
                <w:rFonts w:ascii="Arial" w:cs="Arial" w:eastAsia="Arial" w:hAnsi="Arial"/>
                <w:color w:val="1E2A3A"/>
                <w:sz w:val="22"/>
                <w:szCs w:val="22"/>
              </w:rPr>
              <w:t xml:space="preserve">Failure to submit complete documentation within 30 days of joining may result in payroll holds or deferral of confirmation. Please contact hr.documents@company.com for any queries.</w:t>
            </w:r>
          </w:p>
        </w:tc>
      </w:tr>
    </w:tbl>
    <w:p>
      <w:pPr>
        <w:spacing w:after="120" w:before="0"/>
      </w:pPr>
    </w:p>
    <w:p>
      <w:r>
        <w:br w:type="page"/>
      </w:r>
    </w:p>
    <w:p>
      <w:pPr>
        <w:pStyle w:val="Heading1"/>
        <w:spacing w:after="160" w:before="320"/>
      </w:pPr>
      <w:r>
        <w:rPr>
          <w:rFonts w:ascii="Arial" w:cs="Arial" w:eastAsia="Arial" w:hAnsi="Arial"/>
          <w:b/>
          <w:bCs/>
          <w:color w:val="1B3A6B"/>
          <w:sz w:val="36"/>
          <w:szCs w:val="36"/>
        </w:rPr>
        <w:t xml:space="preserve">4. Background Verification (BGV)</w:t>
      </w:r>
    </w:p>
    <w:p>
      <w:pPr>
        <w:pBdr>
          <w:bottom w:val="single" w:color="0E7E7E" w:sz="6" w:space="1"/>
        </w:pBdr>
        <w:spacing w:after="120" w:before="120"/>
      </w:pPr>
    </w:p>
    <w:p>
      <w:pPr>
        <w:spacing w:after="100" w:before="60"/>
      </w:pPr>
      <w:r>
        <w:rPr>
          <w:rFonts w:ascii="Arial" w:cs="Arial" w:eastAsia="Arial" w:hAnsi="Arial"/>
          <w:color w:val="1E2A3A"/>
          <w:sz w:val="22"/>
          <w:szCs w:val="22"/>
        </w:rPr>
        <w:t xml:space="preserve">All new employees are required to undergo a mandatory background verification process conducted by our third-party BGV partner. The process is typically initiated 10–15 days before your joining date.</w:t>
      </w:r>
    </w:p>
    <w:p>
      <w:pPr>
        <w:spacing w:after="80" w:before="0"/>
      </w:pPr>
    </w:p>
    <w:p>
      <w:pPr>
        <w:pStyle w:val="Heading2"/>
        <w:spacing w:after="120" w:before="240"/>
      </w:pPr>
      <w:r>
        <w:rPr>
          <w:rFonts w:ascii="Arial" w:cs="Arial" w:eastAsia="Arial" w:hAnsi="Arial"/>
          <w:b/>
          <w:bCs/>
          <w:color w:val="0E7E7E"/>
          <w:sz w:val="26"/>
          <w:szCs w:val="26"/>
        </w:rPr>
        <w:t xml:space="preserve">4.1  BGV Scope</w:t>
      </w:r>
    </w:p>
    <w:p>
      <w:pPr>
        <w:spacing w:after="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0D9E4" w:sz="1"/>
              <w:left w:val="single" w:color="D0D9E4" w:sz="1"/>
              <w:bottom w:val="single" w:color="D0D9E4" w:sz="1"/>
              <w:right w:val="single" w:color="D0D9E4" w:sz="1"/>
            </w:tcBorders>
            <w:shd w:fill="1B3A6B" w:val="clear"/>
            <w:tcMar>
              <w:top w:type="dxa" w:w="80"/>
              <w:left w:type="dxa" w:w="120"/>
              <w:bottom w:type="dxa" w:w="80"/>
              <w:right w:type="dxa" w:w="120"/>
            </w:tcMar>
            <w:vAlign w:val="center"/>
          </w:tcPr>
          <w:p>
            <w:r>
              <w:rPr>
                <w:rFonts w:ascii="Arial" w:cs="Arial" w:eastAsia="Arial" w:hAnsi="Arial"/>
                <w:b/>
                <w:bCs/>
                <w:color w:val="FFFFFF"/>
                <w:sz w:val="20"/>
                <w:szCs w:val="20"/>
              </w:rPr>
              <w:t xml:space="preserve">Check Type</w:t>
            </w:r>
          </w:p>
        </w:tc>
        <w:tc>
          <w:tcPr>
            <w:tcW w:type="dxa" w:w="6360"/>
            <w:tcBorders>
              <w:top w:val="single" w:color="D0D9E4" w:sz="1"/>
              <w:left w:val="single" w:color="D0D9E4" w:sz="1"/>
              <w:bottom w:val="single" w:color="D0D9E4" w:sz="1"/>
              <w:right w:val="single" w:color="D0D9E4" w:sz="1"/>
            </w:tcBorders>
            <w:shd w:fill="1B3A6B" w:val="clear"/>
            <w:tcMar>
              <w:top w:type="dxa" w:w="80"/>
              <w:left w:type="dxa" w:w="120"/>
              <w:bottom w:type="dxa" w:w="80"/>
              <w:right w:type="dxa" w:w="120"/>
            </w:tcMar>
          </w:tcPr>
          <w:p>
            <w:r>
              <w:rPr>
                <w:rFonts w:ascii="Arial" w:cs="Arial" w:eastAsia="Arial" w:hAnsi="Arial"/>
                <w:color w:val="FFFFFF"/>
                <w:sz w:val="20"/>
                <w:szCs w:val="20"/>
              </w:rPr>
              <w:t xml:space="preserve">Details</w:t>
            </w:r>
          </w:p>
        </w:tc>
      </w:tr>
      <w:tr>
        <w:tc>
          <w:tcPr>
            <w:tcW w:type="dxa" w:w="3000"/>
            <w:tcBorders>
              <w:top w:val="single" w:color="D0D9E4" w:sz="1"/>
              <w:left w:val="single" w:color="D0D9E4" w:sz="1"/>
              <w:bottom w:val="single" w:color="D0D9E4" w:sz="1"/>
              <w:right w:val="single" w:color="D0D9E4" w:sz="1"/>
            </w:tcBorders>
            <w:shd w:fill="F2F5F9" w:val="clear"/>
            <w:tcMar>
              <w:top w:type="dxa" w:w="80"/>
              <w:left w:type="dxa" w:w="120"/>
              <w:bottom w:type="dxa" w:w="80"/>
              <w:right w:type="dxa" w:w="120"/>
            </w:tcMar>
            <w:vAlign w:val="center"/>
          </w:tcPr>
          <w:p>
            <w:r>
              <w:rPr>
                <w:rFonts w:ascii="Arial" w:cs="Arial" w:eastAsia="Arial" w:hAnsi="Arial"/>
                <w:b w:val="false"/>
                <w:bCs w:val="false"/>
                <w:color w:val="1B3A6B"/>
                <w:sz w:val="20"/>
                <w:szCs w:val="20"/>
              </w:rPr>
              <w:t xml:space="preserve">Identity Verification</w:t>
            </w:r>
          </w:p>
        </w:tc>
        <w:tc>
          <w:tcPr>
            <w:tcW w:type="dxa" w:w="6360"/>
            <w:tcBorders>
              <w:top w:val="single" w:color="D0D9E4" w:sz="1"/>
              <w:left w:val="single" w:color="D0D9E4" w:sz="1"/>
              <w:bottom w:val="single" w:color="D0D9E4" w:sz="1"/>
              <w:right w:val="single" w:color="D0D9E4" w:sz="1"/>
            </w:tcBorders>
            <w:shd w:fill="FFFFFF" w:val="clear"/>
            <w:tcMar>
              <w:top w:type="dxa" w:w="80"/>
              <w:left w:type="dxa" w:w="120"/>
              <w:bottom w:type="dxa" w:w="80"/>
              <w:right w:type="dxa" w:w="120"/>
            </w:tcMar>
          </w:tcPr>
          <w:p>
            <w:r>
              <w:rPr>
                <w:rFonts w:ascii="Arial" w:cs="Arial" w:eastAsia="Arial" w:hAnsi="Arial"/>
                <w:color w:val="1E2A3A"/>
                <w:sz w:val="20"/>
                <w:szCs w:val="20"/>
              </w:rPr>
              <w:t xml:space="preserve">PAN, Aadhaar, Passport validation</w:t>
            </w:r>
          </w:p>
        </w:tc>
      </w:tr>
      <w:tr>
        <w:tc>
          <w:tcPr>
            <w:tcW w:type="dxa" w:w="3000"/>
            <w:tcBorders>
              <w:top w:val="single" w:color="D0D9E4" w:sz="1"/>
              <w:left w:val="single" w:color="D0D9E4" w:sz="1"/>
              <w:bottom w:val="single" w:color="D0D9E4" w:sz="1"/>
              <w:right w:val="single" w:color="D0D9E4" w:sz="1"/>
            </w:tcBorders>
            <w:shd w:fill="F2F5F9" w:val="clear"/>
            <w:tcMar>
              <w:top w:type="dxa" w:w="80"/>
              <w:left w:type="dxa" w:w="120"/>
              <w:bottom w:type="dxa" w:w="80"/>
              <w:right w:type="dxa" w:w="120"/>
            </w:tcMar>
            <w:vAlign w:val="center"/>
          </w:tcPr>
          <w:p>
            <w:r>
              <w:rPr>
                <w:rFonts w:ascii="Arial" w:cs="Arial" w:eastAsia="Arial" w:hAnsi="Arial"/>
                <w:b w:val="false"/>
                <w:bCs w:val="false"/>
                <w:color w:val="1B3A6B"/>
                <w:sz w:val="20"/>
                <w:szCs w:val="20"/>
              </w:rPr>
              <w:t xml:space="preserve">Education Verification</w:t>
            </w:r>
          </w:p>
        </w:tc>
        <w:tc>
          <w:tcPr>
            <w:tcW w:type="dxa" w:w="6360"/>
            <w:tcBorders>
              <w:top w:val="single" w:color="D0D9E4" w:sz="1"/>
              <w:left w:val="single" w:color="D0D9E4" w:sz="1"/>
              <w:bottom w:val="single" w:color="D0D9E4" w:sz="1"/>
              <w:right w:val="single" w:color="D0D9E4" w:sz="1"/>
            </w:tcBorders>
            <w:shd w:fill="FFFFFF" w:val="clear"/>
            <w:tcMar>
              <w:top w:type="dxa" w:w="80"/>
              <w:left w:type="dxa" w:w="120"/>
              <w:bottom w:type="dxa" w:w="80"/>
              <w:right w:type="dxa" w:w="120"/>
            </w:tcMar>
          </w:tcPr>
          <w:p>
            <w:r>
              <w:rPr>
                <w:rFonts w:ascii="Arial" w:cs="Arial" w:eastAsia="Arial" w:hAnsi="Arial"/>
                <w:color w:val="1E2A3A"/>
                <w:sz w:val="20"/>
                <w:szCs w:val="20"/>
              </w:rPr>
              <w:t xml:space="preserve">Degree authenticity from issuing institution</w:t>
            </w:r>
          </w:p>
        </w:tc>
      </w:tr>
      <w:tr>
        <w:tc>
          <w:tcPr>
            <w:tcW w:type="dxa" w:w="3000"/>
            <w:tcBorders>
              <w:top w:val="single" w:color="D0D9E4" w:sz="1"/>
              <w:left w:val="single" w:color="D0D9E4" w:sz="1"/>
              <w:bottom w:val="single" w:color="D0D9E4" w:sz="1"/>
              <w:right w:val="single" w:color="D0D9E4" w:sz="1"/>
            </w:tcBorders>
            <w:shd w:fill="F2F5F9" w:val="clear"/>
            <w:tcMar>
              <w:top w:type="dxa" w:w="80"/>
              <w:left w:type="dxa" w:w="120"/>
              <w:bottom w:type="dxa" w:w="80"/>
              <w:right w:type="dxa" w:w="120"/>
            </w:tcMar>
            <w:vAlign w:val="center"/>
          </w:tcPr>
          <w:p>
            <w:r>
              <w:rPr>
                <w:rFonts w:ascii="Arial" w:cs="Arial" w:eastAsia="Arial" w:hAnsi="Arial"/>
                <w:b w:val="false"/>
                <w:bCs w:val="false"/>
                <w:color w:val="1B3A6B"/>
                <w:sz w:val="20"/>
                <w:szCs w:val="20"/>
              </w:rPr>
              <w:t xml:space="preserve">Employment Verification</w:t>
            </w:r>
          </w:p>
        </w:tc>
        <w:tc>
          <w:tcPr>
            <w:tcW w:type="dxa" w:w="6360"/>
            <w:tcBorders>
              <w:top w:val="single" w:color="D0D9E4" w:sz="1"/>
              <w:left w:val="single" w:color="D0D9E4" w:sz="1"/>
              <w:bottom w:val="single" w:color="D0D9E4" w:sz="1"/>
              <w:right w:val="single" w:color="D0D9E4" w:sz="1"/>
            </w:tcBorders>
            <w:shd w:fill="FFFFFF" w:val="clear"/>
            <w:tcMar>
              <w:top w:type="dxa" w:w="80"/>
              <w:left w:type="dxa" w:w="120"/>
              <w:bottom w:type="dxa" w:w="80"/>
              <w:right w:type="dxa" w:w="120"/>
            </w:tcMar>
          </w:tcPr>
          <w:p>
            <w:r>
              <w:rPr>
                <w:rFonts w:ascii="Arial" w:cs="Arial" w:eastAsia="Arial" w:hAnsi="Arial"/>
                <w:color w:val="1E2A3A"/>
                <w:sz w:val="20"/>
                <w:szCs w:val="20"/>
              </w:rPr>
              <w:t xml:space="preserve">Last 2–3 employers (designation, tenure, exit reason)</w:t>
            </w:r>
          </w:p>
        </w:tc>
      </w:tr>
      <w:tr>
        <w:tc>
          <w:tcPr>
            <w:tcW w:type="dxa" w:w="3000"/>
            <w:tcBorders>
              <w:top w:val="single" w:color="D0D9E4" w:sz="1"/>
              <w:left w:val="single" w:color="D0D9E4" w:sz="1"/>
              <w:bottom w:val="single" w:color="D0D9E4" w:sz="1"/>
              <w:right w:val="single" w:color="D0D9E4" w:sz="1"/>
            </w:tcBorders>
            <w:shd w:fill="F2F5F9" w:val="clear"/>
            <w:tcMar>
              <w:top w:type="dxa" w:w="80"/>
              <w:left w:type="dxa" w:w="120"/>
              <w:bottom w:type="dxa" w:w="80"/>
              <w:right w:type="dxa" w:w="120"/>
            </w:tcMar>
            <w:vAlign w:val="center"/>
          </w:tcPr>
          <w:p>
            <w:r>
              <w:rPr>
                <w:rFonts w:ascii="Arial" w:cs="Arial" w:eastAsia="Arial" w:hAnsi="Arial"/>
                <w:b w:val="false"/>
                <w:bCs w:val="false"/>
                <w:color w:val="1B3A6B"/>
                <w:sz w:val="20"/>
                <w:szCs w:val="20"/>
              </w:rPr>
              <w:t xml:space="preserve">Criminal Record Check</w:t>
            </w:r>
          </w:p>
        </w:tc>
        <w:tc>
          <w:tcPr>
            <w:tcW w:type="dxa" w:w="6360"/>
            <w:tcBorders>
              <w:top w:val="single" w:color="D0D9E4" w:sz="1"/>
              <w:left w:val="single" w:color="D0D9E4" w:sz="1"/>
              <w:bottom w:val="single" w:color="D0D9E4" w:sz="1"/>
              <w:right w:val="single" w:color="D0D9E4" w:sz="1"/>
            </w:tcBorders>
            <w:shd w:fill="FFFFFF" w:val="clear"/>
            <w:tcMar>
              <w:top w:type="dxa" w:w="80"/>
              <w:left w:type="dxa" w:w="120"/>
              <w:bottom w:type="dxa" w:w="80"/>
              <w:right w:type="dxa" w:w="120"/>
            </w:tcMar>
          </w:tcPr>
          <w:p>
            <w:r>
              <w:rPr>
                <w:rFonts w:ascii="Arial" w:cs="Arial" w:eastAsia="Arial" w:hAnsi="Arial"/>
                <w:color w:val="1E2A3A"/>
                <w:sz w:val="20"/>
                <w:szCs w:val="20"/>
              </w:rPr>
              <w:t xml:space="preserve">Court record and police verification (where applicable)</w:t>
            </w:r>
          </w:p>
        </w:tc>
      </w:tr>
      <w:tr>
        <w:tc>
          <w:tcPr>
            <w:tcW w:type="dxa" w:w="3000"/>
            <w:tcBorders>
              <w:top w:val="single" w:color="D0D9E4" w:sz="1"/>
              <w:left w:val="single" w:color="D0D9E4" w:sz="1"/>
              <w:bottom w:val="single" w:color="D0D9E4" w:sz="1"/>
              <w:right w:val="single" w:color="D0D9E4" w:sz="1"/>
            </w:tcBorders>
            <w:shd w:fill="F2F5F9" w:val="clear"/>
            <w:tcMar>
              <w:top w:type="dxa" w:w="80"/>
              <w:left w:type="dxa" w:w="120"/>
              <w:bottom w:type="dxa" w:w="80"/>
              <w:right w:type="dxa" w:w="120"/>
            </w:tcMar>
            <w:vAlign w:val="center"/>
          </w:tcPr>
          <w:p>
            <w:r>
              <w:rPr>
                <w:rFonts w:ascii="Arial" w:cs="Arial" w:eastAsia="Arial" w:hAnsi="Arial"/>
                <w:b w:val="false"/>
                <w:bCs w:val="false"/>
                <w:color w:val="1B3A6B"/>
                <w:sz w:val="20"/>
                <w:szCs w:val="20"/>
              </w:rPr>
              <w:t xml:space="preserve">Address Verification</w:t>
            </w:r>
          </w:p>
        </w:tc>
        <w:tc>
          <w:tcPr>
            <w:tcW w:type="dxa" w:w="6360"/>
            <w:tcBorders>
              <w:top w:val="single" w:color="D0D9E4" w:sz="1"/>
              <w:left w:val="single" w:color="D0D9E4" w:sz="1"/>
              <w:bottom w:val="single" w:color="D0D9E4" w:sz="1"/>
              <w:right w:val="single" w:color="D0D9E4" w:sz="1"/>
            </w:tcBorders>
            <w:shd w:fill="FFFFFF" w:val="clear"/>
            <w:tcMar>
              <w:top w:type="dxa" w:w="80"/>
              <w:left w:type="dxa" w:w="120"/>
              <w:bottom w:type="dxa" w:w="80"/>
              <w:right w:type="dxa" w:w="120"/>
            </w:tcMar>
          </w:tcPr>
          <w:p>
            <w:r>
              <w:rPr>
                <w:rFonts w:ascii="Arial" w:cs="Arial" w:eastAsia="Arial" w:hAnsi="Arial"/>
                <w:color w:val="1E2A3A"/>
                <w:sz w:val="20"/>
                <w:szCs w:val="20"/>
              </w:rPr>
              <w:t xml:space="preserve">Current and permanent address validation</w:t>
            </w:r>
          </w:p>
        </w:tc>
      </w:tr>
      <w:tr>
        <w:tc>
          <w:tcPr>
            <w:tcW w:type="dxa" w:w="3000"/>
            <w:tcBorders>
              <w:top w:val="single" w:color="D0D9E4" w:sz="1"/>
              <w:left w:val="single" w:color="D0D9E4" w:sz="1"/>
              <w:bottom w:val="single" w:color="D0D9E4" w:sz="1"/>
              <w:right w:val="single" w:color="D0D9E4" w:sz="1"/>
            </w:tcBorders>
            <w:shd w:fill="F2F5F9" w:val="clear"/>
            <w:tcMar>
              <w:top w:type="dxa" w:w="80"/>
              <w:left w:type="dxa" w:w="120"/>
              <w:bottom w:type="dxa" w:w="80"/>
              <w:right w:type="dxa" w:w="120"/>
            </w:tcMar>
            <w:vAlign w:val="center"/>
          </w:tcPr>
          <w:p>
            <w:r>
              <w:rPr>
                <w:rFonts w:ascii="Arial" w:cs="Arial" w:eastAsia="Arial" w:hAnsi="Arial"/>
                <w:b w:val="false"/>
                <w:bCs w:val="false"/>
                <w:color w:val="1B3A6B"/>
                <w:sz w:val="20"/>
                <w:szCs w:val="20"/>
              </w:rPr>
              <w:t xml:space="preserve">Reference Checks</w:t>
            </w:r>
          </w:p>
        </w:tc>
        <w:tc>
          <w:tcPr>
            <w:tcW w:type="dxa" w:w="6360"/>
            <w:tcBorders>
              <w:top w:val="single" w:color="D0D9E4" w:sz="1"/>
              <w:left w:val="single" w:color="D0D9E4" w:sz="1"/>
              <w:bottom w:val="single" w:color="D0D9E4" w:sz="1"/>
              <w:right w:val="single" w:color="D0D9E4" w:sz="1"/>
            </w:tcBorders>
            <w:shd w:fill="FFFFFF" w:val="clear"/>
            <w:tcMar>
              <w:top w:type="dxa" w:w="80"/>
              <w:left w:type="dxa" w:w="120"/>
              <w:bottom w:type="dxa" w:w="80"/>
              <w:right w:type="dxa" w:w="120"/>
            </w:tcMar>
          </w:tcPr>
          <w:p>
            <w:r>
              <w:rPr>
                <w:rFonts w:ascii="Arial" w:cs="Arial" w:eastAsia="Arial" w:hAnsi="Arial"/>
                <w:color w:val="1E2A3A"/>
                <w:sz w:val="20"/>
                <w:szCs w:val="20"/>
              </w:rPr>
              <w:t xml:space="preserve">2 professional references provided by candidate</w:t>
            </w:r>
          </w:p>
        </w:tc>
      </w:tr>
      <w:tr>
        <w:tc>
          <w:tcPr>
            <w:tcW w:type="dxa" w:w="3000"/>
            <w:tcBorders>
              <w:top w:val="single" w:color="D0D9E4" w:sz="1"/>
              <w:left w:val="single" w:color="D0D9E4" w:sz="1"/>
              <w:bottom w:val="single" w:color="D0D9E4" w:sz="1"/>
              <w:right w:val="single" w:color="D0D9E4" w:sz="1"/>
            </w:tcBorders>
            <w:shd w:fill="F2F5F9" w:val="clear"/>
            <w:tcMar>
              <w:top w:type="dxa" w:w="80"/>
              <w:left w:type="dxa" w:w="120"/>
              <w:bottom w:type="dxa" w:w="80"/>
              <w:right w:type="dxa" w:w="120"/>
            </w:tcMar>
            <w:vAlign w:val="center"/>
          </w:tcPr>
          <w:p>
            <w:r>
              <w:rPr>
                <w:rFonts w:ascii="Arial" w:cs="Arial" w:eastAsia="Arial" w:hAnsi="Arial"/>
                <w:b w:val="false"/>
                <w:bCs w:val="false"/>
                <w:color w:val="1B3A6B"/>
                <w:sz w:val="20"/>
                <w:szCs w:val="20"/>
              </w:rPr>
              <w:t xml:space="preserve">Credit Check</w:t>
            </w:r>
          </w:p>
        </w:tc>
        <w:tc>
          <w:tcPr>
            <w:tcW w:type="dxa" w:w="6360"/>
            <w:tcBorders>
              <w:top w:val="single" w:color="D0D9E4" w:sz="1"/>
              <w:left w:val="single" w:color="D0D9E4" w:sz="1"/>
              <w:bottom w:val="single" w:color="D0D9E4" w:sz="1"/>
              <w:right w:val="single" w:color="D0D9E4" w:sz="1"/>
            </w:tcBorders>
            <w:shd w:fill="FFFFFF" w:val="clear"/>
            <w:tcMar>
              <w:top w:type="dxa" w:w="80"/>
              <w:left w:type="dxa" w:w="120"/>
              <w:bottom w:type="dxa" w:w="80"/>
              <w:right w:type="dxa" w:w="120"/>
            </w:tcMar>
          </w:tcPr>
          <w:p>
            <w:r>
              <w:rPr>
                <w:rFonts w:ascii="Arial" w:cs="Arial" w:eastAsia="Arial" w:hAnsi="Arial"/>
                <w:color w:val="1E2A3A"/>
                <w:sz w:val="20"/>
                <w:szCs w:val="20"/>
              </w:rPr>
              <w:t xml:space="preserve">Applicable only for finance and senior leadership roles</w:t>
            </w:r>
          </w:p>
        </w:tc>
      </w:tr>
    </w:tbl>
    <w:p>
      <w:pPr>
        <w:spacing w:after="100" w:before="0"/>
      </w:pPr>
    </w:p>
    <w:p>
      <w:pPr>
        <w:pStyle w:val="Heading2"/>
        <w:spacing w:after="120" w:before="240"/>
      </w:pPr>
      <w:r>
        <w:rPr>
          <w:rFonts w:ascii="Arial" w:cs="Arial" w:eastAsia="Arial" w:hAnsi="Arial"/>
          <w:b/>
          <w:bCs/>
          <w:color w:val="0E7E7E"/>
          <w:sz w:val="26"/>
          <w:szCs w:val="26"/>
        </w:rPr>
        <w:t xml:space="preserve">4.2  BGV Process Flow</w:t>
      </w:r>
    </w:p>
    <w:p>
      <w:pPr>
        <w:spacing w:after="100" w:before="60"/>
      </w:pPr>
      <w:r>
        <w:rPr>
          <w:rFonts w:ascii="Arial" w:cs="Arial" w:eastAsia="Arial" w:hAnsi="Arial"/>
          <w:color w:val="1E2A3A"/>
          <w:sz w:val="22"/>
          <w:szCs w:val="22"/>
        </w:rPr>
        <w:t xml:space="preserve">Step 1 — HR sends you a BGV form link via email 15 days before joining.</w:t>
      </w:r>
    </w:p>
    <w:p>
      <w:pPr>
        <w:spacing w:after="100" w:before="60"/>
      </w:pPr>
      <w:r>
        <w:rPr>
          <w:rFonts w:ascii="Arial" w:cs="Arial" w:eastAsia="Arial" w:hAnsi="Arial"/>
          <w:color w:val="1E2A3A"/>
          <w:sz w:val="22"/>
          <w:szCs w:val="22"/>
        </w:rPr>
        <w:t xml:space="preserve">Step 2 — You complete the form and upload supporting documents within 3 days.</w:t>
      </w:r>
    </w:p>
    <w:p>
      <w:pPr>
        <w:spacing w:after="100" w:before="60"/>
      </w:pPr>
      <w:r>
        <w:rPr>
          <w:rFonts w:ascii="Arial" w:cs="Arial" w:eastAsia="Arial" w:hAnsi="Arial"/>
          <w:color w:val="1E2A3A"/>
          <w:sz w:val="22"/>
          <w:szCs w:val="22"/>
        </w:rPr>
        <w:t xml:space="preserve">Step 3 — BGV partner initiates verification across all check types (7–14 business days).</w:t>
      </w:r>
    </w:p>
    <w:p>
      <w:pPr>
        <w:spacing w:after="100" w:before="60"/>
      </w:pPr>
      <w:r>
        <w:rPr>
          <w:rFonts w:ascii="Arial" w:cs="Arial" w:eastAsia="Arial" w:hAnsi="Arial"/>
          <w:color w:val="1E2A3A"/>
          <w:sz w:val="22"/>
          <w:szCs w:val="22"/>
        </w:rPr>
        <w:t xml:space="preserve">Step 4 — BGV report is reviewed by HR. Green/Amber reports allow joining. Red reports trigger escalation.</w:t>
      </w:r>
    </w:p>
    <w:p>
      <w:pPr>
        <w:spacing w:after="100" w:before="60"/>
      </w:pPr>
      <w:r>
        <w:rPr>
          <w:rFonts w:ascii="Arial" w:cs="Arial" w:eastAsia="Arial" w:hAnsi="Arial"/>
          <w:color w:val="1E2A3A"/>
          <w:sz w:val="22"/>
          <w:szCs w:val="22"/>
        </w:rPr>
        <w:t xml:space="preserve">Step 5 — BGV completion certificate is filed in your employee record.</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9E4" w:sz="1"/>
              <w:left w:val="single" w:color="D0D9E4" w:sz="1"/>
              <w:bottom w:val="single" w:color="D0D9E4" w:sz="1"/>
              <w:right w:val="single" w:color="D0D9E4" w:sz="1"/>
            </w:tcBorders>
            <w:shd w:fill="E8F4F4" w:val="clear"/>
            <w:tcMar>
              <w:top w:type="dxa" w:w="120"/>
              <w:left w:type="dxa" w:w="200"/>
              <w:bottom w:type="dxa" w:w="120"/>
              <w:right w:type="dxa" w:w="200"/>
            </w:tcMar>
          </w:tcPr>
          <w:p>
            <w:pPr>
              <w:spacing w:after="40" w:before="40"/>
            </w:pPr>
            <w:r>
              <w:rPr>
                <w:rFonts w:ascii="Arial" w:cs="Arial" w:eastAsia="Arial" w:hAnsi="Arial"/>
                <w:b/>
                <w:bCs/>
                <w:color w:val="0E7E7E"/>
                <w:sz w:val="22"/>
                <w:szCs w:val="22"/>
              </w:rPr>
              <w:t xml:space="preserve">🔒  Confidentiality: </w:t>
            </w:r>
            <w:r>
              <w:rPr>
                <w:rFonts w:ascii="Arial" w:cs="Arial" w:eastAsia="Arial" w:hAnsi="Arial"/>
                <w:color w:val="1E2A3A"/>
                <w:sz w:val="22"/>
                <w:szCs w:val="22"/>
              </w:rPr>
              <w:t xml:space="preserve">All BGV data is handled in strict confidence per our Data Privacy Policy and applicable law. Reports are accessible only to HR and senior management.</w:t>
            </w:r>
          </w:p>
        </w:tc>
      </w:tr>
    </w:tbl>
    <w:p>
      <w:pPr>
        <w:spacing w:after="100" w:before="0"/>
      </w:pPr>
    </w:p>
    <w:p>
      <w:pPr>
        <w:pStyle w:val="Heading2"/>
        <w:spacing w:after="120" w:before="240"/>
      </w:pPr>
      <w:r>
        <w:rPr>
          <w:rFonts w:ascii="Arial" w:cs="Arial" w:eastAsia="Arial" w:hAnsi="Arial"/>
          <w:b/>
          <w:bCs/>
          <w:color w:val="0E7E7E"/>
          <w:sz w:val="26"/>
          <w:szCs w:val="26"/>
        </w:rPr>
        <w:t xml:space="preserve">4.3  Discrepancies &amp; Escalation</w:t>
      </w:r>
    </w:p>
    <w:p>
      <w:pPr>
        <w:spacing w:after="100" w:before="60"/>
      </w:pPr>
      <w:r>
        <w:rPr>
          <w:rFonts w:ascii="Arial" w:cs="Arial" w:eastAsia="Arial" w:hAnsi="Arial"/>
          <w:color w:val="1E2A3A"/>
          <w:sz w:val="22"/>
          <w:szCs w:val="22"/>
        </w:rPr>
        <w:t xml:space="preserve">If a discrepancy is found during BGV, HR will:</w:t>
      </w:r>
    </w:p>
    <w:p>
      <w:pPr>
        <w:pStyle w:val="ListParagraph"/>
        <w:numPr>
          <w:ilvl w:val="0"/>
          <w:numId w:val="2"/>
        </w:numPr>
        <w:spacing w:after="60" w:before="40"/>
      </w:pPr>
      <w:r>
        <w:rPr>
          <w:rFonts w:ascii="Arial" w:cs="Arial" w:eastAsia="Arial" w:hAnsi="Arial"/>
          <w:color w:val="1E2A3A"/>
          <w:sz w:val="22"/>
          <w:szCs w:val="22"/>
        </w:rPr>
        <w:t xml:space="preserve">Notify you in writing within 2 business days.</w:t>
      </w:r>
    </w:p>
    <w:p>
      <w:pPr>
        <w:pStyle w:val="ListParagraph"/>
        <w:numPr>
          <w:ilvl w:val="0"/>
          <w:numId w:val="2"/>
        </w:numPr>
        <w:spacing w:after="60" w:before="40"/>
      </w:pPr>
      <w:r>
        <w:rPr>
          <w:rFonts w:ascii="Arial" w:cs="Arial" w:eastAsia="Arial" w:hAnsi="Arial"/>
          <w:color w:val="1E2A3A"/>
          <w:sz w:val="22"/>
          <w:szCs w:val="22"/>
        </w:rPr>
        <w:t xml:space="preserve">Provide you an opportunity to clarify or submit additional evidence.</w:t>
      </w:r>
    </w:p>
    <w:p>
      <w:pPr>
        <w:pStyle w:val="ListParagraph"/>
        <w:numPr>
          <w:ilvl w:val="0"/>
          <w:numId w:val="2"/>
        </w:numPr>
        <w:spacing w:after="60" w:before="40"/>
      </w:pPr>
      <w:r>
        <w:rPr>
          <w:rFonts w:ascii="Arial" w:cs="Arial" w:eastAsia="Arial" w:hAnsi="Arial"/>
          <w:color w:val="1E2A3A"/>
          <w:sz w:val="22"/>
          <w:szCs w:val="22"/>
        </w:rPr>
        <w:t xml:space="preserve">Escalate to the Hiring Manager and Legal team if unresolved.</w:t>
      </w:r>
    </w:p>
    <w:p>
      <w:pPr>
        <w:pStyle w:val="ListParagraph"/>
        <w:numPr>
          <w:ilvl w:val="0"/>
          <w:numId w:val="2"/>
        </w:numPr>
        <w:spacing w:after="60" w:before="40"/>
      </w:pPr>
      <w:r>
        <w:rPr>
          <w:rFonts w:ascii="Arial" w:cs="Arial" w:eastAsia="Arial" w:hAnsi="Arial"/>
          <w:color w:val="1E2A3A"/>
          <w:sz w:val="22"/>
          <w:szCs w:val="22"/>
        </w:rPr>
        <w:t xml:space="preserve">Reserve the right to withdraw the offer or terminate employment if fraud is established.</w:t>
      </w:r>
    </w:p>
    <w:p>
      <w:pPr>
        <w:spacing w:after="120" w:before="0"/>
      </w:pPr>
    </w:p>
    <w:p>
      <w:r>
        <w:br w:type="page"/>
      </w:r>
    </w:p>
    <w:p>
      <w:pPr>
        <w:pStyle w:val="Heading1"/>
        <w:spacing w:after="160" w:before="320"/>
      </w:pPr>
      <w:r>
        <w:rPr>
          <w:rFonts w:ascii="Arial" w:cs="Arial" w:eastAsia="Arial" w:hAnsi="Arial"/>
          <w:b/>
          <w:bCs/>
          <w:color w:val="1B3A6B"/>
          <w:sz w:val="36"/>
          <w:szCs w:val="36"/>
        </w:rPr>
        <w:t xml:space="preserve">5. IT Asset Allocation</w:t>
      </w:r>
    </w:p>
    <w:p>
      <w:pPr>
        <w:pBdr>
          <w:bottom w:val="single" w:color="0E7E7E" w:sz="6" w:space="1"/>
        </w:pBdr>
        <w:spacing w:after="120" w:before="120"/>
      </w:pPr>
    </w:p>
    <w:p>
      <w:pPr>
        <w:spacing w:after="100" w:before="60"/>
      </w:pPr>
      <w:r>
        <w:rPr>
          <w:rFonts w:ascii="Arial" w:cs="Arial" w:eastAsia="Arial" w:hAnsi="Arial"/>
          <w:color w:val="1E2A3A"/>
          <w:sz w:val="22"/>
          <w:szCs w:val="22"/>
        </w:rPr>
        <w:t xml:space="preserve">The IT department will prepare your workstation and allocate assets based on your role and department requirements. Asset allocation is coordinated through an IT Request Form raised by your hiring manager at least 5 business days before your joining date.</w:t>
      </w:r>
    </w:p>
    <w:p>
      <w:pPr>
        <w:spacing w:after="80" w:before="0"/>
      </w:pPr>
    </w:p>
    <w:p>
      <w:pPr>
        <w:pStyle w:val="Heading2"/>
        <w:spacing w:after="120" w:before="240"/>
      </w:pPr>
      <w:r>
        <w:rPr>
          <w:rFonts w:ascii="Arial" w:cs="Arial" w:eastAsia="Arial" w:hAnsi="Arial"/>
          <w:b/>
          <w:bCs/>
          <w:color w:val="0E7E7E"/>
          <w:sz w:val="26"/>
          <w:szCs w:val="26"/>
        </w:rPr>
        <w:t xml:space="preserve">5.1  Standard Asset Allocation Matrix</w:t>
      </w:r>
    </w:p>
    <w:p>
      <w:pPr>
        <w:spacing w:after="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200"/>
        <w:gridCol w:w="2760"/>
      </w:tblGrid>
      <w:tr>
        <w:tc>
          <w:tcPr>
            <w:tcW w:type="dxa" w:w="2400"/>
            <w:tcBorders>
              <w:top w:val="single" w:color="D0D9E4" w:sz="1"/>
              <w:left w:val="single" w:color="D0D9E4" w:sz="1"/>
              <w:bottom w:val="single" w:color="D0D9E4" w:sz="1"/>
              <w:right w:val="single" w:color="D0D9E4"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Role Level</w:t>
            </w:r>
          </w:p>
        </w:tc>
        <w:tc>
          <w:tcPr>
            <w:tcW w:type="dxa" w:w="4200"/>
            <w:tcBorders>
              <w:top w:val="single" w:color="D0D9E4" w:sz="1"/>
              <w:left w:val="single" w:color="D0D9E4" w:sz="1"/>
              <w:bottom w:val="single" w:color="D0D9E4" w:sz="1"/>
              <w:right w:val="single" w:color="D0D9E4"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Standard Assets</w:t>
            </w:r>
          </w:p>
        </w:tc>
        <w:tc>
          <w:tcPr>
            <w:tcW w:type="dxa" w:w="2760"/>
            <w:tcBorders>
              <w:top w:val="single" w:color="D0D9E4" w:sz="1"/>
              <w:left w:val="single" w:color="D0D9E4" w:sz="1"/>
              <w:bottom w:val="single" w:color="D0D9E4" w:sz="1"/>
              <w:right w:val="single" w:color="D0D9E4"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Additional (On Approval)</w:t>
            </w:r>
          </w:p>
        </w:tc>
      </w:tr>
      <w:tr>
        <w:tc>
          <w:tcPr>
            <w:tcW w:type="dxa" w:w="2400"/>
            <w:tcBorders>
              <w:top w:val="single" w:color="D0D9E4" w:sz="1"/>
              <w:left w:val="single" w:color="D0D9E4" w:sz="1"/>
              <w:bottom w:val="single" w:color="D0D9E4" w:sz="1"/>
              <w:right w:val="single" w:color="D0D9E4" w:sz="1"/>
            </w:tcBorders>
            <w:shd w:fill="F2F5F9" w:val="clear"/>
            <w:tcMar>
              <w:top w:type="dxa" w:w="80"/>
              <w:left w:type="dxa" w:w="120"/>
              <w:bottom w:type="dxa" w:w="80"/>
              <w:right w:type="dxa" w:w="120"/>
            </w:tcMar>
          </w:tcPr>
          <w:p>
            <w:r>
              <w:rPr>
                <w:rFonts w:ascii="Arial" w:cs="Arial" w:eastAsia="Arial" w:hAnsi="Arial"/>
                <w:b w:val="false"/>
                <w:bCs w:val="false"/>
                <w:color w:val="1E2A3A"/>
                <w:sz w:val="20"/>
                <w:szCs w:val="20"/>
              </w:rPr>
              <w:t xml:space="preserve">Individual Contributor</w:t>
            </w:r>
          </w:p>
        </w:tc>
        <w:tc>
          <w:tcPr>
            <w:tcW w:type="dxa" w:w="4200"/>
            <w:tcBorders>
              <w:top w:val="single" w:color="D0D9E4" w:sz="1"/>
              <w:left w:val="single" w:color="D0D9E4" w:sz="1"/>
              <w:bottom w:val="single" w:color="D0D9E4" w:sz="1"/>
              <w:right w:val="single" w:color="D0D9E4" w:sz="1"/>
            </w:tcBorders>
            <w:shd w:fill="FFFFFF" w:val="clear"/>
            <w:tcMar>
              <w:top w:type="dxa" w:w="80"/>
              <w:left w:type="dxa" w:w="120"/>
              <w:bottom w:type="dxa" w:w="80"/>
              <w:right w:type="dxa" w:w="120"/>
            </w:tcMar>
          </w:tcPr>
          <w:p>
            <w:r>
              <w:rPr>
                <w:rFonts w:ascii="Arial" w:cs="Arial" w:eastAsia="Arial" w:hAnsi="Arial"/>
                <w:b w:val="false"/>
                <w:bCs w:val="false"/>
                <w:color w:val="1E2A3A"/>
                <w:sz w:val="20"/>
                <w:szCs w:val="20"/>
              </w:rPr>
              <w:t xml:space="preserve">Laptop, docking station, mouse, keyboard, headset</w:t>
            </w:r>
          </w:p>
        </w:tc>
        <w:tc>
          <w:tcPr>
            <w:tcW w:type="dxa" w:w="2760"/>
            <w:tcBorders>
              <w:top w:val="single" w:color="D0D9E4" w:sz="1"/>
              <w:left w:val="single" w:color="D0D9E4" w:sz="1"/>
              <w:bottom w:val="single" w:color="D0D9E4" w:sz="1"/>
              <w:right w:val="single" w:color="D0D9E4" w:sz="1"/>
            </w:tcBorders>
            <w:shd w:fill="FFFFFF" w:val="clear"/>
            <w:tcMar>
              <w:top w:type="dxa" w:w="80"/>
              <w:left w:type="dxa" w:w="120"/>
              <w:bottom w:type="dxa" w:w="80"/>
              <w:right w:type="dxa" w:w="120"/>
            </w:tcMar>
          </w:tcPr>
          <w:p>
            <w:r>
              <w:rPr>
                <w:rFonts w:ascii="Arial" w:cs="Arial" w:eastAsia="Arial" w:hAnsi="Arial"/>
                <w:b w:val="false"/>
                <w:bCs w:val="false"/>
                <w:color w:val="1E2A3A"/>
                <w:sz w:val="20"/>
                <w:szCs w:val="20"/>
              </w:rPr>
              <w:t xml:space="preserve">External monitor, webcam</w:t>
            </w:r>
          </w:p>
        </w:tc>
      </w:tr>
      <w:tr>
        <w:tc>
          <w:tcPr>
            <w:tcW w:type="dxa" w:w="2400"/>
            <w:tcBorders>
              <w:top w:val="single" w:color="D0D9E4" w:sz="1"/>
              <w:left w:val="single" w:color="D0D9E4" w:sz="1"/>
              <w:bottom w:val="single" w:color="D0D9E4" w:sz="1"/>
              <w:right w:val="single" w:color="D0D9E4" w:sz="1"/>
            </w:tcBorders>
            <w:shd w:fill="F2F5F9" w:val="clear"/>
            <w:tcMar>
              <w:top w:type="dxa" w:w="80"/>
              <w:left w:type="dxa" w:w="120"/>
              <w:bottom w:type="dxa" w:w="80"/>
              <w:right w:type="dxa" w:w="120"/>
            </w:tcMar>
          </w:tcPr>
          <w:p>
            <w:r>
              <w:rPr>
                <w:rFonts w:ascii="Arial" w:cs="Arial" w:eastAsia="Arial" w:hAnsi="Arial"/>
                <w:b w:val="false"/>
                <w:bCs w:val="false"/>
                <w:color w:val="1E2A3A"/>
                <w:sz w:val="20"/>
                <w:szCs w:val="20"/>
              </w:rPr>
              <w:t xml:space="preserve">Team Lead / Manager</w:t>
            </w:r>
          </w:p>
        </w:tc>
        <w:tc>
          <w:tcPr>
            <w:tcW w:type="dxa" w:w="4200"/>
            <w:tcBorders>
              <w:top w:val="single" w:color="D0D9E4" w:sz="1"/>
              <w:left w:val="single" w:color="D0D9E4" w:sz="1"/>
              <w:bottom w:val="single" w:color="D0D9E4" w:sz="1"/>
              <w:right w:val="single" w:color="D0D9E4" w:sz="1"/>
            </w:tcBorders>
            <w:shd w:fill="FFFFFF" w:val="clear"/>
            <w:tcMar>
              <w:top w:type="dxa" w:w="80"/>
              <w:left w:type="dxa" w:w="120"/>
              <w:bottom w:type="dxa" w:w="80"/>
              <w:right w:type="dxa" w:w="120"/>
            </w:tcMar>
          </w:tcPr>
          <w:p>
            <w:r>
              <w:rPr>
                <w:rFonts w:ascii="Arial" w:cs="Arial" w:eastAsia="Arial" w:hAnsi="Arial"/>
                <w:b w:val="false"/>
                <w:bCs w:val="false"/>
                <w:color w:val="1E2A3A"/>
                <w:sz w:val="20"/>
                <w:szCs w:val="20"/>
              </w:rPr>
              <w:t xml:space="preserve">Laptop, monitor, docking station, full peripherals</w:t>
            </w:r>
          </w:p>
        </w:tc>
        <w:tc>
          <w:tcPr>
            <w:tcW w:type="dxa" w:w="2760"/>
            <w:tcBorders>
              <w:top w:val="single" w:color="D0D9E4" w:sz="1"/>
              <w:left w:val="single" w:color="D0D9E4" w:sz="1"/>
              <w:bottom w:val="single" w:color="D0D9E4" w:sz="1"/>
              <w:right w:val="single" w:color="D0D9E4" w:sz="1"/>
            </w:tcBorders>
            <w:shd w:fill="FFFFFF" w:val="clear"/>
            <w:tcMar>
              <w:top w:type="dxa" w:w="80"/>
              <w:left w:type="dxa" w:w="120"/>
              <w:bottom w:type="dxa" w:w="80"/>
              <w:right w:type="dxa" w:w="120"/>
            </w:tcMar>
          </w:tcPr>
          <w:p>
            <w:r>
              <w:rPr>
                <w:rFonts w:ascii="Arial" w:cs="Arial" w:eastAsia="Arial" w:hAnsi="Arial"/>
                <w:b w:val="false"/>
                <w:bCs w:val="false"/>
                <w:color w:val="1E2A3A"/>
                <w:sz w:val="20"/>
                <w:szCs w:val="20"/>
              </w:rPr>
              <w:t xml:space="preserve">Mobile device, soft phone</w:t>
            </w:r>
          </w:p>
        </w:tc>
      </w:tr>
      <w:tr>
        <w:tc>
          <w:tcPr>
            <w:tcW w:type="dxa" w:w="2400"/>
            <w:tcBorders>
              <w:top w:val="single" w:color="D0D9E4" w:sz="1"/>
              <w:left w:val="single" w:color="D0D9E4" w:sz="1"/>
              <w:bottom w:val="single" w:color="D0D9E4" w:sz="1"/>
              <w:right w:val="single" w:color="D0D9E4" w:sz="1"/>
            </w:tcBorders>
            <w:shd w:fill="F2F5F9" w:val="clear"/>
            <w:tcMar>
              <w:top w:type="dxa" w:w="80"/>
              <w:left w:type="dxa" w:w="120"/>
              <w:bottom w:type="dxa" w:w="80"/>
              <w:right w:type="dxa" w:w="120"/>
            </w:tcMar>
          </w:tcPr>
          <w:p>
            <w:r>
              <w:rPr>
                <w:rFonts w:ascii="Arial" w:cs="Arial" w:eastAsia="Arial" w:hAnsi="Arial"/>
                <w:b w:val="false"/>
                <w:bCs w:val="false"/>
                <w:color w:val="1E2A3A"/>
                <w:sz w:val="20"/>
                <w:szCs w:val="20"/>
              </w:rPr>
              <w:t xml:space="preserve">Senior Manager / VP</w:t>
            </w:r>
          </w:p>
        </w:tc>
        <w:tc>
          <w:tcPr>
            <w:tcW w:type="dxa" w:w="4200"/>
            <w:tcBorders>
              <w:top w:val="single" w:color="D0D9E4" w:sz="1"/>
              <w:left w:val="single" w:color="D0D9E4" w:sz="1"/>
              <w:bottom w:val="single" w:color="D0D9E4" w:sz="1"/>
              <w:right w:val="single" w:color="D0D9E4" w:sz="1"/>
            </w:tcBorders>
            <w:shd w:fill="FFFFFF" w:val="clear"/>
            <w:tcMar>
              <w:top w:type="dxa" w:w="80"/>
              <w:left w:type="dxa" w:w="120"/>
              <w:bottom w:type="dxa" w:w="80"/>
              <w:right w:type="dxa" w:w="120"/>
            </w:tcMar>
          </w:tcPr>
          <w:p>
            <w:r>
              <w:rPr>
                <w:rFonts w:ascii="Arial" w:cs="Arial" w:eastAsia="Arial" w:hAnsi="Arial"/>
                <w:b w:val="false"/>
                <w:bCs w:val="false"/>
                <w:color w:val="1E2A3A"/>
                <w:sz w:val="20"/>
                <w:szCs w:val="20"/>
              </w:rPr>
              <w:t xml:space="preserve">Laptop, dual monitors, peripherals, mobile device</w:t>
            </w:r>
          </w:p>
        </w:tc>
        <w:tc>
          <w:tcPr>
            <w:tcW w:type="dxa" w:w="2760"/>
            <w:tcBorders>
              <w:top w:val="single" w:color="D0D9E4" w:sz="1"/>
              <w:left w:val="single" w:color="D0D9E4" w:sz="1"/>
              <w:bottom w:val="single" w:color="D0D9E4" w:sz="1"/>
              <w:right w:val="single" w:color="D0D9E4" w:sz="1"/>
            </w:tcBorders>
            <w:shd w:fill="FFFFFF" w:val="clear"/>
            <w:tcMar>
              <w:top w:type="dxa" w:w="80"/>
              <w:left w:type="dxa" w:w="120"/>
              <w:bottom w:type="dxa" w:w="80"/>
              <w:right w:type="dxa" w:w="120"/>
            </w:tcMar>
          </w:tcPr>
          <w:p>
            <w:r>
              <w:rPr>
                <w:rFonts w:ascii="Arial" w:cs="Arial" w:eastAsia="Arial" w:hAnsi="Arial"/>
                <w:b w:val="false"/>
                <w:bCs w:val="false"/>
                <w:color w:val="1E2A3A"/>
                <w:sz w:val="20"/>
                <w:szCs w:val="20"/>
              </w:rPr>
              <w:t xml:space="preserve">Home office allowance</w:t>
            </w:r>
          </w:p>
        </w:tc>
      </w:tr>
      <w:tr>
        <w:tc>
          <w:tcPr>
            <w:tcW w:type="dxa" w:w="2400"/>
            <w:tcBorders>
              <w:top w:val="single" w:color="D0D9E4" w:sz="1"/>
              <w:left w:val="single" w:color="D0D9E4" w:sz="1"/>
              <w:bottom w:val="single" w:color="D0D9E4" w:sz="1"/>
              <w:right w:val="single" w:color="D0D9E4" w:sz="1"/>
            </w:tcBorders>
            <w:shd w:fill="F2F5F9" w:val="clear"/>
            <w:tcMar>
              <w:top w:type="dxa" w:w="80"/>
              <w:left w:type="dxa" w:w="120"/>
              <w:bottom w:type="dxa" w:w="80"/>
              <w:right w:type="dxa" w:w="120"/>
            </w:tcMar>
          </w:tcPr>
          <w:p>
            <w:r>
              <w:rPr>
                <w:rFonts w:ascii="Arial" w:cs="Arial" w:eastAsia="Arial" w:hAnsi="Arial"/>
                <w:b w:val="false"/>
                <w:bCs w:val="false"/>
                <w:color w:val="1E2A3A"/>
                <w:sz w:val="20"/>
                <w:szCs w:val="20"/>
              </w:rPr>
              <w:t xml:space="preserve">Field / Client-Facing Roles</w:t>
            </w:r>
          </w:p>
        </w:tc>
        <w:tc>
          <w:tcPr>
            <w:tcW w:type="dxa" w:w="4200"/>
            <w:tcBorders>
              <w:top w:val="single" w:color="D0D9E4" w:sz="1"/>
              <w:left w:val="single" w:color="D0D9E4" w:sz="1"/>
              <w:bottom w:val="single" w:color="D0D9E4" w:sz="1"/>
              <w:right w:val="single" w:color="D0D9E4" w:sz="1"/>
            </w:tcBorders>
            <w:shd w:fill="FFFFFF" w:val="clear"/>
            <w:tcMar>
              <w:top w:type="dxa" w:w="80"/>
              <w:left w:type="dxa" w:w="120"/>
              <w:bottom w:type="dxa" w:w="80"/>
              <w:right w:type="dxa" w:w="120"/>
            </w:tcMar>
          </w:tcPr>
          <w:p>
            <w:r>
              <w:rPr>
                <w:rFonts w:ascii="Arial" w:cs="Arial" w:eastAsia="Arial" w:hAnsi="Arial"/>
                <w:b w:val="false"/>
                <w:bCs w:val="false"/>
                <w:color w:val="1E2A3A"/>
                <w:sz w:val="20"/>
                <w:szCs w:val="20"/>
              </w:rPr>
              <w:t xml:space="preserve">Laptop, mobile device, portable hotspot</w:t>
            </w:r>
          </w:p>
        </w:tc>
        <w:tc>
          <w:tcPr>
            <w:tcW w:type="dxa" w:w="2760"/>
            <w:tcBorders>
              <w:top w:val="single" w:color="D0D9E4" w:sz="1"/>
              <w:left w:val="single" w:color="D0D9E4" w:sz="1"/>
              <w:bottom w:val="single" w:color="D0D9E4" w:sz="1"/>
              <w:right w:val="single" w:color="D0D9E4" w:sz="1"/>
            </w:tcBorders>
            <w:shd w:fill="FFFFFF" w:val="clear"/>
            <w:tcMar>
              <w:top w:type="dxa" w:w="80"/>
              <w:left w:type="dxa" w:w="120"/>
              <w:bottom w:type="dxa" w:w="80"/>
              <w:right w:type="dxa" w:w="120"/>
            </w:tcMar>
          </w:tcPr>
          <w:p>
            <w:r>
              <w:rPr>
                <w:rFonts w:ascii="Arial" w:cs="Arial" w:eastAsia="Arial" w:hAnsi="Arial"/>
                <w:b w:val="false"/>
                <w:bCs w:val="false"/>
                <w:color w:val="1E2A3A"/>
                <w:sz w:val="20"/>
                <w:szCs w:val="20"/>
              </w:rPr>
              <w:t xml:space="preserve">Tablet, presentation clicker</w:t>
            </w:r>
          </w:p>
        </w:tc>
      </w:tr>
      <w:tr>
        <w:tc>
          <w:tcPr>
            <w:tcW w:type="dxa" w:w="2400"/>
            <w:tcBorders>
              <w:top w:val="single" w:color="D0D9E4" w:sz="1"/>
              <w:left w:val="single" w:color="D0D9E4" w:sz="1"/>
              <w:bottom w:val="single" w:color="D0D9E4" w:sz="1"/>
              <w:right w:val="single" w:color="D0D9E4" w:sz="1"/>
            </w:tcBorders>
            <w:shd w:fill="F2F5F9" w:val="clear"/>
            <w:tcMar>
              <w:top w:type="dxa" w:w="80"/>
              <w:left w:type="dxa" w:w="120"/>
              <w:bottom w:type="dxa" w:w="80"/>
              <w:right w:type="dxa" w:w="120"/>
            </w:tcMar>
          </w:tcPr>
          <w:p>
            <w:r>
              <w:rPr>
                <w:rFonts w:ascii="Arial" w:cs="Arial" w:eastAsia="Arial" w:hAnsi="Arial"/>
                <w:b w:val="false"/>
                <w:bCs w:val="false"/>
                <w:color w:val="1E2A3A"/>
                <w:sz w:val="20"/>
                <w:szCs w:val="20"/>
              </w:rPr>
              <w:t xml:space="preserve">Intern / Contract Staff</w:t>
            </w:r>
          </w:p>
        </w:tc>
        <w:tc>
          <w:tcPr>
            <w:tcW w:type="dxa" w:w="4200"/>
            <w:tcBorders>
              <w:top w:val="single" w:color="D0D9E4" w:sz="1"/>
              <w:left w:val="single" w:color="D0D9E4" w:sz="1"/>
              <w:bottom w:val="single" w:color="D0D9E4" w:sz="1"/>
              <w:right w:val="single" w:color="D0D9E4" w:sz="1"/>
            </w:tcBorders>
            <w:shd w:fill="FFFFFF" w:val="clear"/>
            <w:tcMar>
              <w:top w:type="dxa" w:w="80"/>
              <w:left w:type="dxa" w:w="120"/>
              <w:bottom w:type="dxa" w:w="80"/>
              <w:right w:type="dxa" w:w="120"/>
            </w:tcMar>
          </w:tcPr>
          <w:p>
            <w:r>
              <w:rPr>
                <w:rFonts w:ascii="Arial" w:cs="Arial" w:eastAsia="Arial" w:hAnsi="Arial"/>
                <w:b w:val="false"/>
                <w:bCs w:val="false"/>
                <w:color w:val="1E2A3A"/>
                <w:sz w:val="20"/>
                <w:szCs w:val="20"/>
              </w:rPr>
              <w:t xml:space="preserve">Shared workstation or loaned laptop</w:t>
            </w:r>
          </w:p>
        </w:tc>
        <w:tc>
          <w:tcPr>
            <w:tcW w:type="dxa" w:w="2760"/>
            <w:tcBorders>
              <w:top w:val="single" w:color="D0D9E4" w:sz="1"/>
              <w:left w:val="single" w:color="D0D9E4" w:sz="1"/>
              <w:bottom w:val="single" w:color="D0D9E4" w:sz="1"/>
              <w:right w:val="single" w:color="D0D9E4" w:sz="1"/>
            </w:tcBorders>
            <w:shd w:fill="FFFFFF" w:val="clear"/>
            <w:tcMar>
              <w:top w:type="dxa" w:w="80"/>
              <w:left w:type="dxa" w:w="120"/>
              <w:bottom w:type="dxa" w:w="80"/>
              <w:right w:type="dxa" w:w="120"/>
            </w:tcMar>
          </w:tcPr>
          <w:p>
            <w:r>
              <w:rPr>
                <w:rFonts w:ascii="Arial" w:cs="Arial" w:eastAsia="Arial" w:hAnsi="Arial"/>
                <w:b w:val="false"/>
                <w:bCs w:val="false"/>
                <w:color w:val="1E2A3A"/>
                <w:sz w:val="20"/>
                <w:szCs w:val="20"/>
              </w:rPr>
              <w:t xml:space="preserve">As per project requirement</w:t>
            </w:r>
          </w:p>
        </w:tc>
      </w:tr>
    </w:tbl>
    <w:p>
      <w:pPr>
        <w:spacing w:after="100" w:before="0"/>
      </w:pPr>
    </w:p>
    <w:p>
      <w:pPr>
        <w:pStyle w:val="Heading2"/>
        <w:spacing w:after="120" w:before="240"/>
      </w:pPr>
      <w:r>
        <w:rPr>
          <w:rFonts w:ascii="Arial" w:cs="Arial" w:eastAsia="Arial" w:hAnsi="Arial"/>
          <w:b/>
          <w:bCs/>
          <w:color w:val="0E7E7E"/>
          <w:sz w:val="26"/>
          <w:szCs w:val="26"/>
        </w:rPr>
        <w:t xml:space="preserve">5.2  Asset Handover Process</w:t>
      </w:r>
    </w:p>
    <w:p>
      <w:pPr>
        <w:pStyle w:val="ListParagraph"/>
        <w:numPr>
          <w:ilvl w:val="0"/>
          <w:numId w:val="2"/>
        </w:numPr>
        <w:spacing w:after="60" w:before="40"/>
      </w:pPr>
      <w:r>
        <w:rPr>
          <w:rFonts w:ascii="Arial" w:cs="Arial" w:eastAsia="Arial" w:hAnsi="Arial"/>
          <w:color w:val="1E2A3A"/>
          <w:sz w:val="22"/>
          <w:szCs w:val="22"/>
        </w:rPr>
        <w:t xml:space="preserve">IT team prepares asset kit 2 days before your joining date.</w:t>
      </w:r>
    </w:p>
    <w:p>
      <w:pPr>
        <w:pStyle w:val="ListParagraph"/>
        <w:numPr>
          <w:ilvl w:val="0"/>
          <w:numId w:val="2"/>
        </w:numPr>
        <w:spacing w:after="60" w:before="40"/>
      </w:pPr>
      <w:r>
        <w:rPr>
          <w:rFonts w:ascii="Arial" w:cs="Arial" w:eastAsia="Arial" w:hAnsi="Arial"/>
          <w:color w:val="1E2A3A"/>
          <w:sz w:val="22"/>
          <w:szCs w:val="22"/>
        </w:rPr>
        <w:t xml:space="preserve">You will sign an Asset Acknowledgement Form on Day 1 confirming receipt.</w:t>
      </w:r>
    </w:p>
    <w:p>
      <w:pPr>
        <w:pStyle w:val="ListParagraph"/>
        <w:numPr>
          <w:ilvl w:val="0"/>
          <w:numId w:val="2"/>
        </w:numPr>
        <w:spacing w:after="60" w:before="40"/>
      </w:pPr>
      <w:r>
        <w:rPr>
          <w:rFonts w:ascii="Arial" w:cs="Arial" w:eastAsia="Arial" w:hAnsi="Arial"/>
          <w:color w:val="1E2A3A"/>
          <w:sz w:val="22"/>
          <w:szCs w:val="22"/>
        </w:rPr>
        <w:t xml:space="preserve">All assets are tagged and logged against your employee ID in the IT CMDB system.</w:t>
      </w:r>
    </w:p>
    <w:p>
      <w:pPr>
        <w:pStyle w:val="ListParagraph"/>
        <w:numPr>
          <w:ilvl w:val="0"/>
          <w:numId w:val="2"/>
        </w:numPr>
        <w:spacing w:after="60" w:before="40"/>
      </w:pPr>
      <w:r>
        <w:rPr>
          <w:rFonts w:ascii="Arial" w:cs="Arial" w:eastAsia="Arial" w:hAnsi="Arial"/>
          <w:color w:val="1E2A3A"/>
          <w:sz w:val="22"/>
          <w:szCs w:val="22"/>
        </w:rPr>
        <w:t xml:space="preserve">Lost or damaged assets must be reported to IT within 24 hours via helpdesk@company.com.</w:t>
      </w:r>
    </w:p>
    <w:p>
      <w:pPr>
        <w:spacing w:after="60" w:before="0"/>
      </w:pPr>
    </w:p>
    <w:p>
      <w:pPr>
        <w:pStyle w:val="Heading2"/>
        <w:spacing w:after="120" w:before="240"/>
      </w:pPr>
      <w:r>
        <w:rPr>
          <w:rFonts w:ascii="Arial" w:cs="Arial" w:eastAsia="Arial" w:hAnsi="Arial"/>
          <w:b/>
          <w:bCs/>
          <w:color w:val="0E7E7E"/>
          <w:sz w:val="26"/>
          <w:szCs w:val="26"/>
        </w:rPr>
        <w:t xml:space="preserve">5.3  Return of Assets</w:t>
      </w:r>
    </w:p>
    <w:p>
      <w:pPr>
        <w:spacing w:after="100" w:before="60"/>
      </w:pPr>
      <w:r>
        <w:rPr>
          <w:rFonts w:ascii="Arial" w:cs="Arial" w:eastAsia="Arial" w:hAnsi="Arial"/>
          <w:color w:val="1E2A3A"/>
          <w:sz w:val="22"/>
          <w:szCs w:val="22"/>
        </w:rPr>
        <w:t xml:space="preserve">All IT assets must be returned in full on the last working day in the event of resignation, termination, or transfer. Failure to return assets will result in recovery from the final settlement.</w:t>
      </w:r>
    </w:p>
    <w:p>
      <w:pPr>
        <w:spacing w:after="120" w:before="0"/>
      </w:pPr>
    </w:p>
    <w:p>
      <w:r>
        <w:br w:type="page"/>
      </w:r>
    </w:p>
    <w:p>
      <w:pPr>
        <w:pStyle w:val="Heading1"/>
        <w:spacing w:after="160" w:before="320"/>
      </w:pPr>
      <w:r>
        <w:rPr>
          <w:rFonts w:ascii="Arial" w:cs="Arial" w:eastAsia="Arial" w:hAnsi="Arial"/>
          <w:b/>
          <w:bCs/>
          <w:color w:val="1B3A6B"/>
          <w:sz w:val="36"/>
          <w:szCs w:val="36"/>
        </w:rPr>
        <w:t xml:space="preserve">6. Account Creation &amp; System Access</w:t>
      </w:r>
    </w:p>
    <w:p>
      <w:pPr>
        <w:pBdr>
          <w:bottom w:val="single" w:color="0E7E7E" w:sz="6" w:space="1"/>
        </w:pBdr>
        <w:spacing w:after="120" w:before="120"/>
      </w:pPr>
    </w:p>
    <w:p>
      <w:pPr>
        <w:spacing w:after="100" w:before="60"/>
      </w:pPr>
      <w:r>
        <w:rPr>
          <w:rFonts w:ascii="Arial" w:cs="Arial" w:eastAsia="Arial" w:hAnsi="Arial"/>
          <w:color w:val="1E2A3A"/>
          <w:sz w:val="22"/>
          <w:szCs w:val="22"/>
        </w:rPr>
        <w:t xml:space="preserve">System access is provisioned in parallel with asset allocation. Your corporate email and primary accounts will be ready by Day 1. Role-specific application access is provisioned within the first 3 business days.</w:t>
      </w:r>
    </w:p>
    <w:p>
      <w:pPr>
        <w:spacing w:after="80" w:before="0"/>
      </w:pPr>
    </w:p>
    <w:p>
      <w:pPr>
        <w:pStyle w:val="Heading2"/>
        <w:spacing w:after="120" w:before="240"/>
      </w:pPr>
      <w:r>
        <w:rPr>
          <w:rFonts w:ascii="Arial" w:cs="Arial" w:eastAsia="Arial" w:hAnsi="Arial"/>
          <w:b/>
          <w:bCs/>
          <w:color w:val="0E7E7E"/>
          <w:sz w:val="26"/>
          <w:szCs w:val="26"/>
        </w:rPr>
        <w:t xml:space="preserve">6.1  Standard Accounts (Day 1)</w:t>
      </w:r>
    </w:p>
    <w:p>
      <w:pPr>
        <w:pStyle w:val="ListParagraph"/>
        <w:numPr>
          <w:ilvl w:val="0"/>
          <w:numId w:val="2"/>
        </w:numPr>
        <w:spacing w:after="60" w:before="40"/>
      </w:pPr>
      <w:r>
        <w:rPr>
          <w:rFonts w:ascii="Arial" w:cs="Arial" w:eastAsia="Arial" w:hAnsi="Arial"/>
          <w:color w:val="1E2A3A"/>
          <w:sz w:val="22"/>
          <w:szCs w:val="22"/>
        </w:rPr>
        <w:t xml:space="preserve">Corporate Email Account (name@company.com)</w:t>
      </w:r>
    </w:p>
    <w:p>
      <w:pPr>
        <w:pStyle w:val="ListParagraph"/>
        <w:numPr>
          <w:ilvl w:val="0"/>
          <w:numId w:val="2"/>
        </w:numPr>
        <w:spacing w:after="60" w:before="40"/>
      </w:pPr>
      <w:r>
        <w:rPr>
          <w:rFonts w:ascii="Arial" w:cs="Arial" w:eastAsia="Arial" w:hAnsi="Arial"/>
          <w:color w:val="1E2A3A"/>
          <w:sz w:val="22"/>
          <w:szCs w:val="22"/>
        </w:rPr>
        <w:t xml:space="preserve">Active Directory / SSO credentials</w:t>
      </w:r>
    </w:p>
    <w:p>
      <w:pPr>
        <w:pStyle w:val="ListParagraph"/>
        <w:numPr>
          <w:ilvl w:val="0"/>
          <w:numId w:val="2"/>
        </w:numPr>
        <w:spacing w:after="60" w:before="40"/>
      </w:pPr>
      <w:r>
        <w:rPr>
          <w:rFonts w:ascii="Arial" w:cs="Arial" w:eastAsia="Arial" w:hAnsi="Arial"/>
          <w:color w:val="1E2A3A"/>
          <w:sz w:val="22"/>
          <w:szCs w:val="22"/>
        </w:rPr>
        <w:t xml:space="preserve">HR Self-Service Portal (leave management, payslips, policies)</w:t>
      </w:r>
    </w:p>
    <w:p>
      <w:pPr>
        <w:pStyle w:val="ListParagraph"/>
        <w:numPr>
          <w:ilvl w:val="0"/>
          <w:numId w:val="2"/>
        </w:numPr>
        <w:spacing w:after="60" w:before="40"/>
      </w:pPr>
      <w:r>
        <w:rPr>
          <w:rFonts w:ascii="Arial" w:cs="Arial" w:eastAsia="Arial" w:hAnsi="Arial"/>
          <w:color w:val="1E2A3A"/>
          <w:sz w:val="22"/>
          <w:szCs w:val="22"/>
        </w:rPr>
        <w:t xml:space="preserve">Intranet and Company Knowledge Base</w:t>
      </w:r>
    </w:p>
    <w:p>
      <w:pPr>
        <w:pStyle w:val="ListParagraph"/>
        <w:numPr>
          <w:ilvl w:val="0"/>
          <w:numId w:val="2"/>
        </w:numPr>
        <w:spacing w:after="60" w:before="40"/>
      </w:pPr>
      <w:r>
        <w:rPr>
          <w:rFonts w:ascii="Arial" w:cs="Arial" w:eastAsia="Arial" w:hAnsi="Arial"/>
          <w:color w:val="1E2A3A"/>
          <w:sz w:val="22"/>
          <w:szCs w:val="22"/>
        </w:rPr>
        <w:t xml:space="preserve">Microsoft 365 / Google Workspace (as applicable)</w:t>
      </w:r>
    </w:p>
    <w:p>
      <w:pPr>
        <w:pStyle w:val="ListParagraph"/>
        <w:numPr>
          <w:ilvl w:val="0"/>
          <w:numId w:val="2"/>
        </w:numPr>
        <w:spacing w:after="60" w:before="40"/>
      </w:pPr>
      <w:r>
        <w:rPr>
          <w:rFonts w:ascii="Arial" w:cs="Arial" w:eastAsia="Arial" w:hAnsi="Arial"/>
          <w:color w:val="1E2A3A"/>
          <w:sz w:val="22"/>
          <w:szCs w:val="22"/>
        </w:rPr>
        <w:t xml:space="preserve">Slack / Microsoft Teams workspace access</w:t>
      </w:r>
    </w:p>
    <w:p>
      <w:pPr>
        <w:spacing w:after="80" w:before="0"/>
      </w:pPr>
    </w:p>
    <w:p>
      <w:pPr>
        <w:pStyle w:val="Heading2"/>
        <w:spacing w:after="120" w:before="240"/>
      </w:pPr>
      <w:r>
        <w:rPr>
          <w:rFonts w:ascii="Arial" w:cs="Arial" w:eastAsia="Arial" w:hAnsi="Arial"/>
          <w:b/>
          <w:bCs/>
          <w:color w:val="0E7E7E"/>
          <w:sz w:val="26"/>
          <w:szCs w:val="26"/>
        </w:rPr>
        <w:t xml:space="preserve">6.2  Role-Specific Access (Days 2–3)</w:t>
      </w:r>
    </w:p>
    <w:p>
      <w:pPr>
        <w:pStyle w:val="ListParagraph"/>
        <w:numPr>
          <w:ilvl w:val="0"/>
          <w:numId w:val="2"/>
        </w:numPr>
        <w:spacing w:after="60" w:before="40"/>
      </w:pPr>
      <w:r>
        <w:rPr>
          <w:rFonts w:ascii="Arial" w:cs="Arial" w:eastAsia="Arial" w:hAnsi="Arial"/>
          <w:color w:val="1E2A3A"/>
          <w:sz w:val="22"/>
          <w:szCs w:val="22"/>
        </w:rPr>
        <w:t xml:space="preserve">Project management tools (Jira, Asana, Monday.com)</w:t>
      </w:r>
    </w:p>
    <w:p>
      <w:pPr>
        <w:pStyle w:val="ListParagraph"/>
        <w:numPr>
          <w:ilvl w:val="0"/>
          <w:numId w:val="2"/>
        </w:numPr>
        <w:spacing w:after="60" w:before="40"/>
      </w:pPr>
      <w:r>
        <w:rPr>
          <w:rFonts w:ascii="Arial" w:cs="Arial" w:eastAsia="Arial" w:hAnsi="Arial"/>
          <w:color w:val="1E2A3A"/>
          <w:sz w:val="22"/>
          <w:szCs w:val="22"/>
        </w:rPr>
        <w:t xml:space="preserve">CRM systems (Salesforce, HubSpot)</w:t>
      </w:r>
    </w:p>
    <w:p>
      <w:pPr>
        <w:pStyle w:val="ListParagraph"/>
        <w:numPr>
          <w:ilvl w:val="0"/>
          <w:numId w:val="2"/>
        </w:numPr>
        <w:spacing w:after="60" w:before="40"/>
      </w:pPr>
      <w:r>
        <w:rPr>
          <w:rFonts w:ascii="Arial" w:cs="Arial" w:eastAsia="Arial" w:hAnsi="Arial"/>
          <w:color w:val="1E2A3A"/>
          <w:sz w:val="22"/>
          <w:szCs w:val="22"/>
        </w:rPr>
        <w:t xml:space="preserve">Developer tools (GitHub, AWS, GCP, Azure) — upon manager approval</w:t>
      </w:r>
    </w:p>
    <w:p>
      <w:pPr>
        <w:pStyle w:val="ListParagraph"/>
        <w:numPr>
          <w:ilvl w:val="0"/>
          <w:numId w:val="2"/>
        </w:numPr>
        <w:spacing w:after="60" w:before="40"/>
      </w:pPr>
      <w:r>
        <w:rPr>
          <w:rFonts w:ascii="Arial" w:cs="Arial" w:eastAsia="Arial" w:hAnsi="Arial"/>
          <w:color w:val="1E2A3A"/>
          <w:sz w:val="22"/>
          <w:szCs w:val="22"/>
        </w:rPr>
        <w:t xml:space="preserve">Data and analytics platforms (Tableau, Looker, BigQuery)</w:t>
      </w:r>
    </w:p>
    <w:p>
      <w:pPr>
        <w:pStyle w:val="ListParagraph"/>
        <w:numPr>
          <w:ilvl w:val="0"/>
          <w:numId w:val="2"/>
        </w:numPr>
        <w:spacing w:after="60" w:before="40"/>
      </w:pPr>
      <w:r>
        <w:rPr>
          <w:rFonts w:ascii="Arial" w:cs="Arial" w:eastAsia="Arial" w:hAnsi="Arial"/>
          <w:color w:val="1E2A3A"/>
          <w:sz w:val="22"/>
          <w:szCs w:val="22"/>
        </w:rPr>
        <w:t xml:space="preserve">Finance and ERP systems (SAP, NetSuite) — for applicable roles</w:t>
      </w:r>
    </w:p>
    <w:p>
      <w:pPr>
        <w:spacing w:after="80" w:before="0"/>
      </w:pPr>
    </w:p>
    <w:p>
      <w:pPr>
        <w:pStyle w:val="Heading2"/>
        <w:spacing w:after="120" w:before="240"/>
      </w:pPr>
      <w:r>
        <w:rPr>
          <w:rFonts w:ascii="Arial" w:cs="Arial" w:eastAsia="Arial" w:hAnsi="Arial"/>
          <w:b/>
          <w:bCs/>
          <w:color w:val="0E7E7E"/>
          <w:sz w:val="26"/>
          <w:szCs w:val="26"/>
        </w:rPr>
        <w:t xml:space="preserve">6.3  Access Request Process</w:t>
      </w:r>
    </w:p>
    <w:p>
      <w:pPr>
        <w:spacing w:after="100" w:before="60"/>
      </w:pPr>
      <w:r>
        <w:rPr>
          <w:rFonts w:ascii="Arial" w:cs="Arial" w:eastAsia="Arial" w:hAnsi="Arial"/>
          <w:color w:val="1E2A3A"/>
          <w:sz w:val="22"/>
          <w:szCs w:val="22"/>
        </w:rPr>
        <w:t xml:space="preserve">Additional access beyond the standard provisioning must be requested via the IT Service Desk with manager approval. The standard SLA is 2 business days. Privileged access (admin rights, production databases) requires CISO approval and may take 5–7 business days.</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9E4" w:sz="1"/>
              <w:left w:val="single" w:color="D0D9E4" w:sz="1"/>
              <w:bottom w:val="single" w:color="D0D9E4" w:sz="1"/>
              <w:right w:val="single" w:color="D0D9E4" w:sz="1"/>
            </w:tcBorders>
            <w:shd w:fill="E8F4F4" w:val="clear"/>
            <w:tcMar>
              <w:top w:type="dxa" w:w="120"/>
              <w:left w:type="dxa" w:w="200"/>
              <w:bottom w:type="dxa" w:w="120"/>
              <w:right w:type="dxa" w:w="200"/>
            </w:tcMar>
          </w:tcPr>
          <w:p>
            <w:pPr>
              <w:spacing w:after="40" w:before="40"/>
            </w:pPr>
            <w:r>
              <w:rPr>
                <w:rFonts w:ascii="Arial" w:cs="Arial" w:eastAsia="Arial" w:hAnsi="Arial"/>
                <w:b/>
                <w:bCs/>
                <w:color w:val="0E7E7E"/>
                <w:sz w:val="22"/>
                <w:szCs w:val="22"/>
              </w:rPr>
              <w:t xml:space="preserve">🔐  Security Note: </w:t>
            </w:r>
            <w:r>
              <w:rPr>
                <w:rFonts w:ascii="Arial" w:cs="Arial" w:eastAsia="Arial" w:hAnsi="Arial"/>
                <w:color w:val="1E2A3A"/>
                <w:sz w:val="22"/>
                <w:szCs w:val="22"/>
              </w:rPr>
              <w:t xml:space="preserve">You are responsible for maintaining the confidentiality of your credentials. Never share passwords. Enable MFA on all corporate accounts on Day 1.</w:t>
            </w:r>
          </w:p>
        </w:tc>
      </w:tr>
    </w:tbl>
    <w:p>
      <w:pPr>
        <w:spacing w:after="120" w:before="0"/>
      </w:pPr>
    </w:p>
    <w:p>
      <w:r>
        <w:br w:type="page"/>
      </w:r>
    </w:p>
    <w:p>
      <w:pPr>
        <w:pStyle w:val="Heading1"/>
        <w:spacing w:after="160" w:before="320"/>
      </w:pPr>
      <w:r>
        <w:rPr>
          <w:rFonts w:ascii="Arial" w:cs="Arial" w:eastAsia="Arial" w:hAnsi="Arial"/>
          <w:b/>
          <w:bCs/>
          <w:color w:val="1B3A6B"/>
          <w:sz w:val="36"/>
          <w:szCs w:val="36"/>
        </w:rPr>
        <w:t xml:space="preserve">7. Orientation Schedule</w:t>
      </w:r>
    </w:p>
    <w:p>
      <w:pPr>
        <w:pBdr>
          <w:bottom w:val="single" w:color="0E7E7E" w:sz="6" w:space="1"/>
        </w:pBdr>
        <w:spacing w:after="120" w:before="120"/>
      </w:pPr>
    </w:p>
    <w:p>
      <w:pPr>
        <w:spacing w:after="100" w:before="60"/>
      </w:pPr>
      <w:r>
        <w:rPr>
          <w:rFonts w:ascii="Arial" w:cs="Arial" w:eastAsia="Arial" w:hAnsi="Arial"/>
          <w:color w:val="1E2A3A"/>
          <w:sz w:val="22"/>
          <w:szCs w:val="22"/>
        </w:rPr>
        <w:t xml:space="preserve">Your first day and week are structured to help you settle in, meet key stakeholders, and understand the organization's mission, culture, and operations. The orientation schedule is coordinated by HR and your Hiring Manager.</w:t>
      </w:r>
    </w:p>
    <w:p>
      <w:pPr>
        <w:spacing w:after="80" w:before="0"/>
      </w:pPr>
    </w:p>
    <w:p>
      <w:pPr>
        <w:pStyle w:val="Heading2"/>
        <w:spacing w:after="120" w:before="240"/>
      </w:pPr>
      <w:r>
        <w:rPr>
          <w:rFonts w:ascii="Arial" w:cs="Arial" w:eastAsia="Arial" w:hAnsi="Arial"/>
          <w:b/>
          <w:bCs/>
          <w:color w:val="0E7E7E"/>
          <w:sz w:val="26"/>
          <w:szCs w:val="26"/>
        </w:rPr>
        <w:t xml:space="preserve">7.1  Day 1 – Joining Day Schedule</w:t>
      </w:r>
    </w:p>
    <w:p>
      <w:pPr>
        <w:spacing w:after="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0D9E4" w:sz="1"/>
              <w:left w:val="single" w:color="D0D9E4" w:sz="1"/>
              <w:bottom w:val="single" w:color="D0D9E4" w:sz="1"/>
              <w:right w:val="single" w:color="D0D9E4" w:sz="1"/>
            </w:tcBorders>
            <w:shd w:fill="1B3A6B" w:val="clear"/>
            <w:tcMar>
              <w:top w:type="dxa" w:w="80"/>
              <w:left w:type="dxa" w:w="120"/>
              <w:bottom w:type="dxa" w:w="80"/>
              <w:right w:type="dxa" w:w="120"/>
            </w:tcMar>
            <w:vAlign w:val="center"/>
          </w:tcPr>
          <w:p>
            <w:r>
              <w:rPr>
                <w:rFonts w:ascii="Arial" w:cs="Arial" w:eastAsia="Arial" w:hAnsi="Arial"/>
                <w:b/>
                <w:bCs/>
                <w:color w:val="FFFFFF"/>
                <w:sz w:val="20"/>
                <w:szCs w:val="20"/>
              </w:rPr>
              <w:t xml:space="preserve">Time</w:t>
            </w:r>
          </w:p>
        </w:tc>
        <w:tc>
          <w:tcPr>
            <w:tcW w:type="dxa" w:w="6560"/>
            <w:tcBorders>
              <w:top w:val="single" w:color="D0D9E4" w:sz="1"/>
              <w:left w:val="single" w:color="D0D9E4" w:sz="1"/>
              <w:bottom w:val="single" w:color="D0D9E4" w:sz="1"/>
              <w:right w:val="single" w:color="D0D9E4" w:sz="1"/>
            </w:tcBorders>
            <w:shd w:fill="1B3A6B" w:val="clear"/>
            <w:tcMar>
              <w:top w:type="dxa" w:w="80"/>
              <w:left w:type="dxa" w:w="120"/>
              <w:bottom w:type="dxa" w:w="80"/>
              <w:right w:type="dxa" w:w="120"/>
            </w:tcMar>
          </w:tcPr>
          <w:p>
            <w:r>
              <w:rPr>
                <w:rFonts w:ascii="Arial" w:cs="Arial" w:eastAsia="Arial" w:hAnsi="Arial"/>
                <w:color w:val="FFFFFF"/>
                <w:sz w:val="20"/>
                <w:szCs w:val="20"/>
              </w:rPr>
              <w:t xml:space="preserve">Activity</w:t>
            </w:r>
          </w:p>
        </w:tc>
      </w:tr>
      <w:tr>
        <w:tc>
          <w:tcPr>
            <w:tcW w:type="dxa" w:w="2800"/>
            <w:tcBorders>
              <w:top w:val="single" w:color="D0D9E4" w:sz="1"/>
              <w:left w:val="single" w:color="D0D9E4" w:sz="1"/>
              <w:bottom w:val="single" w:color="D0D9E4" w:sz="1"/>
              <w:right w:val="single" w:color="D0D9E4" w:sz="1"/>
            </w:tcBorders>
            <w:shd w:fill="F2F5F9" w:val="clear"/>
            <w:tcMar>
              <w:top w:type="dxa" w:w="80"/>
              <w:left w:type="dxa" w:w="120"/>
              <w:bottom w:type="dxa" w:w="80"/>
              <w:right w:type="dxa" w:w="120"/>
            </w:tcMar>
            <w:vAlign w:val="center"/>
          </w:tcPr>
          <w:p>
            <w:r>
              <w:rPr>
                <w:rFonts w:ascii="Arial" w:cs="Arial" w:eastAsia="Arial" w:hAnsi="Arial"/>
                <w:b w:val="false"/>
                <w:bCs w:val="false"/>
                <w:color w:val="1B3A6B"/>
                <w:sz w:val="20"/>
                <w:szCs w:val="20"/>
              </w:rPr>
              <w:t xml:space="preserve">9:00 – 9:30 AM</w:t>
            </w:r>
          </w:p>
        </w:tc>
        <w:tc>
          <w:tcPr>
            <w:tcW w:type="dxa" w:w="6560"/>
            <w:tcBorders>
              <w:top w:val="single" w:color="D0D9E4" w:sz="1"/>
              <w:left w:val="single" w:color="D0D9E4" w:sz="1"/>
              <w:bottom w:val="single" w:color="D0D9E4" w:sz="1"/>
              <w:right w:val="single" w:color="D0D9E4" w:sz="1"/>
            </w:tcBorders>
            <w:shd w:fill="FFFFFF" w:val="clear"/>
            <w:tcMar>
              <w:top w:type="dxa" w:w="80"/>
              <w:left w:type="dxa" w:w="120"/>
              <w:bottom w:type="dxa" w:w="80"/>
              <w:right w:type="dxa" w:w="120"/>
            </w:tcMar>
          </w:tcPr>
          <w:p>
            <w:r>
              <w:rPr>
                <w:rFonts w:ascii="Arial" w:cs="Arial" w:eastAsia="Arial" w:hAnsi="Arial"/>
                <w:color w:val="1E2A3A"/>
                <w:sz w:val="20"/>
                <w:szCs w:val="20"/>
              </w:rPr>
              <w:t xml:space="preserve">Reporting to HR — Joining formalities, document submission, ID card issuance</w:t>
            </w:r>
          </w:p>
        </w:tc>
      </w:tr>
      <w:tr>
        <w:tc>
          <w:tcPr>
            <w:tcW w:type="dxa" w:w="2800"/>
            <w:tcBorders>
              <w:top w:val="single" w:color="D0D9E4" w:sz="1"/>
              <w:left w:val="single" w:color="D0D9E4" w:sz="1"/>
              <w:bottom w:val="single" w:color="D0D9E4" w:sz="1"/>
              <w:right w:val="single" w:color="D0D9E4" w:sz="1"/>
            </w:tcBorders>
            <w:shd w:fill="F2F5F9" w:val="clear"/>
            <w:tcMar>
              <w:top w:type="dxa" w:w="80"/>
              <w:left w:type="dxa" w:w="120"/>
              <w:bottom w:type="dxa" w:w="80"/>
              <w:right w:type="dxa" w:w="120"/>
            </w:tcMar>
            <w:vAlign w:val="center"/>
          </w:tcPr>
          <w:p>
            <w:r>
              <w:rPr>
                <w:rFonts w:ascii="Arial" w:cs="Arial" w:eastAsia="Arial" w:hAnsi="Arial"/>
                <w:b w:val="false"/>
                <w:bCs w:val="false"/>
                <w:color w:val="1B3A6B"/>
                <w:sz w:val="20"/>
                <w:szCs w:val="20"/>
              </w:rPr>
              <w:t xml:space="preserve">9:30 – 10:30 AM</w:t>
            </w:r>
          </w:p>
        </w:tc>
        <w:tc>
          <w:tcPr>
            <w:tcW w:type="dxa" w:w="6560"/>
            <w:tcBorders>
              <w:top w:val="single" w:color="D0D9E4" w:sz="1"/>
              <w:left w:val="single" w:color="D0D9E4" w:sz="1"/>
              <w:bottom w:val="single" w:color="D0D9E4" w:sz="1"/>
              <w:right w:val="single" w:color="D0D9E4" w:sz="1"/>
            </w:tcBorders>
            <w:shd w:fill="FFFFFF" w:val="clear"/>
            <w:tcMar>
              <w:top w:type="dxa" w:w="80"/>
              <w:left w:type="dxa" w:w="120"/>
              <w:bottom w:type="dxa" w:w="80"/>
              <w:right w:type="dxa" w:w="120"/>
            </w:tcMar>
          </w:tcPr>
          <w:p>
            <w:r>
              <w:rPr>
                <w:rFonts w:ascii="Arial" w:cs="Arial" w:eastAsia="Arial" w:hAnsi="Arial"/>
                <w:color w:val="1E2A3A"/>
                <w:sz w:val="20"/>
                <w:szCs w:val="20"/>
              </w:rPr>
              <w:t xml:space="preserve">IT Setup — Asset handover, account activation, MFA enrollment</w:t>
            </w:r>
          </w:p>
        </w:tc>
      </w:tr>
      <w:tr>
        <w:tc>
          <w:tcPr>
            <w:tcW w:type="dxa" w:w="2800"/>
            <w:tcBorders>
              <w:top w:val="single" w:color="D0D9E4" w:sz="1"/>
              <w:left w:val="single" w:color="D0D9E4" w:sz="1"/>
              <w:bottom w:val="single" w:color="D0D9E4" w:sz="1"/>
              <w:right w:val="single" w:color="D0D9E4" w:sz="1"/>
            </w:tcBorders>
            <w:shd w:fill="F2F5F9" w:val="clear"/>
            <w:tcMar>
              <w:top w:type="dxa" w:w="80"/>
              <w:left w:type="dxa" w:w="120"/>
              <w:bottom w:type="dxa" w:w="80"/>
              <w:right w:type="dxa" w:w="120"/>
            </w:tcMar>
            <w:vAlign w:val="center"/>
          </w:tcPr>
          <w:p>
            <w:r>
              <w:rPr>
                <w:rFonts w:ascii="Arial" w:cs="Arial" w:eastAsia="Arial" w:hAnsi="Arial"/>
                <w:b w:val="false"/>
                <w:bCs w:val="false"/>
                <w:color w:val="1B3A6B"/>
                <w:sz w:val="20"/>
                <w:szCs w:val="20"/>
              </w:rPr>
              <w:t xml:space="preserve">10:30 – 11:30 AM</w:t>
            </w:r>
          </w:p>
        </w:tc>
        <w:tc>
          <w:tcPr>
            <w:tcW w:type="dxa" w:w="6560"/>
            <w:tcBorders>
              <w:top w:val="single" w:color="D0D9E4" w:sz="1"/>
              <w:left w:val="single" w:color="D0D9E4" w:sz="1"/>
              <w:bottom w:val="single" w:color="D0D9E4" w:sz="1"/>
              <w:right w:val="single" w:color="D0D9E4" w:sz="1"/>
            </w:tcBorders>
            <w:shd w:fill="FFFFFF" w:val="clear"/>
            <w:tcMar>
              <w:top w:type="dxa" w:w="80"/>
              <w:left w:type="dxa" w:w="120"/>
              <w:bottom w:type="dxa" w:w="80"/>
              <w:right w:type="dxa" w:w="120"/>
            </w:tcMar>
          </w:tcPr>
          <w:p>
            <w:r>
              <w:rPr>
                <w:rFonts w:ascii="Arial" w:cs="Arial" w:eastAsia="Arial" w:hAnsi="Arial"/>
                <w:color w:val="1E2A3A"/>
                <w:sz w:val="20"/>
                <w:szCs w:val="20"/>
              </w:rPr>
              <w:t xml:space="preserve">Welcome Session — CEO / HR Head address, company vision and values</w:t>
            </w:r>
          </w:p>
        </w:tc>
      </w:tr>
      <w:tr>
        <w:tc>
          <w:tcPr>
            <w:tcW w:type="dxa" w:w="2800"/>
            <w:tcBorders>
              <w:top w:val="single" w:color="D0D9E4" w:sz="1"/>
              <w:left w:val="single" w:color="D0D9E4" w:sz="1"/>
              <w:bottom w:val="single" w:color="D0D9E4" w:sz="1"/>
              <w:right w:val="single" w:color="D0D9E4" w:sz="1"/>
            </w:tcBorders>
            <w:shd w:fill="F2F5F9" w:val="clear"/>
            <w:tcMar>
              <w:top w:type="dxa" w:w="80"/>
              <w:left w:type="dxa" w:w="120"/>
              <w:bottom w:type="dxa" w:w="80"/>
              <w:right w:type="dxa" w:w="120"/>
            </w:tcMar>
            <w:vAlign w:val="center"/>
          </w:tcPr>
          <w:p>
            <w:r>
              <w:rPr>
                <w:rFonts w:ascii="Arial" w:cs="Arial" w:eastAsia="Arial" w:hAnsi="Arial"/>
                <w:b w:val="false"/>
                <w:bCs w:val="false"/>
                <w:color w:val="1B3A6B"/>
                <w:sz w:val="20"/>
                <w:szCs w:val="20"/>
              </w:rPr>
              <w:t xml:space="preserve">11:30 AM – 1:00 PM</w:t>
            </w:r>
          </w:p>
        </w:tc>
        <w:tc>
          <w:tcPr>
            <w:tcW w:type="dxa" w:w="6560"/>
            <w:tcBorders>
              <w:top w:val="single" w:color="D0D9E4" w:sz="1"/>
              <w:left w:val="single" w:color="D0D9E4" w:sz="1"/>
              <w:bottom w:val="single" w:color="D0D9E4" w:sz="1"/>
              <w:right w:val="single" w:color="D0D9E4" w:sz="1"/>
            </w:tcBorders>
            <w:shd w:fill="FFFFFF" w:val="clear"/>
            <w:tcMar>
              <w:top w:type="dxa" w:w="80"/>
              <w:left w:type="dxa" w:w="120"/>
              <w:bottom w:type="dxa" w:w="80"/>
              <w:right w:type="dxa" w:w="120"/>
            </w:tcMar>
          </w:tcPr>
          <w:p>
            <w:r>
              <w:rPr>
                <w:rFonts w:ascii="Arial" w:cs="Arial" w:eastAsia="Arial" w:hAnsi="Arial"/>
                <w:color w:val="1E2A3A"/>
                <w:sz w:val="20"/>
                <w:szCs w:val="20"/>
              </w:rPr>
              <w:t xml:space="preserve">HR Orientation — Policies, benefits, payroll, leave structure, POSH overview</w:t>
            </w:r>
          </w:p>
        </w:tc>
      </w:tr>
      <w:tr>
        <w:tc>
          <w:tcPr>
            <w:tcW w:type="dxa" w:w="2800"/>
            <w:tcBorders>
              <w:top w:val="single" w:color="D0D9E4" w:sz="1"/>
              <w:left w:val="single" w:color="D0D9E4" w:sz="1"/>
              <w:bottom w:val="single" w:color="D0D9E4" w:sz="1"/>
              <w:right w:val="single" w:color="D0D9E4" w:sz="1"/>
            </w:tcBorders>
            <w:shd w:fill="F2F5F9" w:val="clear"/>
            <w:tcMar>
              <w:top w:type="dxa" w:w="80"/>
              <w:left w:type="dxa" w:w="120"/>
              <w:bottom w:type="dxa" w:w="80"/>
              <w:right w:type="dxa" w:w="120"/>
            </w:tcMar>
            <w:vAlign w:val="center"/>
          </w:tcPr>
          <w:p>
            <w:r>
              <w:rPr>
                <w:rFonts w:ascii="Arial" w:cs="Arial" w:eastAsia="Arial" w:hAnsi="Arial"/>
                <w:b w:val="false"/>
                <w:bCs w:val="false"/>
                <w:color w:val="1B3A6B"/>
                <w:sz w:val="20"/>
                <w:szCs w:val="20"/>
              </w:rPr>
              <w:t xml:space="preserve">1:00 – 2:00 PM</w:t>
            </w:r>
          </w:p>
        </w:tc>
        <w:tc>
          <w:tcPr>
            <w:tcW w:type="dxa" w:w="6560"/>
            <w:tcBorders>
              <w:top w:val="single" w:color="D0D9E4" w:sz="1"/>
              <w:left w:val="single" w:color="D0D9E4" w:sz="1"/>
              <w:bottom w:val="single" w:color="D0D9E4" w:sz="1"/>
              <w:right w:val="single" w:color="D0D9E4" w:sz="1"/>
            </w:tcBorders>
            <w:shd w:fill="FFFFFF" w:val="clear"/>
            <w:tcMar>
              <w:top w:type="dxa" w:w="80"/>
              <w:left w:type="dxa" w:w="120"/>
              <w:bottom w:type="dxa" w:w="80"/>
              <w:right w:type="dxa" w:w="120"/>
            </w:tcMar>
          </w:tcPr>
          <w:p>
            <w:r>
              <w:rPr>
                <w:rFonts w:ascii="Arial" w:cs="Arial" w:eastAsia="Arial" w:hAnsi="Arial"/>
                <w:color w:val="1E2A3A"/>
                <w:sz w:val="20"/>
                <w:szCs w:val="20"/>
              </w:rPr>
              <w:t xml:space="preserve">Lunch with Buddy / Team</w:t>
            </w:r>
          </w:p>
        </w:tc>
      </w:tr>
      <w:tr>
        <w:tc>
          <w:tcPr>
            <w:tcW w:type="dxa" w:w="2800"/>
            <w:tcBorders>
              <w:top w:val="single" w:color="D0D9E4" w:sz="1"/>
              <w:left w:val="single" w:color="D0D9E4" w:sz="1"/>
              <w:bottom w:val="single" w:color="D0D9E4" w:sz="1"/>
              <w:right w:val="single" w:color="D0D9E4" w:sz="1"/>
            </w:tcBorders>
            <w:shd w:fill="F2F5F9" w:val="clear"/>
            <w:tcMar>
              <w:top w:type="dxa" w:w="80"/>
              <w:left w:type="dxa" w:w="120"/>
              <w:bottom w:type="dxa" w:w="80"/>
              <w:right w:type="dxa" w:w="120"/>
            </w:tcMar>
            <w:vAlign w:val="center"/>
          </w:tcPr>
          <w:p>
            <w:r>
              <w:rPr>
                <w:rFonts w:ascii="Arial" w:cs="Arial" w:eastAsia="Arial" w:hAnsi="Arial"/>
                <w:b w:val="false"/>
                <w:bCs w:val="false"/>
                <w:color w:val="1B3A6B"/>
                <w:sz w:val="20"/>
                <w:szCs w:val="20"/>
              </w:rPr>
              <w:t xml:space="preserve">2:00 – 3:00 PM</w:t>
            </w:r>
          </w:p>
        </w:tc>
        <w:tc>
          <w:tcPr>
            <w:tcW w:type="dxa" w:w="6560"/>
            <w:tcBorders>
              <w:top w:val="single" w:color="D0D9E4" w:sz="1"/>
              <w:left w:val="single" w:color="D0D9E4" w:sz="1"/>
              <w:bottom w:val="single" w:color="D0D9E4" w:sz="1"/>
              <w:right w:val="single" w:color="D0D9E4" w:sz="1"/>
            </w:tcBorders>
            <w:shd w:fill="FFFFFF" w:val="clear"/>
            <w:tcMar>
              <w:top w:type="dxa" w:w="80"/>
              <w:left w:type="dxa" w:w="120"/>
              <w:bottom w:type="dxa" w:w="80"/>
              <w:right w:type="dxa" w:w="120"/>
            </w:tcMar>
          </w:tcPr>
          <w:p>
            <w:r>
              <w:rPr>
                <w:rFonts w:ascii="Arial" w:cs="Arial" w:eastAsia="Arial" w:hAnsi="Arial"/>
                <w:color w:val="1E2A3A"/>
                <w:sz w:val="20"/>
                <w:szCs w:val="20"/>
              </w:rPr>
              <w:t xml:space="preserve">Team Introduction — Meet your immediate team and key cross-functional contacts</w:t>
            </w:r>
          </w:p>
        </w:tc>
      </w:tr>
      <w:tr>
        <w:tc>
          <w:tcPr>
            <w:tcW w:type="dxa" w:w="2800"/>
            <w:tcBorders>
              <w:top w:val="single" w:color="D0D9E4" w:sz="1"/>
              <w:left w:val="single" w:color="D0D9E4" w:sz="1"/>
              <w:bottom w:val="single" w:color="D0D9E4" w:sz="1"/>
              <w:right w:val="single" w:color="D0D9E4" w:sz="1"/>
            </w:tcBorders>
            <w:shd w:fill="F2F5F9" w:val="clear"/>
            <w:tcMar>
              <w:top w:type="dxa" w:w="80"/>
              <w:left w:type="dxa" w:w="120"/>
              <w:bottom w:type="dxa" w:w="80"/>
              <w:right w:type="dxa" w:w="120"/>
            </w:tcMar>
            <w:vAlign w:val="center"/>
          </w:tcPr>
          <w:p>
            <w:r>
              <w:rPr>
                <w:rFonts w:ascii="Arial" w:cs="Arial" w:eastAsia="Arial" w:hAnsi="Arial"/>
                <w:b w:val="false"/>
                <w:bCs w:val="false"/>
                <w:color w:val="1B3A6B"/>
                <w:sz w:val="20"/>
                <w:szCs w:val="20"/>
              </w:rPr>
              <w:t xml:space="preserve">3:00 – 4:00 PM</w:t>
            </w:r>
          </w:p>
        </w:tc>
        <w:tc>
          <w:tcPr>
            <w:tcW w:type="dxa" w:w="6560"/>
            <w:tcBorders>
              <w:top w:val="single" w:color="D0D9E4" w:sz="1"/>
              <w:left w:val="single" w:color="D0D9E4" w:sz="1"/>
              <w:bottom w:val="single" w:color="D0D9E4" w:sz="1"/>
              <w:right w:val="single" w:color="D0D9E4" w:sz="1"/>
            </w:tcBorders>
            <w:shd w:fill="FFFFFF" w:val="clear"/>
            <w:tcMar>
              <w:top w:type="dxa" w:w="80"/>
              <w:left w:type="dxa" w:w="120"/>
              <w:bottom w:type="dxa" w:w="80"/>
              <w:right w:type="dxa" w:w="120"/>
            </w:tcMar>
          </w:tcPr>
          <w:p>
            <w:r>
              <w:rPr>
                <w:rFonts w:ascii="Arial" w:cs="Arial" w:eastAsia="Arial" w:hAnsi="Arial"/>
                <w:color w:val="1E2A3A"/>
                <w:sz w:val="20"/>
                <w:szCs w:val="20"/>
              </w:rPr>
              <w:t xml:space="preserve">Role Briefing — Hiring Manager walkthrough of role expectations and 30-60-90 plan</w:t>
            </w:r>
          </w:p>
        </w:tc>
      </w:tr>
      <w:tr>
        <w:tc>
          <w:tcPr>
            <w:tcW w:type="dxa" w:w="2800"/>
            <w:tcBorders>
              <w:top w:val="single" w:color="D0D9E4" w:sz="1"/>
              <w:left w:val="single" w:color="D0D9E4" w:sz="1"/>
              <w:bottom w:val="single" w:color="D0D9E4" w:sz="1"/>
              <w:right w:val="single" w:color="D0D9E4" w:sz="1"/>
            </w:tcBorders>
            <w:shd w:fill="F2F5F9" w:val="clear"/>
            <w:tcMar>
              <w:top w:type="dxa" w:w="80"/>
              <w:left w:type="dxa" w:w="120"/>
              <w:bottom w:type="dxa" w:w="80"/>
              <w:right w:type="dxa" w:w="120"/>
            </w:tcMar>
            <w:vAlign w:val="center"/>
          </w:tcPr>
          <w:p>
            <w:r>
              <w:rPr>
                <w:rFonts w:ascii="Arial" w:cs="Arial" w:eastAsia="Arial" w:hAnsi="Arial"/>
                <w:b w:val="false"/>
                <w:bCs w:val="false"/>
                <w:color w:val="1B3A6B"/>
                <w:sz w:val="20"/>
                <w:szCs w:val="20"/>
              </w:rPr>
              <w:t xml:space="preserve">4:00 – 5:00 PM</w:t>
            </w:r>
          </w:p>
        </w:tc>
        <w:tc>
          <w:tcPr>
            <w:tcW w:type="dxa" w:w="6560"/>
            <w:tcBorders>
              <w:top w:val="single" w:color="D0D9E4" w:sz="1"/>
              <w:left w:val="single" w:color="D0D9E4" w:sz="1"/>
              <w:bottom w:val="single" w:color="D0D9E4" w:sz="1"/>
              <w:right w:val="single" w:color="D0D9E4" w:sz="1"/>
            </w:tcBorders>
            <w:shd w:fill="FFFFFF" w:val="clear"/>
            <w:tcMar>
              <w:top w:type="dxa" w:w="80"/>
              <w:left w:type="dxa" w:w="120"/>
              <w:bottom w:type="dxa" w:w="80"/>
              <w:right w:type="dxa" w:w="120"/>
            </w:tcMar>
          </w:tcPr>
          <w:p>
            <w:r>
              <w:rPr>
                <w:rFonts w:ascii="Arial" w:cs="Arial" w:eastAsia="Arial" w:hAnsi="Arial"/>
                <w:color w:val="1E2A3A"/>
                <w:sz w:val="20"/>
                <w:szCs w:val="20"/>
              </w:rPr>
              <w:t xml:space="preserve">Self-Setup Time — Explore systems, intranet, and complete pending onboarding tasks</w:t>
            </w:r>
          </w:p>
        </w:tc>
      </w:tr>
    </w:tbl>
    <w:p>
      <w:pPr>
        <w:spacing w:after="100" w:before="0"/>
      </w:pPr>
    </w:p>
    <w:p>
      <w:pPr>
        <w:pStyle w:val="Heading2"/>
        <w:spacing w:after="120" w:before="240"/>
      </w:pPr>
      <w:r>
        <w:rPr>
          <w:rFonts w:ascii="Arial" w:cs="Arial" w:eastAsia="Arial" w:hAnsi="Arial"/>
          <w:b/>
          <w:bCs/>
          <w:color w:val="0E7E7E"/>
          <w:sz w:val="26"/>
          <w:szCs w:val="26"/>
        </w:rPr>
        <w:t xml:space="preserve">7.2  Orientation Modules (Week 1)</w:t>
      </w:r>
    </w:p>
    <w:p>
      <w:pPr>
        <w:spacing w:after="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0D9E4" w:sz="1"/>
              <w:left w:val="single" w:color="D0D9E4" w:sz="1"/>
              <w:bottom w:val="single" w:color="D0D9E4" w:sz="1"/>
              <w:right w:val="single" w:color="D0D9E4" w:sz="1"/>
            </w:tcBorders>
            <w:shd w:fill="1B3A6B" w:val="clear"/>
            <w:tcMar>
              <w:top w:type="dxa" w:w="80"/>
              <w:left w:type="dxa" w:w="120"/>
              <w:bottom w:type="dxa" w:w="80"/>
              <w:right w:type="dxa" w:w="120"/>
            </w:tcMar>
            <w:vAlign w:val="center"/>
          </w:tcPr>
          <w:p>
            <w:r>
              <w:rPr>
                <w:rFonts w:ascii="Arial" w:cs="Arial" w:eastAsia="Arial" w:hAnsi="Arial"/>
                <w:b/>
                <w:bCs/>
                <w:color w:val="FFFFFF"/>
                <w:sz w:val="20"/>
                <w:szCs w:val="20"/>
              </w:rPr>
              <w:t xml:space="preserve">Module</w:t>
            </w:r>
          </w:p>
        </w:tc>
        <w:tc>
          <w:tcPr>
            <w:tcW w:type="dxa" w:w="6160"/>
            <w:tcBorders>
              <w:top w:val="single" w:color="D0D9E4" w:sz="1"/>
              <w:left w:val="single" w:color="D0D9E4" w:sz="1"/>
              <w:bottom w:val="single" w:color="D0D9E4" w:sz="1"/>
              <w:right w:val="single" w:color="D0D9E4" w:sz="1"/>
            </w:tcBorders>
            <w:shd w:fill="1B3A6B" w:val="clear"/>
            <w:tcMar>
              <w:top w:type="dxa" w:w="80"/>
              <w:left w:type="dxa" w:w="120"/>
              <w:bottom w:type="dxa" w:w="80"/>
              <w:right w:type="dxa" w:w="120"/>
            </w:tcMar>
          </w:tcPr>
          <w:p>
            <w:r>
              <w:rPr>
                <w:rFonts w:ascii="Arial" w:cs="Arial" w:eastAsia="Arial" w:hAnsi="Arial"/>
                <w:color w:val="FFFFFF"/>
                <w:sz w:val="20"/>
                <w:szCs w:val="20"/>
              </w:rPr>
              <w:t xml:space="preserve">Description</w:t>
            </w:r>
          </w:p>
        </w:tc>
      </w:tr>
      <w:tr>
        <w:tc>
          <w:tcPr>
            <w:tcW w:type="dxa" w:w="3200"/>
            <w:tcBorders>
              <w:top w:val="single" w:color="D0D9E4" w:sz="1"/>
              <w:left w:val="single" w:color="D0D9E4" w:sz="1"/>
              <w:bottom w:val="single" w:color="D0D9E4" w:sz="1"/>
              <w:right w:val="single" w:color="D0D9E4" w:sz="1"/>
            </w:tcBorders>
            <w:shd w:fill="F2F5F9" w:val="clear"/>
            <w:tcMar>
              <w:top w:type="dxa" w:w="80"/>
              <w:left w:type="dxa" w:w="120"/>
              <w:bottom w:type="dxa" w:w="80"/>
              <w:right w:type="dxa" w:w="120"/>
            </w:tcMar>
            <w:vAlign w:val="center"/>
          </w:tcPr>
          <w:p>
            <w:r>
              <w:rPr>
                <w:rFonts w:ascii="Arial" w:cs="Arial" w:eastAsia="Arial" w:hAnsi="Arial"/>
                <w:b w:val="false"/>
                <w:bCs w:val="false"/>
                <w:color w:val="1B3A6B"/>
                <w:sz w:val="20"/>
                <w:szCs w:val="20"/>
              </w:rPr>
              <w:t xml:space="preserve">Company History &amp; Strategy</w:t>
            </w:r>
          </w:p>
        </w:tc>
        <w:tc>
          <w:tcPr>
            <w:tcW w:type="dxa" w:w="6160"/>
            <w:tcBorders>
              <w:top w:val="single" w:color="D0D9E4" w:sz="1"/>
              <w:left w:val="single" w:color="D0D9E4" w:sz="1"/>
              <w:bottom w:val="single" w:color="D0D9E4" w:sz="1"/>
              <w:right w:val="single" w:color="D0D9E4" w:sz="1"/>
            </w:tcBorders>
            <w:shd w:fill="FFFFFF" w:val="clear"/>
            <w:tcMar>
              <w:top w:type="dxa" w:w="80"/>
              <w:left w:type="dxa" w:w="120"/>
              <w:bottom w:type="dxa" w:w="80"/>
              <w:right w:type="dxa" w:w="120"/>
            </w:tcMar>
          </w:tcPr>
          <w:p>
            <w:r>
              <w:rPr>
                <w:rFonts w:ascii="Arial" w:cs="Arial" w:eastAsia="Arial" w:hAnsi="Arial"/>
                <w:color w:val="1E2A3A"/>
                <w:sz w:val="20"/>
                <w:szCs w:val="20"/>
              </w:rPr>
              <w:t xml:space="preserve">Founding story, mission, vision, and 3-year roadmap</w:t>
            </w:r>
          </w:p>
        </w:tc>
      </w:tr>
      <w:tr>
        <w:tc>
          <w:tcPr>
            <w:tcW w:type="dxa" w:w="3200"/>
            <w:tcBorders>
              <w:top w:val="single" w:color="D0D9E4" w:sz="1"/>
              <w:left w:val="single" w:color="D0D9E4" w:sz="1"/>
              <w:bottom w:val="single" w:color="D0D9E4" w:sz="1"/>
              <w:right w:val="single" w:color="D0D9E4" w:sz="1"/>
            </w:tcBorders>
            <w:shd w:fill="F2F5F9" w:val="clear"/>
            <w:tcMar>
              <w:top w:type="dxa" w:w="80"/>
              <w:left w:type="dxa" w:w="120"/>
              <w:bottom w:type="dxa" w:w="80"/>
              <w:right w:type="dxa" w:w="120"/>
            </w:tcMar>
            <w:vAlign w:val="center"/>
          </w:tcPr>
          <w:p>
            <w:r>
              <w:rPr>
                <w:rFonts w:ascii="Arial" w:cs="Arial" w:eastAsia="Arial" w:hAnsi="Arial"/>
                <w:b w:val="false"/>
                <w:bCs w:val="false"/>
                <w:color w:val="1B3A6B"/>
                <w:sz w:val="20"/>
                <w:szCs w:val="20"/>
              </w:rPr>
              <w:t xml:space="preserve">Products &amp; Services Overview</w:t>
            </w:r>
          </w:p>
        </w:tc>
        <w:tc>
          <w:tcPr>
            <w:tcW w:type="dxa" w:w="6160"/>
            <w:tcBorders>
              <w:top w:val="single" w:color="D0D9E4" w:sz="1"/>
              <w:left w:val="single" w:color="D0D9E4" w:sz="1"/>
              <w:bottom w:val="single" w:color="D0D9E4" w:sz="1"/>
              <w:right w:val="single" w:color="D0D9E4" w:sz="1"/>
            </w:tcBorders>
            <w:shd w:fill="FFFFFF" w:val="clear"/>
            <w:tcMar>
              <w:top w:type="dxa" w:w="80"/>
              <w:left w:type="dxa" w:w="120"/>
              <w:bottom w:type="dxa" w:w="80"/>
              <w:right w:type="dxa" w:w="120"/>
            </w:tcMar>
          </w:tcPr>
          <w:p>
            <w:r>
              <w:rPr>
                <w:rFonts w:ascii="Arial" w:cs="Arial" w:eastAsia="Arial" w:hAnsi="Arial"/>
                <w:color w:val="1E2A3A"/>
                <w:sz w:val="20"/>
                <w:szCs w:val="20"/>
              </w:rPr>
              <w:t xml:space="preserve">Key offerings, target markets, and competitive positioning</w:t>
            </w:r>
          </w:p>
        </w:tc>
      </w:tr>
      <w:tr>
        <w:tc>
          <w:tcPr>
            <w:tcW w:type="dxa" w:w="3200"/>
            <w:tcBorders>
              <w:top w:val="single" w:color="D0D9E4" w:sz="1"/>
              <w:left w:val="single" w:color="D0D9E4" w:sz="1"/>
              <w:bottom w:val="single" w:color="D0D9E4" w:sz="1"/>
              <w:right w:val="single" w:color="D0D9E4" w:sz="1"/>
            </w:tcBorders>
            <w:shd w:fill="F2F5F9" w:val="clear"/>
            <w:tcMar>
              <w:top w:type="dxa" w:w="80"/>
              <w:left w:type="dxa" w:w="120"/>
              <w:bottom w:type="dxa" w:w="80"/>
              <w:right w:type="dxa" w:w="120"/>
            </w:tcMar>
            <w:vAlign w:val="center"/>
          </w:tcPr>
          <w:p>
            <w:r>
              <w:rPr>
                <w:rFonts w:ascii="Arial" w:cs="Arial" w:eastAsia="Arial" w:hAnsi="Arial"/>
                <w:b w:val="false"/>
                <w:bCs w:val="false"/>
                <w:color w:val="1B3A6B"/>
                <w:sz w:val="20"/>
                <w:szCs w:val="20"/>
              </w:rPr>
              <w:t xml:space="preserve">Organizational Structure</w:t>
            </w:r>
          </w:p>
        </w:tc>
        <w:tc>
          <w:tcPr>
            <w:tcW w:type="dxa" w:w="6160"/>
            <w:tcBorders>
              <w:top w:val="single" w:color="D0D9E4" w:sz="1"/>
              <w:left w:val="single" w:color="D0D9E4" w:sz="1"/>
              <w:bottom w:val="single" w:color="D0D9E4" w:sz="1"/>
              <w:right w:val="single" w:color="D0D9E4" w:sz="1"/>
            </w:tcBorders>
            <w:shd w:fill="FFFFFF" w:val="clear"/>
            <w:tcMar>
              <w:top w:type="dxa" w:w="80"/>
              <w:left w:type="dxa" w:w="120"/>
              <w:bottom w:type="dxa" w:w="80"/>
              <w:right w:type="dxa" w:w="120"/>
            </w:tcMar>
          </w:tcPr>
          <w:p>
            <w:r>
              <w:rPr>
                <w:rFonts w:ascii="Arial" w:cs="Arial" w:eastAsia="Arial" w:hAnsi="Arial"/>
                <w:color w:val="1E2A3A"/>
                <w:sz w:val="20"/>
                <w:szCs w:val="20"/>
              </w:rPr>
              <w:t xml:space="preserve">Leadership team, business units, and how teams work together</w:t>
            </w:r>
          </w:p>
        </w:tc>
      </w:tr>
      <w:tr>
        <w:tc>
          <w:tcPr>
            <w:tcW w:type="dxa" w:w="3200"/>
            <w:tcBorders>
              <w:top w:val="single" w:color="D0D9E4" w:sz="1"/>
              <w:left w:val="single" w:color="D0D9E4" w:sz="1"/>
              <w:bottom w:val="single" w:color="D0D9E4" w:sz="1"/>
              <w:right w:val="single" w:color="D0D9E4" w:sz="1"/>
            </w:tcBorders>
            <w:shd w:fill="F2F5F9" w:val="clear"/>
            <w:tcMar>
              <w:top w:type="dxa" w:w="80"/>
              <w:left w:type="dxa" w:w="120"/>
              <w:bottom w:type="dxa" w:w="80"/>
              <w:right w:type="dxa" w:w="120"/>
            </w:tcMar>
            <w:vAlign w:val="center"/>
          </w:tcPr>
          <w:p>
            <w:r>
              <w:rPr>
                <w:rFonts w:ascii="Arial" w:cs="Arial" w:eastAsia="Arial" w:hAnsi="Arial"/>
                <w:b w:val="false"/>
                <w:bCs w:val="false"/>
                <w:color w:val="1B3A6B"/>
                <w:sz w:val="20"/>
                <w:szCs w:val="20"/>
              </w:rPr>
              <w:t xml:space="preserve">Culture &amp; Values Deep Dive</w:t>
            </w:r>
          </w:p>
        </w:tc>
        <w:tc>
          <w:tcPr>
            <w:tcW w:type="dxa" w:w="6160"/>
            <w:tcBorders>
              <w:top w:val="single" w:color="D0D9E4" w:sz="1"/>
              <w:left w:val="single" w:color="D0D9E4" w:sz="1"/>
              <w:bottom w:val="single" w:color="D0D9E4" w:sz="1"/>
              <w:right w:val="single" w:color="D0D9E4" w:sz="1"/>
            </w:tcBorders>
            <w:shd w:fill="FFFFFF" w:val="clear"/>
            <w:tcMar>
              <w:top w:type="dxa" w:w="80"/>
              <w:left w:type="dxa" w:w="120"/>
              <w:bottom w:type="dxa" w:w="80"/>
              <w:right w:type="dxa" w:w="120"/>
            </w:tcMar>
          </w:tcPr>
          <w:p>
            <w:r>
              <w:rPr>
                <w:rFonts w:ascii="Arial" w:cs="Arial" w:eastAsia="Arial" w:hAnsi="Arial"/>
                <w:color w:val="1E2A3A"/>
                <w:sz w:val="20"/>
                <w:szCs w:val="20"/>
              </w:rPr>
              <w:t xml:space="preserve">Behavioral expectations, DEI commitments, and recognition programs</w:t>
            </w:r>
          </w:p>
        </w:tc>
      </w:tr>
      <w:tr>
        <w:tc>
          <w:tcPr>
            <w:tcW w:type="dxa" w:w="3200"/>
            <w:tcBorders>
              <w:top w:val="single" w:color="D0D9E4" w:sz="1"/>
              <w:left w:val="single" w:color="D0D9E4" w:sz="1"/>
              <w:bottom w:val="single" w:color="D0D9E4" w:sz="1"/>
              <w:right w:val="single" w:color="D0D9E4" w:sz="1"/>
            </w:tcBorders>
            <w:shd w:fill="F2F5F9" w:val="clear"/>
            <w:tcMar>
              <w:top w:type="dxa" w:w="80"/>
              <w:left w:type="dxa" w:w="120"/>
              <w:bottom w:type="dxa" w:w="80"/>
              <w:right w:type="dxa" w:w="120"/>
            </w:tcMar>
            <w:vAlign w:val="center"/>
          </w:tcPr>
          <w:p>
            <w:r>
              <w:rPr>
                <w:rFonts w:ascii="Arial" w:cs="Arial" w:eastAsia="Arial" w:hAnsi="Arial"/>
                <w:b w:val="false"/>
                <w:bCs w:val="false"/>
                <w:color w:val="1B3A6B"/>
                <w:sz w:val="20"/>
                <w:szCs w:val="20"/>
              </w:rPr>
              <w:t xml:space="preserve">Compliance &amp; Information Security</w:t>
            </w:r>
          </w:p>
        </w:tc>
        <w:tc>
          <w:tcPr>
            <w:tcW w:type="dxa" w:w="6160"/>
            <w:tcBorders>
              <w:top w:val="single" w:color="D0D9E4" w:sz="1"/>
              <w:left w:val="single" w:color="D0D9E4" w:sz="1"/>
              <w:bottom w:val="single" w:color="D0D9E4" w:sz="1"/>
              <w:right w:val="single" w:color="D0D9E4" w:sz="1"/>
            </w:tcBorders>
            <w:shd w:fill="FFFFFF" w:val="clear"/>
            <w:tcMar>
              <w:top w:type="dxa" w:w="80"/>
              <w:left w:type="dxa" w:w="120"/>
              <w:bottom w:type="dxa" w:w="80"/>
              <w:right w:type="dxa" w:w="120"/>
            </w:tcMar>
          </w:tcPr>
          <w:p>
            <w:r>
              <w:rPr>
                <w:rFonts w:ascii="Arial" w:cs="Arial" w:eastAsia="Arial" w:hAnsi="Arial"/>
                <w:color w:val="1E2A3A"/>
                <w:sz w:val="20"/>
                <w:szCs w:val="20"/>
              </w:rPr>
              <w:t xml:space="preserve">Data protection, acceptable use policy, and IT security basics</w:t>
            </w:r>
          </w:p>
        </w:tc>
      </w:tr>
      <w:tr>
        <w:tc>
          <w:tcPr>
            <w:tcW w:type="dxa" w:w="3200"/>
            <w:tcBorders>
              <w:top w:val="single" w:color="D0D9E4" w:sz="1"/>
              <w:left w:val="single" w:color="D0D9E4" w:sz="1"/>
              <w:bottom w:val="single" w:color="D0D9E4" w:sz="1"/>
              <w:right w:val="single" w:color="D0D9E4" w:sz="1"/>
            </w:tcBorders>
            <w:shd w:fill="F2F5F9" w:val="clear"/>
            <w:tcMar>
              <w:top w:type="dxa" w:w="80"/>
              <w:left w:type="dxa" w:w="120"/>
              <w:bottom w:type="dxa" w:w="80"/>
              <w:right w:type="dxa" w:w="120"/>
            </w:tcMar>
            <w:vAlign w:val="center"/>
          </w:tcPr>
          <w:p>
            <w:r>
              <w:rPr>
                <w:rFonts w:ascii="Arial" w:cs="Arial" w:eastAsia="Arial" w:hAnsi="Arial"/>
                <w:b w:val="false"/>
                <w:bCs w:val="false"/>
                <w:color w:val="1B3A6B"/>
                <w:sz w:val="20"/>
                <w:szCs w:val="20"/>
              </w:rPr>
              <w:t xml:space="preserve">HR Policies &amp; Benefits</w:t>
            </w:r>
          </w:p>
        </w:tc>
        <w:tc>
          <w:tcPr>
            <w:tcW w:type="dxa" w:w="6160"/>
            <w:tcBorders>
              <w:top w:val="single" w:color="D0D9E4" w:sz="1"/>
              <w:left w:val="single" w:color="D0D9E4" w:sz="1"/>
              <w:bottom w:val="single" w:color="D0D9E4" w:sz="1"/>
              <w:right w:val="single" w:color="D0D9E4" w:sz="1"/>
            </w:tcBorders>
            <w:shd w:fill="FFFFFF" w:val="clear"/>
            <w:tcMar>
              <w:top w:type="dxa" w:w="80"/>
              <w:left w:type="dxa" w:w="120"/>
              <w:bottom w:type="dxa" w:w="80"/>
              <w:right w:type="dxa" w:w="120"/>
            </w:tcMar>
          </w:tcPr>
          <w:p>
            <w:r>
              <w:rPr>
                <w:rFonts w:ascii="Arial" w:cs="Arial" w:eastAsia="Arial" w:hAnsi="Arial"/>
                <w:color w:val="1E2A3A"/>
                <w:sz w:val="20"/>
                <w:szCs w:val="20"/>
              </w:rPr>
              <w:t xml:space="preserve">Leave policy, health benefits, ESOP, reimbursements, and expense policy</w:t>
            </w:r>
          </w:p>
        </w:tc>
      </w:tr>
      <w:tr>
        <w:tc>
          <w:tcPr>
            <w:tcW w:type="dxa" w:w="3200"/>
            <w:tcBorders>
              <w:top w:val="single" w:color="D0D9E4" w:sz="1"/>
              <w:left w:val="single" w:color="D0D9E4" w:sz="1"/>
              <w:bottom w:val="single" w:color="D0D9E4" w:sz="1"/>
              <w:right w:val="single" w:color="D0D9E4" w:sz="1"/>
            </w:tcBorders>
            <w:shd w:fill="F2F5F9" w:val="clear"/>
            <w:tcMar>
              <w:top w:type="dxa" w:w="80"/>
              <w:left w:type="dxa" w:w="120"/>
              <w:bottom w:type="dxa" w:w="80"/>
              <w:right w:type="dxa" w:w="120"/>
            </w:tcMar>
            <w:vAlign w:val="center"/>
          </w:tcPr>
          <w:p>
            <w:r>
              <w:rPr>
                <w:rFonts w:ascii="Arial" w:cs="Arial" w:eastAsia="Arial" w:hAnsi="Arial"/>
                <w:b w:val="false"/>
                <w:bCs w:val="false"/>
                <w:color w:val="1B3A6B"/>
                <w:sz w:val="20"/>
                <w:szCs w:val="20"/>
              </w:rPr>
              <w:t xml:space="preserve">Tools &amp; Systems Walkthrough</w:t>
            </w:r>
          </w:p>
        </w:tc>
        <w:tc>
          <w:tcPr>
            <w:tcW w:type="dxa" w:w="6160"/>
            <w:tcBorders>
              <w:top w:val="single" w:color="D0D9E4" w:sz="1"/>
              <w:left w:val="single" w:color="D0D9E4" w:sz="1"/>
              <w:bottom w:val="single" w:color="D0D9E4" w:sz="1"/>
              <w:right w:val="single" w:color="D0D9E4" w:sz="1"/>
            </w:tcBorders>
            <w:shd w:fill="FFFFFF" w:val="clear"/>
            <w:tcMar>
              <w:top w:type="dxa" w:w="80"/>
              <w:left w:type="dxa" w:w="120"/>
              <w:bottom w:type="dxa" w:w="80"/>
              <w:right w:type="dxa" w:w="120"/>
            </w:tcMar>
          </w:tcPr>
          <w:p>
            <w:r>
              <w:rPr>
                <w:rFonts w:ascii="Arial" w:cs="Arial" w:eastAsia="Arial" w:hAnsi="Arial"/>
                <w:color w:val="1E2A3A"/>
                <w:sz w:val="20"/>
                <w:szCs w:val="20"/>
              </w:rPr>
              <w:t xml:space="preserve">Live demo of all platforms you will use in your role</w:t>
            </w:r>
          </w:p>
        </w:tc>
      </w:tr>
    </w:tbl>
    <w:p>
      <w:pPr>
        <w:spacing w:after="120" w:before="0"/>
      </w:pPr>
    </w:p>
    <w:p>
      <w:r>
        <w:br w:type="page"/>
      </w:r>
    </w:p>
    <w:p>
      <w:pPr>
        <w:pStyle w:val="Heading1"/>
        <w:spacing w:after="160" w:before="320"/>
      </w:pPr>
      <w:r>
        <w:rPr>
          <w:rFonts w:ascii="Arial" w:cs="Arial" w:eastAsia="Arial" w:hAnsi="Arial"/>
          <w:b/>
          <w:bCs/>
          <w:color w:val="1B3A6B"/>
          <w:sz w:val="36"/>
          <w:szCs w:val="36"/>
        </w:rPr>
        <w:t xml:space="preserve">8. First Week Activities</w:t>
      </w:r>
    </w:p>
    <w:p>
      <w:pPr>
        <w:pBdr>
          <w:bottom w:val="single" w:color="0E7E7E" w:sz="6" w:space="1"/>
        </w:pBdr>
        <w:spacing w:after="120" w:before="120"/>
      </w:pPr>
    </w:p>
    <w:p>
      <w:pPr>
        <w:spacing w:after="100" w:before="60"/>
      </w:pPr>
      <w:r>
        <w:rPr>
          <w:rFonts w:ascii="Arial" w:cs="Arial" w:eastAsia="Arial" w:hAnsi="Arial"/>
          <w:color w:val="1E2A3A"/>
          <w:sz w:val="22"/>
          <w:szCs w:val="22"/>
        </w:rPr>
        <w:t xml:space="preserve">The first week is designed to give you context, connections, and clarity. It balances structured sessions with self-directed learning. You will be supported by your Onboarding Buddy — a peer assigned to help you navigate your first 30 days.</w:t>
      </w:r>
    </w:p>
    <w:p>
      <w:pPr>
        <w:spacing w:after="80" w:before="0"/>
      </w:pPr>
    </w:p>
    <w:p>
      <w:pPr>
        <w:pStyle w:val="Heading2"/>
        <w:spacing w:after="120" w:before="240"/>
      </w:pPr>
      <w:r>
        <w:rPr>
          <w:rFonts w:ascii="Arial" w:cs="Arial" w:eastAsia="Arial" w:hAnsi="Arial"/>
          <w:b/>
          <w:bCs/>
          <w:color w:val="0E7E7E"/>
          <w:sz w:val="26"/>
          <w:szCs w:val="26"/>
        </w:rPr>
        <w:t xml:space="preserve">8.1  Day-by-Day Overview</w:t>
      </w:r>
    </w:p>
    <w:p>
      <w:pPr>
        <w:spacing w:after="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0D9E4" w:sz="1"/>
              <w:left w:val="single" w:color="D0D9E4" w:sz="1"/>
              <w:bottom w:val="single" w:color="D0D9E4" w:sz="1"/>
              <w:right w:val="single" w:color="D0D9E4" w:sz="1"/>
            </w:tcBorders>
            <w:shd w:fill="1B3A6B" w:val="clear"/>
            <w:tcMar>
              <w:top w:type="dxa" w:w="80"/>
              <w:left w:type="dxa" w:w="120"/>
              <w:bottom w:type="dxa" w:w="80"/>
              <w:right w:type="dxa" w:w="120"/>
            </w:tcMar>
            <w:vAlign w:val="center"/>
          </w:tcPr>
          <w:p>
            <w:r>
              <w:rPr>
                <w:rFonts w:ascii="Arial" w:cs="Arial" w:eastAsia="Arial" w:hAnsi="Arial"/>
                <w:b/>
                <w:bCs/>
                <w:color w:val="FFFFFF"/>
                <w:sz w:val="20"/>
                <w:szCs w:val="20"/>
              </w:rPr>
              <w:t xml:space="preserve">Day</w:t>
            </w:r>
          </w:p>
        </w:tc>
        <w:tc>
          <w:tcPr>
            <w:tcW w:type="dxa" w:w="6960"/>
            <w:tcBorders>
              <w:top w:val="single" w:color="D0D9E4" w:sz="1"/>
              <w:left w:val="single" w:color="D0D9E4" w:sz="1"/>
              <w:bottom w:val="single" w:color="D0D9E4" w:sz="1"/>
              <w:right w:val="single" w:color="D0D9E4" w:sz="1"/>
            </w:tcBorders>
            <w:shd w:fill="1B3A6B" w:val="clear"/>
            <w:tcMar>
              <w:top w:type="dxa" w:w="80"/>
              <w:left w:type="dxa" w:w="120"/>
              <w:bottom w:type="dxa" w:w="80"/>
              <w:right w:type="dxa" w:w="120"/>
            </w:tcMar>
          </w:tcPr>
          <w:p>
            <w:r>
              <w:rPr>
                <w:rFonts w:ascii="Arial" w:cs="Arial" w:eastAsia="Arial" w:hAnsi="Arial"/>
                <w:color w:val="FFFFFF"/>
                <w:sz w:val="20"/>
                <w:szCs w:val="20"/>
              </w:rPr>
              <w:t xml:space="preserve">Focus Areas</w:t>
            </w:r>
          </w:p>
        </w:tc>
      </w:tr>
      <w:tr>
        <w:tc>
          <w:tcPr>
            <w:tcW w:type="dxa" w:w="2400"/>
            <w:tcBorders>
              <w:top w:val="single" w:color="D0D9E4" w:sz="1"/>
              <w:left w:val="single" w:color="D0D9E4" w:sz="1"/>
              <w:bottom w:val="single" w:color="D0D9E4" w:sz="1"/>
              <w:right w:val="single" w:color="D0D9E4" w:sz="1"/>
            </w:tcBorders>
            <w:shd w:fill="F2F5F9" w:val="clear"/>
            <w:tcMar>
              <w:top w:type="dxa" w:w="80"/>
              <w:left w:type="dxa" w:w="120"/>
              <w:bottom w:type="dxa" w:w="80"/>
              <w:right w:type="dxa" w:w="120"/>
            </w:tcMar>
            <w:vAlign w:val="center"/>
          </w:tcPr>
          <w:p>
            <w:r>
              <w:rPr>
                <w:rFonts w:ascii="Arial" w:cs="Arial" w:eastAsia="Arial" w:hAnsi="Arial"/>
                <w:b w:val="false"/>
                <w:bCs w:val="false"/>
                <w:color w:val="1B3A6B"/>
                <w:sz w:val="20"/>
                <w:szCs w:val="20"/>
              </w:rPr>
              <w:t xml:space="preserve">Day 1 (Monday)</w:t>
            </w:r>
          </w:p>
        </w:tc>
        <w:tc>
          <w:tcPr>
            <w:tcW w:type="dxa" w:w="6960"/>
            <w:tcBorders>
              <w:top w:val="single" w:color="D0D9E4" w:sz="1"/>
              <w:left w:val="single" w:color="D0D9E4" w:sz="1"/>
              <w:bottom w:val="single" w:color="D0D9E4" w:sz="1"/>
              <w:right w:val="single" w:color="D0D9E4" w:sz="1"/>
            </w:tcBorders>
            <w:shd w:fill="FFFFFF" w:val="clear"/>
            <w:tcMar>
              <w:top w:type="dxa" w:w="80"/>
              <w:left w:type="dxa" w:w="120"/>
              <w:bottom w:type="dxa" w:w="80"/>
              <w:right w:type="dxa" w:w="120"/>
            </w:tcMar>
          </w:tcPr>
          <w:p>
            <w:r>
              <w:rPr>
                <w:rFonts w:ascii="Arial" w:cs="Arial" w:eastAsia="Arial" w:hAnsi="Arial"/>
                <w:color w:val="1E2A3A"/>
                <w:sz w:val="20"/>
                <w:szCs w:val="20"/>
              </w:rPr>
              <w:t xml:space="preserve">Joining formalities, IT setup, orientation, team meet</w:t>
            </w:r>
          </w:p>
        </w:tc>
      </w:tr>
      <w:tr>
        <w:tc>
          <w:tcPr>
            <w:tcW w:type="dxa" w:w="2400"/>
            <w:tcBorders>
              <w:top w:val="single" w:color="D0D9E4" w:sz="1"/>
              <w:left w:val="single" w:color="D0D9E4" w:sz="1"/>
              <w:bottom w:val="single" w:color="D0D9E4" w:sz="1"/>
              <w:right w:val="single" w:color="D0D9E4" w:sz="1"/>
            </w:tcBorders>
            <w:shd w:fill="F2F5F9" w:val="clear"/>
            <w:tcMar>
              <w:top w:type="dxa" w:w="80"/>
              <w:left w:type="dxa" w:w="120"/>
              <w:bottom w:type="dxa" w:w="80"/>
              <w:right w:type="dxa" w:w="120"/>
            </w:tcMar>
            <w:vAlign w:val="center"/>
          </w:tcPr>
          <w:p>
            <w:r>
              <w:rPr>
                <w:rFonts w:ascii="Arial" w:cs="Arial" w:eastAsia="Arial" w:hAnsi="Arial"/>
                <w:b w:val="false"/>
                <w:bCs w:val="false"/>
                <w:color w:val="1B3A6B"/>
                <w:sz w:val="20"/>
                <w:szCs w:val="20"/>
              </w:rPr>
              <w:t xml:space="preserve">Day 2 (Tuesday)</w:t>
            </w:r>
          </w:p>
        </w:tc>
        <w:tc>
          <w:tcPr>
            <w:tcW w:type="dxa" w:w="6960"/>
            <w:tcBorders>
              <w:top w:val="single" w:color="D0D9E4" w:sz="1"/>
              <w:left w:val="single" w:color="D0D9E4" w:sz="1"/>
              <w:bottom w:val="single" w:color="D0D9E4" w:sz="1"/>
              <w:right w:val="single" w:color="D0D9E4" w:sz="1"/>
            </w:tcBorders>
            <w:shd w:fill="FFFFFF" w:val="clear"/>
            <w:tcMar>
              <w:top w:type="dxa" w:w="80"/>
              <w:left w:type="dxa" w:w="120"/>
              <w:bottom w:type="dxa" w:w="80"/>
              <w:right w:type="dxa" w:w="120"/>
            </w:tcMar>
          </w:tcPr>
          <w:p>
            <w:r>
              <w:rPr>
                <w:rFonts w:ascii="Arial" w:cs="Arial" w:eastAsia="Arial" w:hAnsi="Arial"/>
                <w:color w:val="1E2A3A"/>
                <w:sz w:val="20"/>
                <w:szCs w:val="20"/>
              </w:rPr>
              <w:t xml:space="preserve">Company strategy module, meet with HRBP, begin tool access</w:t>
            </w:r>
          </w:p>
        </w:tc>
      </w:tr>
      <w:tr>
        <w:tc>
          <w:tcPr>
            <w:tcW w:type="dxa" w:w="2400"/>
            <w:tcBorders>
              <w:top w:val="single" w:color="D0D9E4" w:sz="1"/>
              <w:left w:val="single" w:color="D0D9E4" w:sz="1"/>
              <w:bottom w:val="single" w:color="D0D9E4" w:sz="1"/>
              <w:right w:val="single" w:color="D0D9E4" w:sz="1"/>
            </w:tcBorders>
            <w:shd w:fill="F2F5F9" w:val="clear"/>
            <w:tcMar>
              <w:top w:type="dxa" w:w="80"/>
              <w:left w:type="dxa" w:w="120"/>
              <w:bottom w:type="dxa" w:w="80"/>
              <w:right w:type="dxa" w:w="120"/>
            </w:tcMar>
            <w:vAlign w:val="center"/>
          </w:tcPr>
          <w:p>
            <w:r>
              <w:rPr>
                <w:rFonts w:ascii="Arial" w:cs="Arial" w:eastAsia="Arial" w:hAnsi="Arial"/>
                <w:b w:val="false"/>
                <w:bCs w:val="false"/>
                <w:color w:val="1B3A6B"/>
                <w:sz w:val="20"/>
                <w:szCs w:val="20"/>
              </w:rPr>
              <w:t xml:space="preserve">Day 3 (Wednesday)</w:t>
            </w:r>
          </w:p>
        </w:tc>
        <w:tc>
          <w:tcPr>
            <w:tcW w:type="dxa" w:w="6960"/>
            <w:tcBorders>
              <w:top w:val="single" w:color="D0D9E4" w:sz="1"/>
              <w:left w:val="single" w:color="D0D9E4" w:sz="1"/>
              <w:bottom w:val="single" w:color="D0D9E4" w:sz="1"/>
              <w:right w:val="single" w:color="D0D9E4" w:sz="1"/>
            </w:tcBorders>
            <w:shd w:fill="FFFFFF" w:val="clear"/>
            <w:tcMar>
              <w:top w:type="dxa" w:w="80"/>
              <w:left w:type="dxa" w:w="120"/>
              <w:bottom w:type="dxa" w:w="80"/>
              <w:right w:type="dxa" w:w="120"/>
            </w:tcMar>
          </w:tcPr>
          <w:p>
            <w:r>
              <w:rPr>
                <w:rFonts w:ascii="Arial" w:cs="Arial" w:eastAsia="Arial" w:hAnsi="Arial"/>
                <w:color w:val="1E2A3A"/>
                <w:sz w:val="20"/>
                <w:szCs w:val="20"/>
              </w:rPr>
              <w:t xml:space="preserve">Product / service deep dive, meet key cross-functional partners</w:t>
            </w:r>
          </w:p>
        </w:tc>
      </w:tr>
      <w:tr>
        <w:tc>
          <w:tcPr>
            <w:tcW w:type="dxa" w:w="2400"/>
            <w:tcBorders>
              <w:top w:val="single" w:color="D0D9E4" w:sz="1"/>
              <w:left w:val="single" w:color="D0D9E4" w:sz="1"/>
              <w:bottom w:val="single" w:color="D0D9E4" w:sz="1"/>
              <w:right w:val="single" w:color="D0D9E4" w:sz="1"/>
            </w:tcBorders>
            <w:shd w:fill="F2F5F9" w:val="clear"/>
            <w:tcMar>
              <w:top w:type="dxa" w:w="80"/>
              <w:left w:type="dxa" w:w="120"/>
              <w:bottom w:type="dxa" w:w="80"/>
              <w:right w:type="dxa" w:w="120"/>
            </w:tcMar>
            <w:vAlign w:val="center"/>
          </w:tcPr>
          <w:p>
            <w:r>
              <w:rPr>
                <w:rFonts w:ascii="Arial" w:cs="Arial" w:eastAsia="Arial" w:hAnsi="Arial"/>
                <w:b w:val="false"/>
                <w:bCs w:val="false"/>
                <w:color w:val="1B3A6B"/>
                <w:sz w:val="20"/>
                <w:szCs w:val="20"/>
              </w:rPr>
              <w:t xml:space="preserve">Day 4 (Thursday)</w:t>
            </w:r>
          </w:p>
        </w:tc>
        <w:tc>
          <w:tcPr>
            <w:tcW w:type="dxa" w:w="6960"/>
            <w:tcBorders>
              <w:top w:val="single" w:color="D0D9E4" w:sz="1"/>
              <w:left w:val="single" w:color="D0D9E4" w:sz="1"/>
              <w:bottom w:val="single" w:color="D0D9E4" w:sz="1"/>
              <w:right w:val="single" w:color="D0D9E4" w:sz="1"/>
            </w:tcBorders>
            <w:shd w:fill="FFFFFF" w:val="clear"/>
            <w:tcMar>
              <w:top w:type="dxa" w:w="80"/>
              <w:left w:type="dxa" w:w="120"/>
              <w:bottom w:type="dxa" w:w="80"/>
              <w:right w:type="dxa" w:w="120"/>
            </w:tcMar>
          </w:tcPr>
          <w:p>
            <w:r>
              <w:rPr>
                <w:rFonts w:ascii="Arial" w:cs="Arial" w:eastAsia="Arial" w:hAnsi="Arial"/>
                <w:color w:val="1E2A3A"/>
                <w:sz w:val="20"/>
                <w:szCs w:val="20"/>
              </w:rPr>
              <w:t xml:space="preserve">Compliance &amp; security training, 1:1 with Hiring Manager, goal-setting discussion</w:t>
            </w:r>
          </w:p>
        </w:tc>
      </w:tr>
      <w:tr>
        <w:tc>
          <w:tcPr>
            <w:tcW w:type="dxa" w:w="2400"/>
            <w:tcBorders>
              <w:top w:val="single" w:color="D0D9E4" w:sz="1"/>
              <w:left w:val="single" w:color="D0D9E4" w:sz="1"/>
              <w:bottom w:val="single" w:color="D0D9E4" w:sz="1"/>
              <w:right w:val="single" w:color="D0D9E4" w:sz="1"/>
            </w:tcBorders>
            <w:shd w:fill="F2F5F9" w:val="clear"/>
            <w:tcMar>
              <w:top w:type="dxa" w:w="80"/>
              <w:left w:type="dxa" w:w="120"/>
              <w:bottom w:type="dxa" w:w="80"/>
              <w:right w:type="dxa" w:w="120"/>
            </w:tcMar>
            <w:vAlign w:val="center"/>
          </w:tcPr>
          <w:p>
            <w:r>
              <w:rPr>
                <w:rFonts w:ascii="Arial" w:cs="Arial" w:eastAsia="Arial" w:hAnsi="Arial"/>
                <w:b w:val="false"/>
                <w:bCs w:val="false"/>
                <w:color w:val="1B3A6B"/>
                <w:sz w:val="20"/>
                <w:szCs w:val="20"/>
              </w:rPr>
              <w:t xml:space="preserve">Day 5 (Friday)</w:t>
            </w:r>
          </w:p>
        </w:tc>
        <w:tc>
          <w:tcPr>
            <w:tcW w:type="dxa" w:w="6960"/>
            <w:tcBorders>
              <w:top w:val="single" w:color="D0D9E4" w:sz="1"/>
              <w:left w:val="single" w:color="D0D9E4" w:sz="1"/>
              <w:bottom w:val="single" w:color="D0D9E4" w:sz="1"/>
              <w:right w:val="single" w:color="D0D9E4" w:sz="1"/>
            </w:tcBorders>
            <w:shd w:fill="FFFFFF" w:val="clear"/>
            <w:tcMar>
              <w:top w:type="dxa" w:w="80"/>
              <w:left w:type="dxa" w:w="120"/>
              <w:bottom w:type="dxa" w:w="80"/>
              <w:right w:type="dxa" w:w="120"/>
            </w:tcMar>
          </w:tcPr>
          <w:p>
            <w:r>
              <w:rPr>
                <w:rFonts w:ascii="Arial" w:cs="Arial" w:eastAsia="Arial" w:hAnsi="Arial"/>
                <w:color w:val="1E2A3A"/>
                <w:sz w:val="20"/>
                <w:szCs w:val="20"/>
              </w:rPr>
              <w:t xml:space="preserve">30-60-90 plan discussion, retrospective with buddy, end-of-week check-in with HR</w:t>
            </w:r>
          </w:p>
        </w:tc>
      </w:tr>
    </w:tbl>
    <w:p>
      <w:pPr>
        <w:spacing w:after="100" w:before="0"/>
      </w:pPr>
    </w:p>
    <w:p>
      <w:pPr>
        <w:pStyle w:val="Heading2"/>
        <w:spacing w:after="120" w:before="240"/>
      </w:pPr>
      <w:r>
        <w:rPr>
          <w:rFonts w:ascii="Arial" w:cs="Arial" w:eastAsia="Arial" w:hAnsi="Arial"/>
          <w:b/>
          <w:bCs/>
          <w:color w:val="0E7E7E"/>
          <w:sz w:val="26"/>
          <w:szCs w:val="26"/>
        </w:rPr>
        <w:t xml:space="preserve">8.2  Key Meetings to Schedule in Week 1</w:t>
      </w:r>
    </w:p>
    <w:p>
      <w:pPr>
        <w:pStyle w:val="ListParagraph"/>
        <w:numPr>
          <w:ilvl w:val="0"/>
          <w:numId w:val="2"/>
        </w:numPr>
        <w:spacing w:after="60" w:before="40"/>
      </w:pPr>
      <w:r>
        <w:rPr>
          <w:rFonts w:ascii="Arial" w:cs="Arial" w:eastAsia="Arial" w:hAnsi="Arial"/>
          <w:color w:val="1E2A3A"/>
          <w:sz w:val="22"/>
          <w:szCs w:val="22"/>
        </w:rPr>
        <w:t xml:space="preserve">1:1 with Hiring Manager — Role expectations, team dynamics, immediate priorities.</w:t>
      </w:r>
    </w:p>
    <w:p>
      <w:pPr>
        <w:pStyle w:val="ListParagraph"/>
        <w:numPr>
          <w:ilvl w:val="0"/>
          <w:numId w:val="2"/>
        </w:numPr>
        <w:spacing w:after="60" w:before="40"/>
      </w:pPr>
      <w:r>
        <w:rPr>
          <w:rFonts w:ascii="Arial" w:cs="Arial" w:eastAsia="Arial" w:hAnsi="Arial"/>
          <w:color w:val="1E2A3A"/>
          <w:sz w:val="22"/>
          <w:szCs w:val="22"/>
        </w:rPr>
        <w:t xml:space="preserve">Meet HRBP — Understand HR support structure, escalation paths, and wellbeing resources.</w:t>
      </w:r>
    </w:p>
    <w:p>
      <w:pPr>
        <w:pStyle w:val="ListParagraph"/>
        <w:numPr>
          <w:ilvl w:val="0"/>
          <w:numId w:val="2"/>
        </w:numPr>
        <w:spacing w:after="60" w:before="40"/>
      </w:pPr>
      <w:r>
        <w:rPr>
          <w:rFonts w:ascii="Arial" w:cs="Arial" w:eastAsia="Arial" w:hAnsi="Arial"/>
          <w:color w:val="1E2A3A"/>
          <w:sz w:val="22"/>
          <w:szCs w:val="22"/>
        </w:rPr>
        <w:t xml:space="preserve">Buddy Catchup — Daily 15-minute informal check-in for the first week.</w:t>
      </w:r>
    </w:p>
    <w:p>
      <w:pPr>
        <w:pStyle w:val="ListParagraph"/>
        <w:numPr>
          <w:ilvl w:val="0"/>
          <w:numId w:val="2"/>
        </w:numPr>
        <w:spacing w:after="60" w:before="40"/>
      </w:pPr>
      <w:r>
        <w:rPr>
          <w:rFonts w:ascii="Arial" w:cs="Arial" w:eastAsia="Arial" w:hAnsi="Arial"/>
          <w:color w:val="1E2A3A"/>
          <w:sz w:val="22"/>
          <w:szCs w:val="22"/>
        </w:rPr>
        <w:t xml:space="preserve">Team Standup / All-Hands — Observe the team's working rhythm and communication style.</w:t>
      </w:r>
    </w:p>
    <w:p>
      <w:pPr>
        <w:pStyle w:val="ListParagraph"/>
        <w:numPr>
          <w:ilvl w:val="0"/>
          <w:numId w:val="2"/>
        </w:numPr>
        <w:spacing w:after="60" w:before="40"/>
      </w:pPr>
      <w:r>
        <w:rPr>
          <w:rFonts w:ascii="Arial" w:cs="Arial" w:eastAsia="Arial" w:hAnsi="Arial"/>
          <w:color w:val="1E2A3A"/>
          <w:sz w:val="22"/>
          <w:szCs w:val="22"/>
        </w:rPr>
        <w:t xml:space="preserve">Skip-Level Introduction (optional) — Brief introduction with your manager's manager.</w:t>
      </w:r>
    </w:p>
    <w:p>
      <w:pPr>
        <w:spacing w:after="100" w:before="0"/>
      </w:pPr>
    </w:p>
    <w:p>
      <w:pPr>
        <w:pStyle w:val="Heading2"/>
        <w:spacing w:after="120" w:before="240"/>
      </w:pPr>
      <w:r>
        <w:rPr>
          <w:rFonts w:ascii="Arial" w:cs="Arial" w:eastAsia="Arial" w:hAnsi="Arial"/>
          <w:b/>
          <w:bCs/>
          <w:color w:val="0E7E7E"/>
          <w:sz w:val="26"/>
          <w:szCs w:val="26"/>
        </w:rPr>
        <w:t xml:space="preserve">8.3  30-60-90 Day Plan</w:t>
      </w:r>
    </w:p>
    <w:p>
      <w:pPr>
        <w:spacing w:after="100" w:before="60"/>
      </w:pPr>
      <w:r>
        <w:rPr>
          <w:rFonts w:ascii="Arial" w:cs="Arial" w:eastAsia="Arial" w:hAnsi="Arial"/>
          <w:color w:val="1E2A3A"/>
          <w:sz w:val="22"/>
          <w:szCs w:val="22"/>
        </w:rPr>
        <w:t xml:space="preserve">Your Hiring Manager will co-create a 30-60-90 day plan with you by end of Week 1. The plan will outline:</w:t>
      </w:r>
    </w:p>
    <w:p>
      <w:pPr>
        <w:pStyle w:val="ListParagraph"/>
        <w:numPr>
          <w:ilvl w:val="0"/>
          <w:numId w:val="2"/>
        </w:numPr>
        <w:spacing w:after="60" w:before="40"/>
      </w:pPr>
      <w:r>
        <w:rPr>
          <w:rFonts w:ascii="Arial" w:cs="Arial" w:eastAsia="Arial" w:hAnsi="Arial"/>
          <w:color w:val="1E2A3A"/>
          <w:sz w:val="22"/>
          <w:szCs w:val="22"/>
        </w:rPr>
        <w:t xml:space="preserve">Days 1–30: Learning and context-building. Understand the role, team, tools, and processes.</w:t>
      </w:r>
    </w:p>
    <w:p>
      <w:pPr>
        <w:pStyle w:val="ListParagraph"/>
        <w:numPr>
          <w:ilvl w:val="0"/>
          <w:numId w:val="2"/>
        </w:numPr>
        <w:spacing w:after="60" w:before="40"/>
      </w:pPr>
      <w:r>
        <w:rPr>
          <w:rFonts w:ascii="Arial" w:cs="Arial" w:eastAsia="Arial" w:hAnsi="Arial"/>
          <w:color w:val="1E2A3A"/>
          <w:sz w:val="22"/>
          <w:szCs w:val="22"/>
        </w:rPr>
        <w:t xml:space="preserve">Days 31–60: Contribution. Take ownership of smaller deliverables and begin active project involvement.</w:t>
      </w:r>
    </w:p>
    <w:p>
      <w:pPr>
        <w:pStyle w:val="ListParagraph"/>
        <w:numPr>
          <w:ilvl w:val="0"/>
          <w:numId w:val="2"/>
        </w:numPr>
        <w:spacing w:after="60" w:before="40"/>
      </w:pPr>
      <w:r>
        <w:rPr>
          <w:rFonts w:ascii="Arial" w:cs="Arial" w:eastAsia="Arial" w:hAnsi="Arial"/>
          <w:color w:val="1E2A3A"/>
          <w:sz w:val="22"/>
          <w:szCs w:val="22"/>
        </w:rPr>
        <w:t xml:space="preserve">Days 61–90: Impact. Deliver meaningful outcomes and demonstrate alignment with role expectations.</w:t>
      </w:r>
    </w:p>
    <w:p>
      <w:pPr>
        <w:spacing w:after="120" w:before="0"/>
      </w:pPr>
    </w:p>
    <w:p>
      <w:r>
        <w:br w:type="page"/>
      </w:r>
    </w:p>
    <w:p>
      <w:pPr>
        <w:pStyle w:val="Heading1"/>
        <w:spacing w:after="160" w:before="320"/>
      </w:pPr>
      <w:r>
        <w:rPr>
          <w:rFonts w:ascii="Arial" w:cs="Arial" w:eastAsia="Arial" w:hAnsi="Arial"/>
          <w:b/>
          <w:bCs/>
          <w:color w:val="1B3A6B"/>
          <w:sz w:val="36"/>
          <w:szCs w:val="36"/>
        </w:rPr>
        <w:t xml:space="preserve">9. Training Programs</w:t>
      </w:r>
    </w:p>
    <w:p>
      <w:pPr>
        <w:pBdr>
          <w:bottom w:val="single" w:color="0E7E7E" w:sz="6" w:space="1"/>
        </w:pBdr>
        <w:spacing w:after="120" w:before="120"/>
      </w:pPr>
    </w:p>
    <w:p>
      <w:pPr>
        <w:spacing w:after="100" w:before="60"/>
      </w:pPr>
      <w:r>
        <w:rPr>
          <w:rFonts w:ascii="Arial" w:cs="Arial" w:eastAsia="Arial" w:hAnsi="Arial"/>
          <w:color w:val="1E2A3A"/>
          <w:sz w:val="22"/>
          <w:szCs w:val="22"/>
        </w:rPr>
        <w:t xml:space="preserve">Learning and development is a core part of your employee experience. All new employees are enrolled in a structured training curriculum covering mandatory compliance modules and role-specific skill development.</w:t>
      </w:r>
    </w:p>
    <w:p>
      <w:pPr>
        <w:spacing w:after="80" w:before="0"/>
      </w:pPr>
    </w:p>
    <w:p>
      <w:pPr>
        <w:pStyle w:val="Heading2"/>
        <w:spacing w:after="120" w:before="240"/>
      </w:pPr>
      <w:r>
        <w:rPr>
          <w:rFonts w:ascii="Arial" w:cs="Arial" w:eastAsia="Arial" w:hAnsi="Arial"/>
          <w:b/>
          <w:bCs/>
          <w:color w:val="0E7E7E"/>
          <w:sz w:val="26"/>
          <w:szCs w:val="26"/>
        </w:rPr>
        <w:t xml:space="preserve">9.1  Mandatory Trainings (All Employees)</w:t>
      </w:r>
    </w:p>
    <w:p>
      <w:pPr>
        <w:spacing w:after="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200"/>
        <w:gridCol w:w="3660"/>
      </w:tblGrid>
      <w:tr>
        <w:tc>
          <w:tcPr>
            <w:tcW w:type="dxa" w:w="3500"/>
            <w:tcBorders>
              <w:top w:val="single" w:color="D0D9E4" w:sz="1"/>
              <w:left w:val="single" w:color="D0D9E4" w:sz="1"/>
              <w:bottom w:val="single" w:color="D0D9E4" w:sz="1"/>
              <w:right w:val="single" w:color="D0D9E4"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Training</w:t>
            </w:r>
          </w:p>
        </w:tc>
        <w:tc>
          <w:tcPr>
            <w:tcW w:type="dxa" w:w="2200"/>
            <w:tcBorders>
              <w:top w:val="single" w:color="D0D9E4" w:sz="1"/>
              <w:left w:val="single" w:color="D0D9E4" w:sz="1"/>
              <w:bottom w:val="single" w:color="D0D9E4" w:sz="1"/>
              <w:right w:val="single" w:color="D0D9E4"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Mode</w:t>
            </w:r>
          </w:p>
        </w:tc>
        <w:tc>
          <w:tcPr>
            <w:tcW w:type="dxa" w:w="3660"/>
            <w:tcBorders>
              <w:top w:val="single" w:color="D0D9E4" w:sz="1"/>
              <w:left w:val="single" w:color="D0D9E4" w:sz="1"/>
              <w:bottom w:val="single" w:color="D0D9E4" w:sz="1"/>
              <w:right w:val="single" w:color="D0D9E4"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Completion Deadline</w:t>
            </w:r>
          </w:p>
        </w:tc>
      </w:tr>
      <w:tr>
        <w:tc>
          <w:tcPr>
            <w:tcW w:type="dxa" w:w="3500"/>
            <w:tcBorders>
              <w:top w:val="single" w:color="D0D9E4" w:sz="1"/>
              <w:left w:val="single" w:color="D0D9E4" w:sz="1"/>
              <w:bottom w:val="single" w:color="D0D9E4" w:sz="1"/>
              <w:right w:val="single" w:color="D0D9E4" w:sz="1"/>
            </w:tcBorders>
            <w:shd w:fill="F2F5F9" w:val="clear"/>
            <w:tcMar>
              <w:top w:type="dxa" w:w="80"/>
              <w:left w:type="dxa" w:w="120"/>
              <w:bottom w:type="dxa" w:w="80"/>
              <w:right w:type="dxa" w:w="120"/>
            </w:tcMar>
          </w:tcPr>
          <w:p>
            <w:r>
              <w:rPr>
                <w:rFonts w:ascii="Arial" w:cs="Arial" w:eastAsia="Arial" w:hAnsi="Arial"/>
                <w:b w:val="false"/>
                <w:bCs w:val="false"/>
                <w:color w:val="1E2A3A"/>
                <w:sz w:val="20"/>
                <w:szCs w:val="20"/>
              </w:rPr>
              <w:t xml:space="preserve">Prevention of Sexual Harassment (POSH)</w:t>
            </w:r>
          </w:p>
        </w:tc>
        <w:tc>
          <w:tcPr>
            <w:tcW w:type="dxa" w:w="2200"/>
            <w:tcBorders>
              <w:top w:val="single" w:color="D0D9E4" w:sz="1"/>
              <w:left w:val="single" w:color="D0D9E4" w:sz="1"/>
              <w:bottom w:val="single" w:color="D0D9E4" w:sz="1"/>
              <w:right w:val="single" w:color="D0D9E4" w:sz="1"/>
            </w:tcBorders>
            <w:shd w:fill="FFFFFF" w:val="clear"/>
            <w:tcMar>
              <w:top w:type="dxa" w:w="80"/>
              <w:left w:type="dxa" w:w="120"/>
              <w:bottom w:type="dxa" w:w="80"/>
              <w:right w:type="dxa" w:w="120"/>
            </w:tcMar>
          </w:tcPr>
          <w:p>
            <w:r>
              <w:rPr>
                <w:rFonts w:ascii="Arial" w:cs="Arial" w:eastAsia="Arial" w:hAnsi="Arial"/>
                <w:b w:val="false"/>
                <w:bCs w:val="false"/>
                <w:color w:val="1E2A3A"/>
                <w:sz w:val="20"/>
                <w:szCs w:val="20"/>
              </w:rPr>
              <w:t xml:space="preserve">E-Learning + Quiz</w:t>
            </w:r>
          </w:p>
        </w:tc>
        <w:tc>
          <w:tcPr>
            <w:tcW w:type="dxa" w:w="3660"/>
            <w:tcBorders>
              <w:top w:val="single" w:color="D0D9E4" w:sz="1"/>
              <w:left w:val="single" w:color="D0D9E4" w:sz="1"/>
              <w:bottom w:val="single" w:color="D0D9E4" w:sz="1"/>
              <w:right w:val="single" w:color="D0D9E4" w:sz="1"/>
            </w:tcBorders>
            <w:shd w:fill="FFFFFF" w:val="clear"/>
            <w:tcMar>
              <w:top w:type="dxa" w:w="80"/>
              <w:left w:type="dxa" w:w="120"/>
              <w:bottom w:type="dxa" w:w="80"/>
              <w:right w:type="dxa" w:w="120"/>
            </w:tcMar>
          </w:tcPr>
          <w:p>
            <w:r>
              <w:rPr>
                <w:rFonts w:ascii="Arial" w:cs="Arial" w:eastAsia="Arial" w:hAnsi="Arial"/>
                <w:b w:val="false"/>
                <w:bCs w:val="false"/>
                <w:color w:val="1E2A3A"/>
                <w:sz w:val="20"/>
                <w:szCs w:val="20"/>
              </w:rPr>
              <w:t xml:space="preserve">Day 15</w:t>
            </w:r>
          </w:p>
        </w:tc>
      </w:tr>
      <w:tr>
        <w:tc>
          <w:tcPr>
            <w:tcW w:type="dxa" w:w="3500"/>
            <w:tcBorders>
              <w:top w:val="single" w:color="D0D9E4" w:sz="1"/>
              <w:left w:val="single" w:color="D0D9E4" w:sz="1"/>
              <w:bottom w:val="single" w:color="D0D9E4" w:sz="1"/>
              <w:right w:val="single" w:color="D0D9E4" w:sz="1"/>
            </w:tcBorders>
            <w:shd w:fill="F2F5F9" w:val="clear"/>
            <w:tcMar>
              <w:top w:type="dxa" w:w="80"/>
              <w:left w:type="dxa" w:w="120"/>
              <w:bottom w:type="dxa" w:w="80"/>
              <w:right w:type="dxa" w:w="120"/>
            </w:tcMar>
          </w:tcPr>
          <w:p>
            <w:r>
              <w:rPr>
                <w:rFonts w:ascii="Arial" w:cs="Arial" w:eastAsia="Arial" w:hAnsi="Arial"/>
                <w:b w:val="false"/>
                <w:bCs w:val="false"/>
                <w:color w:val="1E2A3A"/>
                <w:sz w:val="20"/>
                <w:szCs w:val="20"/>
              </w:rPr>
              <w:t xml:space="preserve">Information Security &amp; Data Privacy</w:t>
            </w:r>
          </w:p>
        </w:tc>
        <w:tc>
          <w:tcPr>
            <w:tcW w:type="dxa" w:w="2200"/>
            <w:tcBorders>
              <w:top w:val="single" w:color="D0D9E4" w:sz="1"/>
              <w:left w:val="single" w:color="D0D9E4" w:sz="1"/>
              <w:bottom w:val="single" w:color="D0D9E4" w:sz="1"/>
              <w:right w:val="single" w:color="D0D9E4" w:sz="1"/>
            </w:tcBorders>
            <w:shd w:fill="FFFFFF" w:val="clear"/>
            <w:tcMar>
              <w:top w:type="dxa" w:w="80"/>
              <w:left w:type="dxa" w:w="120"/>
              <w:bottom w:type="dxa" w:w="80"/>
              <w:right w:type="dxa" w:w="120"/>
            </w:tcMar>
          </w:tcPr>
          <w:p>
            <w:r>
              <w:rPr>
                <w:rFonts w:ascii="Arial" w:cs="Arial" w:eastAsia="Arial" w:hAnsi="Arial"/>
                <w:b w:val="false"/>
                <w:bCs w:val="false"/>
                <w:color w:val="1E2A3A"/>
                <w:sz w:val="20"/>
                <w:szCs w:val="20"/>
              </w:rPr>
              <w:t xml:space="preserve">E-Learning + Assessment</w:t>
            </w:r>
          </w:p>
        </w:tc>
        <w:tc>
          <w:tcPr>
            <w:tcW w:type="dxa" w:w="3660"/>
            <w:tcBorders>
              <w:top w:val="single" w:color="D0D9E4" w:sz="1"/>
              <w:left w:val="single" w:color="D0D9E4" w:sz="1"/>
              <w:bottom w:val="single" w:color="D0D9E4" w:sz="1"/>
              <w:right w:val="single" w:color="D0D9E4" w:sz="1"/>
            </w:tcBorders>
            <w:shd w:fill="FFFFFF" w:val="clear"/>
            <w:tcMar>
              <w:top w:type="dxa" w:w="80"/>
              <w:left w:type="dxa" w:w="120"/>
              <w:bottom w:type="dxa" w:w="80"/>
              <w:right w:type="dxa" w:w="120"/>
            </w:tcMar>
          </w:tcPr>
          <w:p>
            <w:r>
              <w:rPr>
                <w:rFonts w:ascii="Arial" w:cs="Arial" w:eastAsia="Arial" w:hAnsi="Arial"/>
                <w:b w:val="false"/>
                <w:bCs w:val="false"/>
                <w:color w:val="1E2A3A"/>
                <w:sz w:val="20"/>
                <w:szCs w:val="20"/>
              </w:rPr>
              <w:t xml:space="preserve">Day 15</w:t>
            </w:r>
          </w:p>
        </w:tc>
      </w:tr>
      <w:tr>
        <w:tc>
          <w:tcPr>
            <w:tcW w:type="dxa" w:w="3500"/>
            <w:tcBorders>
              <w:top w:val="single" w:color="D0D9E4" w:sz="1"/>
              <w:left w:val="single" w:color="D0D9E4" w:sz="1"/>
              <w:bottom w:val="single" w:color="D0D9E4" w:sz="1"/>
              <w:right w:val="single" w:color="D0D9E4" w:sz="1"/>
            </w:tcBorders>
            <w:shd w:fill="F2F5F9" w:val="clear"/>
            <w:tcMar>
              <w:top w:type="dxa" w:w="80"/>
              <w:left w:type="dxa" w:w="120"/>
              <w:bottom w:type="dxa" w:w="80"/>
              <w:right w:type="dxa" w:w="120"/>
            </w:tcMar>
          </w:tcPr>
          <w:p>
            <w:r>
              <w:rPr>
                <w:rFonts w:ascii="Arial" w:cs="Arial" w:eastAsia="Arial" w:hAnsi="Arial"/>
                <w:b w:val="false"/>
                <w:bCs w:val="false"/>
                <w:color w:val="1E2A3A"/>
                <w:sz w:val="20"/>
                <w:szCs w:val="20"/>
              </w:rPr>
              <w:t xml:space="preserve">Code of Conduct &amp; Ethics</w:t>
            </w:r>
          </w:p>
        </w:tc>
        <w:tc>
          <w:tcPr>
            <w:tcW w:type="dxa" w:w="2200"/>
            <w:tcBorders>
              <w:top w:val="single" w:color="D0D9E4" w:sz="1"/>
              <w:left w:val="single" w:color="D0D9E4" w:sz="1"/>
              <w:bottom w:val="single" w:color="D0D9E4" w:sz="1"/>
              <w:right w:val="single" w:color="D0D9E4" w:sz="1"/>
            </w:tcBorders>
            <w:shd w:fill="FFFFFF" w:val="clear"/>
            <w:tcMar>
              <w:top w:type="dxa" w:w="80"/>
              <w:left w:type="dxa" w:w="120"/>
              <w:bottom w:type="dxa" w:w="80"/>
              <w:right w:type="dxa" w:w="120"/>
            </w:tcMar>
          </w:tcPr>
          <w:p>
            <w:r>
              <w:rPr>
                <w:rFonts w:ascii="Arial" w:cs="Arial" w:eastAsia="Arial" w:hAnsi="Arial"/>
                <w:b w:val="false"/>
                <w:bCs w:val="false"/>
                <w:color w:val="1E2A3A"/>
                <w:sz w:val="20"/>
                <w:szCs w:val="20"/>
              </w:rPr>
              <w:t xml:space="preserve">Self-paced e-module</w:t>
            </w:r>
          </w:p>
        </w:tc>
        <w:tc>
          <w:tcPr>
            <w:tcW w:type="dxa" w:w="3660"/>
            <w:tcBorders>
              <w:top w:val="single" w:color="D0D9E4" w:sz="1"/>
              <w:left w:val="single" w:color="D0D9E4" w:sz="1"/>
              <w:bottom w:val="single" w:color="D0D9E4" w:sz="1"/>
              <w:right w:val="single" w:color="D0D9E4" w:sz="1"/>
            </w:tcBorders>
            <w:shd w:fill="FFFFFF" w:val="clear"/>
            <w:tcMar>
              <w:top w:type="dxa" w:w="80"/>
              <w:left w:type="dxa" w:w="120"/>
              <w:bottom w:type="dxa" w:w="80"/>
              <w:right w:type="dxa" w:w="120"/>
            </w:tcMar>
          </w:tcPr>
          <w:p>
            <w:r>
              <w:rPr>
                <w:rFonts w:ascii="Arial" w:cs="Arial" w:eastAsia="Arial" w:hAnsi="Arial"/>
                <w:b w:val="false"/>
                <w:bCs w:val="false"/>
                <w:color w:val="1E2A3A"/>
                <w:sz w:val="20"/>
                <w:szCs w:val="20"/>
              </w:rPr>
              <w:t xml:space="preserve">Day 7</w:t>
            </w:r>
          </w:p>
        </w:tc>
      </w:tr>
      <w:tr>
        <w:tc>
          <w:tcPr>
            <w:tcW w:type="dxa" w:w="3500"/>
            <w:tcBorders>
              <w:top w:val="single" w:color="D0D9E4" w:sz="1"/>
              <w:left w:val="single" w:color="D0D9E4" w:sz="1"/>
              <w:bottom w:val="single" w:color="D0D9E4" w:sz="1"/>
              <w:right w:val="single" w:color="D0D9E4" w:sz="1"/>
            </w:tcBorders>
            <w:shd w:fill="F2F5F9" w:val="clear"/>
            <w:tcMar>
              <w:top w:type="dxa" w:w="80"/>
              <w:left w:type="dxa" w:w="120"/>
              <w:bottom w:type="dxa" w:w="80"/>
              <w:right w:type="dxa" w:w="120"/>
            </w:tcMar>
          </w:tcPr>
          <w:p>
            <w:r>
              <w:rPr>
                <w:rFonts w:ascii="Arial" w:cs="Arial" w:eastAsia="Arial" w:hAnsi="Arial"/>
                <w:b w:val="false"/>
                <w:bCs w:val="false"/>
                <w:color w:val="1E2A3A"/>
                <w:sz w:val="20"/>
                <w:szCs w:val="20"/>
              </w:rPr>
              <w:t xml:space="preserve">Workplace Safety &amp; Emergency Procedures</w:t>
            </w:r>
          </w:p>
        </w:tc>
        <w:tc>
          <w:tcPr>
            <w:tcW w:type="dxa" w:w="2200"/>
            <w:tcBorders>
              <w:top w:val="single" w:color="D0D9E4" w:sz="1"/>
              <w:left w:val="single" w:color="D0D9E4" w:sz="1"/>
              <w:bottom w:val="single" w:color="D0D9E4" w:sz="1"/>
              <w:right w:val="single" w:color="D0D9E4" w:sz="1"/>
            </w:tcBorders>
            <w:shd w:fill="FFFFFF" w:val="clear"/>
            <w:tcMar>
              <w:top w:type="dxa" w:w="80"/>
              <w:left w:type="dxa" w:w="120"/>
              <w:bottom w:type="dxa" w:w="80"/>
              <w:right w:type="dxa" w:w="120"/>
            </w:tcMar>
          </w:tcPr>
          <w:p>
            <w:r>
              <w:rPr>
                <w:rFonts w:ascii="Arial" w:cs="Arial" w:eastAsia="Arial" w:hAnsi="Arial"/>
                <w:b w:val="false"/>
                <w:bCs w:val="false"/>
                <w:color w:val="1E2A3A"/>
                <w:sz w:val="20"/>
                <w:szCs w:val="20"/>
              </w:rPr>
              <w:t xml:space="preserve">In-person / Video</w:t>
            </w:r>
          </w:p>
        </w:tc>
        <w:tc>
          <w:tcPr>
            <w:tcW w:type="dxa" w:w="3660"/>
            <w:tcBorders>
              <w:top w:val="single" w:color="D0D9E4" w:sz="1"/>
              <w:left w:val="single" w:color="D0D9E4" w:sz="1"/>
              <w:bottom w:val="single" w:color="D0D9E4" w:sz="1"/>
              <w:right w:val="single" w:color="D0D9E4" w:sz="1"/>
            </w:tcBorders>
            <w:shd w:fill="FFFFFF" w:val="clear"/>
            <w:tcMar>
              <w:top w:type="dxa" w:w="80"/>
              <w:left w:type="dxa" w:w="120"/>
              <w:bottom w:type="dxa" w:w="80"/>
              <w:right w:type="dxa" w:w="120"/>
            </w:tcMar>
          </w:tcPr>
          <w:p>
            <w:r>
              <w:rPr>
                <w:rFonts w:ascii="Arial" w:cs="Arial" w:eastAsia="Arial" w:hAnsi="Arial"/>
                <w:b w:val="false"/>
                <w:bCs w:val="false"/>
                <w:color w:val="1E2A3A"/>
                <w:sz w:val="20"/>
                <w:szCs w:val="20"/>
              </w:rPr>
              <w:t xml:space="preserve">Day 30</w:t>
            </w:r>
          </w:p>
        </w:tc>
      </w:tr>
      <w:tr>
        <w:tc>
          <w:tcPr>
            <w:tcW w:type="dxa" w:w="3500"/>
            <w:tcBorders>
              <w:top w:val="single" w:color="D0D9E4" w:sz="1"/>
              <w:left w:val="single" w:color="D0D9E4" w:sz="1"/>
              <w:bottom w:val="single" w:color="D0D9E4" w:sz="1"/>
              <w:right w:val="single" w:color="D0D9E4" w:sz="1"/>
            </w:tcBorders>
            <w:shd w:fill="F2F5F9" w:val="clear"/>
            <w:tcMar>
              <w:top w:type="dxa" w:w="80"/>
              <w:left w:type="dxa" w:w="120"/>
              <w:bottom w:type="dxa" w:w="80"/>
              <w:right w:type="dxa" w:w="120"/>
            </w:tcMar>
          </w:tcPr>
          <w:p>
            <w:r>
              <w:rPr>
                <w:rFonts w:ascii="Arial" w:cs="Arial" w:eastAsia="Arial" w:hAnsi="Arial"/>
                <w:b w:val="false"/>
                <w:bCs w:val="false"/>
                <w:color w:val="1E2A3A"/>
                <w:sz w:val="20"/>
                <w:szCs w:val="20"/>
              </w:rPr>
              <w:t xml:space="preserve">Anti-Bribery &amp; Anti-Corruption (ABAC)</w:t>
            </w:r>
          </w:p>
        </w:tc>
        <w:tc>
          <w:tcPr>
            <w:tcW w:type="dxa" w:w="2200"/>
            <w:tcBorders>
              <w:top w:val="single" w:color="D0D9E4" w:sz="1"/>
              <w:left w:val="single" w:color="D0D9E4" w:sz="1"/>
              <w:bottom w:val="single" w:color="D0D9E4" w:sz="1"/>
              <w:right w:val="single" w:color="D0D9E4" w:sz="1"/>
            </w:tcBorders>
            <w:shd w:fill="FFFFFF" w:val="clear"/>
            <w:tcMar>
              <w:top w:type="dxa" w:w="80"/>
              <w:left w:type="dxa" w:w="120"/>
              <w:bottom w:type="dxa" w:w="80"/>
              <w:right w:type="dxa" w:w="120"/>
            </w:tcMar>
          </w:tcPr>
          <w:p>
            <w:r>
              <w:rPr>
                <w:rFonts w:ascii="Arial" w:cs="Arial" w:eastAsia="Arial" w:hAnsi="Arial"/>
                <w:b w:val="false"/>
                <w:bCs w:val="false"/>
                <w:color w:val="1E2A3A"/>
                <w:sz w:val="20"/>
                <w:szCs w:val="20"/>
              </w:rPr>
              <w:t xml:space="preserve">E-Learning</w:t>
            </w:r>
          </w:p>
        </w:tc>
        <w:tc>
          <w:tcPr>
            <w:tcW w:type="dxa" w:w="3660"/>
            <w:tcBorders>
              <w:top w:val="single" w:color="D0D9E4" w:sz="1"/>
              <w:left w:val="single" w:color="D0D9E4" w:sz="1"/>
              <w:bottom w:val="single" w:color="D0D9E4" w:sz="1"/>
              <w:right w:val="single" w:color="D0D9E4" w:sz="1"/>
            </w:tcBorders>
            <w:shd w:fill="FFFFFF" w:val="clear"/>
            <w:tcMar>
              <w:top w:type="dxa" w:w="80"/>
              <w:left w:type="dxa" w:w="120"/>
              <w:bottom w:type="dxa" w:w="80"/>
              <w:right w:type="dxa" w:w="120"/>
            </w:tcMar>
          </w:tcPr>
          <w:p>
            <w:r>
              <w:rPr>
                <w:rFonts w:ascii="Arial" w:cs="Arial" w:eastAsia="Arial" w:hAnsi="Arial"/>
                <w:b w:val="false"/>
                <w:bCs w:val="false"/>
                <w:color w:val="1E2A3A"/>
                <w:sz w:val="20"/>
                <w:szCs w:val="20"/>
              </w:rPr>
              <w:t xml:space="preserve">Day 30</w:t>
            </w:r>
          </w:p>
        </w:tc>
      </w:tr>
      <w:tr>
        <w:tc>
          <w:tcPr>
            <w:tcW w:type="dxa" w:w="3500"/>
            <w:tcBorders>
              <w:top w:val="single" w:color="D0D9E4" w:sz="1"/>
              <w:left w:val="single" w:color="D0D9E4" w:sz="1"/>
              <w:bottom w:val="single" w:color="D0D9E4" w:sz="1"/>
              <w:right w:val="single" w:color="D0D9E4" w:sz="1"/>
            </w:tcBorders>
            <w:shd w:fill="F2F5F9" w:val="clear"/>
            <w:tcMar>
              <w:top w:type="dxa" w:w="80"/>
              <w:left w:type="dxa" w:w="120"/>
              <w:bottom w:type="dxa" w:w="80"/>
              <w:right w:type="dxa" w:w="120"/>
            </w:tcMar>
          </w:tcPr>
          <w:p>
            <w:r>
              <w:rPr>
                <w:rFonts w:ascii="Arial" w:cs="Arial" w:eastAsia="Arial" w:hAnsi="Arial"/>
                <w:b w:val="false"/>
                <w:bCs w:val="false"/>
                <w:color w:val="1E2A3A"/>
                <w:sz w:val="20"/>
                <w:szCs w:val="20"/>
              </w:rPr>
              <w:t xml:space="preserve">Diversity, Equity &amp; Inclusion (DEI) Foundations</w:t>
            </w:r>
          </w:p>
        </w:tc>
        <w:tc>
          <w:tcPr>
            <w:tcW w:type="dxa" w:w="2200"/>
            <w:tcBorders>
              <w:top w:val="single" w:color="D0D9E4" w:sz="1"/>
              <w:left w:val="single" w:color="D0D9E4" w:sz="1"/>
              <w:bottom w:val="single" w:color="D0D9E4" w:sz="1"/>
              <w:right w:val="single" w:color="D0D9E4" w:sz="1"/>
            </w:tcBorders>
            <w:shd w:fill="FFFFFF" w:val="clear"/>
            <w:tcMar>
              <w:top w:type="dxa" w:w="80"/>
              <w:left w:type="dxa" w:w="120"/>
              <w:bottom w:type="dxa" w:w="80"/>
              <w:right w:type="dxa" w:w="120"/>
            </w:tcMar>
          </w:tcPr>
          <w:p>
            <w:r>
              <w:rPr>
                <w:rFonts w:ascii="Arial" w:cs="Arial" w:eastAsia="Arial" w:hAnsi="Arial"/>
                <w:b w:val="false"/>
                <w:bCs w:val="false"/>
                <w:color w:val="1E2A3A"/>
                <w:sz w:val="20"/>
                <w:szCs w:val="20"/>
              </w:rPr>
              <w:t xml:space="preserve">E-Learning</w:t>
            </w:r>
          </w:p>
        </w:tc>
        <w:tc>
          <w:tcPr>
            <w:tcW w:type="dxa" w:w="3660"/>
            <w:tcBorders>
              <w:top w:val="single" w:color="D0D9E4" w:sz="1"/>
              <w:left w:val="single" w:color="D0D9E4" w:sz="1"/>
              <w:bottom w:val="single" w:color="D0D9E4" w:sz="1"/>
              <w:right w:val="single" w:color="D0D9E4" w:sz="1"/>
            </w:tcBorders>
            <w:shd w:fill="FFFFFF" w:val="clear"/>
            <w:tcMar>
              <w:top w:type="dxa" w:w="80"/>
              <w:left w:type="dxa" w:w="120"/>
              <w:bottom w:type="dxa" w:w="80"/>
              <w:right w:type="dxa" w:w="120"/>
            </w:tcMar>
          </w:tcPr>
          <w:p>
            <w:r>
              <w:rPr>
                <w:rFonts w:ascii="Arial" w:cs="Arial" w:eastAsia="Arial" w:hAnsi="Arial"/>
                <w:b w:val="false"/>
                <w:bCs w:val="false"/>
                <w:color w:val="1E2A3A"/>
                <w:sz w:val="20"/>
                <w:szCs w:val="20"/>
              </w:rPr>
              <w:t xml:space="preserve">Day 30</w:t>
            </w:r>
          </w:p>
        </w:tc>
      </w:tr>
    </w:tbl>
    <w:p>
      <w:pPr>
        <w:spacing w:after="100" w:before="0"/>
      </w:pPr>
    </w:p>
    <w:p>
      <w:pPr>
        <w:pStyle w:val="Heading2"/>
        <w:spacing w:after="120" w:before="240"/>
      </w:pPr>
      <w:r>
        <w:rPr>
          <w:rFonts w:ascii="Arial" w:cs="Arial" w:eastAsia="Arial" w:hAnsi="Arial"/>
          <w:b/>
          <w:bCs/>
          <w:color w:val="0E7E7E"/>
          <w:sz w:val="26"/>
          <w:szCs w:val="26"/>
        </w:rPr>
        <w:t xml:space="preserve">9.2  Role-Specific &amp; Functional Trainings</w:t>
      </w:r>
    </w:p>
    <w:p>
      <w:pPr>
        <w:spacing w:after="100" w:before="60"/>
      </w:pPr>
      <w:r>
        <w:rPr>
          <w:rFonts w:ascii="Arial" w:cs="Arial" w:eastAsia="Arial" w:hAnsi="Arial"/>
          <w:color w:val="1E2A3A"/>
          <w:sz w:val="22"/>
          <w:szCs w:val="22"/>
        </w:rPr>
        <w:t xml:space="preserve">Your Hiring Manager will assign role-specific trainings via the Learning Management System (LMS) in your first week. These may include:</w:t>
      </w:r>
    </w:p>
    <w:p>
      <w:pPr>
        <w:pStyle w:val="ListParagraph"/>
        <w:numPr>
          <w:ilvl w:val="0"/>
          <w:numId w:val="2"/>
        </w:numPr>
        <w:spacing w:after="60" w:before="40"/>
      </w:pPr>
      <w:r>
        <w:rPr>
          <w:rFonts w:ascii="Arial" w:cs="Arial" w:eastAsia="Arial" w:hAnsi="Arial"/>
          <w:color w:val="1E2A3A"/>
          <w:sz w:val="22"/>
          <w:szCs w:val="22"/>
        </w:rPr>
        <w:t xml:space="preserve">Product certifications and technical onboarding tracks.</w:t>
      </w:r>
    </w:p>
    <w:p>
      <w:pPr>
        <w:pStyle w:val="ListParagraph"/>
        <w:numPr>
          <w:ilvl w:val="0"/>
          <w:numId w:val="2"/>
        </w:numPr>
        <w:spacing w:after="60" w:before="40"/>
      </w:pPr>
      <w:r>
        <w:rPr>
          <w:rFonts w:ascii="Arial" w:cs="Arial" w:eastAsia="Arial" w:hAnsi="Arial"/>
          <w:color w:val="1E2A3A"/>
          <w:sz w:val="22"/>
          <w:szCs w:val="22"/>
        </w:rPr>
        <w:t xml:space="preserve">Sales methodology and CRM tool training (for sales and BD roles).</w:t>
      </w:r>
    </w:p>
    <w:p>
      <w:pPr>
        <w:pStyle w:val="ListParagraph"/>
        <w:numPr>
          <w:ilvl w:val="0"/>
          <w:numId w:val="2"/>
        </w:numPr>
        <w:spacing w:after="60" w:before="40"/>
      </w:pPr>
      <w:r>
        <w:rPr>
          <w:rFonts w:ascii="Arial" w:cs="Arial" w:eastAsia="Arial" w:hAnsi="Arial"/>
          <w:color w:val="1E2A3A"/>
          <w:sz w:val="22"/>
          <w:szCs w:val="22"/>
        </w:rPr>
        <w:t xml:space="preserve">Financial processes and ERP training (for finance roles).</w:t>
      </w:r>
    </w:p>
    <w:p>
      <w:pPr>
        <w:pStyle w:val="ListParagraph"/>
        <w:numPr>
          <w:ilvl w:val="0"/>
          <w:numId w:val="2"/>
        </w:numPr>
        <w:spacing w:after="60" w:before="40"/>
      </w:pPr>
      <w:r>
        <w:rPr>
          <w:rFonts w:ascii="Arial" w:cs="Arial" w:eastAsia="Arial" w:hAnsi="Arial"/>
          <w:color w:val="1E2A3A"/>
          <w:sz w:val="22"/>
          <w:szCs w:val="22"/>
        </w:rPr>
        <w:t xml:space="preserve">Engineering onboarding — architecture overview, coding standards, CI/CD pipeline walkthrough.</w:t>
      </w:r>
    </w:p>
    <w:p>
      <w:pPr>
        <w:pStyle w:val="ListParagraph"/>
        <w:numPr>
          <w:ilvl w:val="0"/>
          <w:numId w:val="2"/>
        </w:numPr>
        <w:spacing w:after="60" w:before="40"/>
      </w:pPr>
      <w:r>
        <w:rPr>
          <w:rFonts w:ascii="Arial" w:cs="Arial" w:eastAsia="Arial" w:hAnsi="Arial"/>
          <w:color w:val="1E2A3A"/>
          <w:sz w:val="22"/>
          <w:szCs w:val="22"/>
        </w:rPr>
        <w:t xml:space="preserve">Customer success playbooks and escalation protocols (for CX roles).</w:t>
      </w:r>
    </w:p>
    <w:p>
      <w:pPr>
        <w:spacing w:after="80" w:before="0"/>
      </w:pPr>
    </w:p>
    <w:p>
      <w:pPr>
        <w:pStyle w:val="Heading2"/>
        <w:spacing w:after="120" w:before="240"/>
      </w:pPr>
      <w:r>
        <w:rPr>
          <w:rFonts w:ascii="Arial" w:cs="Arial" w:eastAsia="Arial" w:hAnsi="Arial"/>
          <w:b/>
          <w:bCs/>
          <w:color w:val="0E7E7E"/>
          <w:sz w:val="26"/>
          <w:szCs w:val="26"/>
        </w:rPr>
        <w:t xml:space="preserve">9.3  Learning Management System (LMS)</w:t>
      </w:r>
    </w:p>
    <w:p>
      <w:pPr>
        <w:spacing w:after="100" w:before="60"/>
      </w:pPr>
      <w:r>
        <w:rPr>
          <w:rFonts w:ascii="Arial" w:cs="Arial" w:eastAsia="Arial" w:hAnsi="Arial"/>
          <w:color w:val="1E2A3A"/>
          <w:sz w:val="22"/>
          <w:szCs w:val="22"/>
        </w:rPr>
        <w:t xml:space="preserve">All trainings are accessible via the LMS at lms.company.com. Use your SSO credentials to log in. Completion certificates are automatically generated and filed in your HR record. Training non-compliance may impact your confirmation decision.</w:t>
      </w:r>
    </w:p>
    <w:p>
      <w:pPr>
        <w:spacing w:after="80" w:before="0"/>
      </w:pPr>
    </w:p>
    <w:p>
      <w:pPr>
        <w:pStyle w:val="Heading2"/>
        <w:spacing w:after="120" w:before="240"/>
      </w:pPr>
      <w:r>
        <w:rPr>
          <w:rFonts w:ascii="Arial" w:cs="Arial" w:eastAsia="Arial" w:hAnsi="Arial"/>
          <w:b/>
          <w:bCs/>
          <w:color w:val="0E7E7E"/>
          <w:sz w:val="26"/>
          <w:szCs w:val="26"/>
        </w:rPr>
        <w:t xml:space="preserve">9.4  External Training &amp; Certification Support</w:t>
      </w:r>
    </w:p>
    <w:p>
      <w:pPr>
        <w:spacing w:after="100" w:before="60"/>
      </w:pPr>
      <w:r>
        <w:rPr>
          <w:rFonts w:ascii="Arial" w:cs="Arial" w:eastAsia="Arial" w:hAnsi="Arial"/>
          <w:color w:val="1E2A3A"/>
          <w:sz w:val="22"/>
          <w:szCs w:val="22"/>
        </w:rPr>
        <w:t xml:space="preserve">Employees who have completed their probation period may apply for external training support under the L&amp;D budget policy. Approvals are subject to role relevance and manager sign-off. Details are available in the L&amp;D Policy on the intranet.</w:t>
      </w:r>
    </w:p>
    <w:p>
      <w:pPr>
        <w:spacing w:after="120" w:before="0"/>
      </w:pPr>
    </w:p>
    <w:p>
      <w:r>
        <w:br w:type="page"/>
      </w:r>
    </w:p>
    <w:p>
      <w:pPr>
        <w:pStyle w:val="Heading1"/>
        <w:spacing w:after="160" w:before="320"/>
      </w:pPr>
      <w:r>
        <w:rPr>
          <w:rFonts w:ascii="Arial" w:cs="Arial" w:eastAsia="Arial" w:hAnsi="Arial"/>
          <w:b/>
          <w:bCs/>
          <w:color w:val="1B3A6B"/>
          <w:sz w:val="36"/>
          <w:szCs w:val="36"/>
        </w:rPr>
        <w:t xml:space="preserve">10. Probation Process</w:t>
      </w:r>
    </w:p>
    <w:p>
      <w:pPr>
        <w:pBdr>
          <w:bottom w:val="single" w:color="0E7E7E" w:sz="6" w:space="1"/>
        </w:pBdr>
        <w:spacing w:after="120" w:before="120"/>
      </w:pPr>
    </w:p>
    <w:p>
      <w:pPr>
        <w:spacing w:after="100" w:before="60"/>
      </w:pPr>
      <w:r>
        <w:rPr>
          <w:rFonts w:ascii="Arial" w:cs="Arial" w:eastAsia="Arial" w:hAnsi="Arial"/>
          <w:color w:val="1E2A3A"/>
          <w:sz w:val="22"/>
          <w:szCs w:val="22"/>
        </w:rPr>
        <w:t xml:space="preserve">The probation period is a mutual evaluation period during which both the employee and the organization assess fit — in terms of skills, culture, and performance. The standard probation period is 90 calendar days, extendable by up to 60 additional days at management's discretion.</w:t>
      </w:r>
    </w:p>
    <w:p>
      <w:pPr>
        <w:spacing w:after="80" w:before="0"/>
      </w:pPr>
    </w:p>
    <w:p>
      <w:pPr>
        <w:pStyle w:val="Heading2"/>
        <w:spacing w:after="120" w:before="240"/>
      </w:pPr>
      <w:r>
        <w:rPr>
          <w:rFonts w:ascii="Arial" w:cs="Arial" w:eastAsia="Arial" w:hAnsi="Arial"/>
          <w:b/>
          <w:bCs/>
          <w:color w:val="0E7E7E"/>
          <w:sz w:val="26"/>
          <w:szCs w:val="26"/>
        </w:rPr>
        <w:t xml:space="preserve">10.1  Probation Structure</w:t>
      </w:r>
    </w:p>
    <w:p>
      <w:pPr>
        <w:spacing w:after="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0D9E4" w:sz="1"/>
              <w:left w:val="single" w:color="D0D9E4" w:sz="1"/>
              <w:bottom w:val="single" w:color="D0D9E4" w:sz="1"/>
              <w:right w:val="single" w:color="D0D9E4" w:sz="1"/>
            </w:tcBorders>
            <w:shd w:fill="1B3A6B" w:val="clear"/>
            <w:tcMar>
              <w:top w:type="dxa" w:w="80"/>
              <w:left w:type="dxa" w:w="120"/>
              <w:bottom w:type="dxa" w:w="80"/>
              <w:right w:type="dxa" w:w="120"/>
            </w:tcMar>
            <w:vAlign w:val="center"/>
          </w:tcPr>
          <w:p>
            <w:r>
              <w:rPr>
                <w:rFonts w:ascii="Arial" w:cs="Arial" w:eastAsia="Arial" w:hAnsi="Arial"/>
                <w:b/>
                <w:bCs/>
                <w:color w:val="FFFFFF"/>
                <w:sz w:val="20"/>
                <w:szCs w:val="20"/>
              </w:rPr>
              <w:t xml:space="preserve">Milestone</w:t>
            </w:r>
          </w:p>
        </w:tc>
        <w:tc>
          <w:tcPr>
            <w:tcW w:type="dxa" w:w="6560"/>
            <w:tcBorders>
              <w:top w:val="single" w:color="D0D9E4" w:sz="1"/>
              <w:left w:val="single" w:color="D0D9E4" w:sz="1"/>
              <w:bottom w:val="single" w:color="D0D9E4" w:sz="1"/>
              <w:right w:val="single" w:color="D0D9E4" w:sz="1"/>
            </w:tcBorders>
            <w:shd w:fill="1B3A6B" w:val="clear"/>
            <w:tcMar>
              <w:top w:type="dxa" w:w="80"/>
              <w:left w:type="dxa" w:w="120"/>
              <w:bottom w:type="dxa" w:w="80"/>
              <w:right w:type="dxa" w:w="120"/>
            </w:tcMar>
          </w:tcPr>
          <w:p>
            <w:r>
              <w:rPr>
                <w:rFonts w:ascii="Arial" w:cs="Arial" w:eastAsia="Arial" w:hAnsi="Arial"/>
                <w:color w:val="FFFFFF"/>
                <w:sz w:val="20"/>
                <w:szCs w:val="20"/>
              </w:rPr>
              <w:t xml:space="preserve">Details</w:t>
            </w:r>
          </w:p>
        </w:tc>
      </w:tr>
      <w:tr>
        <w:tc>
          <w:tcPr>
            <w:tcW w:type="dxa" w:w="2800"/>
            <w:tcBorders>
              <w:top w:val="single" w:color="D0D9E4" w:sz="1"/>
              <w:left w:val="single" w:color="D0D9E4" w:sz="1"/>
              <w:bottom w:val="single" w:color="D0D9E4" w:sz="1"/>
              <w:right w:val="single" w:color="D0D9E4" w:sz="1"/>
            </w:tcBorders>
            <w:shd w:fill="F2F5F9" w:val="clear"/>
            <w:tcMar>
              <w:top w:type="dxa" w:w="80"/>
              <w:left w:type="dxa" w:w="120"/>
              <w:bottom w:type="dxa" w:w="80"/>
              <w:right w:type="dxa" w:w="120"/>
            </w:tcMar>
            <w:vAlign w:val="center"/>
          </w:tcPr>
          <w:p>
            <w:r>
              <w:rPr>
                <w:rFonts w:ascii="Arial" w:cs="Arial" w:eastAsia="Arial" w:hAnsi="Arial"/>
                <w:b w:val="false"/>
                <w:bCs w:val="false"/>
                <w:color w:val="1B3A6B"/>
                <w:sz w:val="20"/>
                <w:szCs w:val="20"/>
              </w:rPr>
              <w:t xml:space="preserve">30-Day Check-In</w:t>
            </w:r>
          </w:p>
        </w:tc>
        <w:tc>
          <w:tcPr>
            <w:tcW w:type="dxa" w:w="6560"/>
            <w:tcBorders>
              <w:top w:val="single" w:color="D0D9E4" w:sz="1"/>
              <w:left w:val="single" w:color="D0D9E4" w:sz="1"/>
              <w:bottom w:val="single" w:color="D0D9E4" w:sz="1"/>
              <w:right w:val="single" w:color="D0D9E4" w:sz="1"/>
            </w:tcBorders>
            <w:shd w:fill="FFFFFF" w:val="clear"/>
            <w:tcMar>
              <w:top w:type="dxa" w:w="80"/>
              <w:left w:type="dxa" w:w="120"/>
              <w:bottom w:type="dxa" w:w="80"/>
              <w:right w:type="dxa" w:w="120"/>
            </w:tcMar>
          </w:tcPr>
          <w:p>
            <w:r>
              <w:rPr>
                <w:rFonts w:ascii="Arial" w:cs="Arial" w:eastAsia="Arial" w:hAnsi="Arial"/>
                <w:color w:val="1E2A3A"/>
                <w:sz w:val="20"/>
                <w:szCs w:val="20"/>
              </w:rPr>
              <w:t xml:space="preserve">Informal check-in with Hiring Manager. Review early progress, address blockers.</w:t>
            </w:r>
          </w:p>
        </w:tc>
      </w:tr>
      <w:tr>
        <w:tc>
          <w:tcPr>
            <w:tcW w:type="dxa" w:w="2800"/>
            <w:tcBorders>
              <w:top w:val="single" w:color="D0D9E4" w:sz="1"/>
              <w:left w:val="single" w:color="D0D9E4" w:sz="1"/>
              <w:bottom w:val="single" w:color="D0D9E4" w:sz="1"/>
              <w:right w:val="single" w:color="D0D9E4" w:sz="1"/>
            </w:tcBorders>
            <w:shd w:fill="F2F5F9" w:val="clear"/>
            <w:tcMar>
              <w:top w:type="dxa" w:w="80"/>
              <w:left w:type="dxa" w:w="120"/>
              <w:bottom w:type="dxa" w:w="80"/>
              <w:right w:type="dxa" w:w="120"/>
            </w:tcMar>
            <w:vAlign w:val="center"/>
          </w:tcPr>
          <w:p>
            <w:r>
              <w:rPr>
                <w:rFonts w:ascii="Arial" w:cs="Arial" w:eastAsia="Arial" w:hAnsi="Arial"/>
                <w:b w:val="false"/>
                <w:bCs w:val="false"/>
                <w:color w:val="1B3A6B"/>
                <w:sz w:val="20"/>
                <w:szCs w:val="20"/>
              </w:rPr>
              <w:t xml:space="preserve">60-Day Mid-Probation Review</w:t>
            </w:r>
          </w:p>
        </w:tc>
        <w:tc>
          <w:tcPr>
            <w:tcW w:type="dxa" w:w="6560"/>
            <w:tcBorders>
              <w:top w:val="single" w:color="D0D9E4" w:sz="1"/>
              <w:left w:val="single" w:color="D0D9E4" w:sz="1"/>
              <w:bottom w:val="single" w:color="D0D9E4" w:sz="1"/>
              <w:right w:val="single" w:color="D0D9E4" w:sz="1"/>
            </w:tcBorders>
            <w:shd w:fill="FFFFFF" w:val="clear"/>
            <w:tcMar>
              <w:top w:type="dxa" w:w="80"/>
              <w:left w:type="dxa" w:w="120"/>
              <w:bottom w:type="dxa" w:w="80"/>
              <w:right w:type="dxa" w:w="120"/>
            </w:tcMar>
          </w:tcPr>
          <w:p>
            <w:r>
              <w:rPr>
                <w:rFonts w:ascii="Arial" w:cs="Arial" w:eastAsia="Arial" w:hAnsi="Arial"/>
                <w:color w:val="1E2A3A"/>
                <w:sz w:val="20"/>
                <w:szCs w:val="20"/>
              </w:rPr>
              <w:t xml:space="preserve">Formal structured review. Feedback from manager, peer input, and self-assessment.</w:t>
            </w:r>
          </w:p>
        </w:tc>
      </w:tr>
      <w:tr>
        <w:tc>
          <w:tcPr>
            <w:tcW w:type="dxa" w:w="2800"/>
            <w:tcBorders>
              <w:top w:val="single" w:color="D0D9E4" w:sz="1"/>
              <w:left w:val="single" w:color="D0D9E4" w:sz="1"/>
              <w:bottom w:val="single" w:color="D0D9E4" w:sz="1"/>
              <w:right w:val="single" w:color="D0D9E4" w:sz="1"/>
            </w:tcBorders>
            <w:shd w:fill="F2F5F9" w:val="clear"/>
            <w:tcMar>
              <w:top w:type="dxa" w:w="80"/>
              <w:left w:type="dxa" w:w="120"/>
              <w:bottom w:type="dxa" w:w="80"/>
              <w:right w:type="dxa" w:w="120"/>
            </w:tcMar>
            <w:vAlign w:val="center"/>
          </w:tcPr>
          <w:p>
            <w:r>
              <w:rPr>
                <w:rFonts w:ascii="Arial" w:cs="Arial" w:eastAsia="Arial" w:hAnsi="Arial"/>
                <w:b w:val="false"/>
                <w:bCs w:val="false"/>
                <w:color w:val="1B3A6B"/>
                <w:sz w:val="20"/>
                <w:szCs w:val="20"/>
              </w:rPr>
              <w:t xml:space="preserve">90-Day End-of-Probation Review</w:t>
            </w:r>
          </w:p>
        </w:tc>
        <w:tc>
          <w:tcPr>
            <w:tcW w:type="dxa" w:w="6560"/>
            <w:tcBorders>
              <w:top w:val="single" w:color="D0D9E4" w:sz="1"/>
              <w:left w:val="single" w:color="D0D9E4" w:sz="1"/>
              <w:bottom w:val="single" w:color="D0D9E4" w:sz="1"/>
              <w:right w:val="single" w:color="D0D9E4" w:sz="1"/>
            </w:tcBorders>
            <w:shd w:fill="FFFFFF" w:val="clear"/>
            <w:tcMar>
              <w:top w:type="dxa" w:w="80"/>
              <w:left w:type="dxa" w:w="120"/>
              <w:bottom w:type="dxa" w:w="80"/>
              <w:right w:type="dxa" w:w="120"/>
            </w:tcMar>
          </w:tcPr>
          <w:p>
            <w:r>
              <w:rPr>
                <w:rFonts w:ascii="Arial" w:cs="Arial" w:eastAsia="Arial" w:hAnsi="Arial"/>
                <w:color w:val="1E2A3A"/>
                <w:sz w:val="20"/>
                <w:szCs w:val="20"/>
              </w:rPr>
              <w:t xml:space="preserve">Final assessment against 30-60-90 plan. Recommendation for confirmation or extension.</w:t>
            </w:r>
          </w:p>
        </w:tc>
      </w:tr>
      <w:tr>
        <w:tc>
          <w:tcPr>
            <w:tcW w:type="dxa" w:w="2800"/>
            <w:tcBorders>
              <w:top w:val="single" w:color="D0D9E4" w:sz="1"/>
              <w:left w:val="single" w:color="D0D9E4" w:sz="1"/>
              <w:bottom w:val="single" w:color="D0D9E4" w:sz="1"/>
              <w:right w:val="single" w:color="D0D9E4" w:sz="1"/>
            </w:tcBorders>
            <w:shd w:fill="F2F5F9" w:val="clear"/>
            <w:tcMar>
              <w:top w:type="dxa" w:w="80"/>
              <w:left w:type="dxa" w:w="120"/>
              <w:bottom w:type="dxa" w:w="80"/>
              <w:right w:type="dxa" w:w="120"/>
            </w:tcMar>
            <w:vAlign w:val="center"/>
          </w:tcPr>
          <w:p>
            <w:r>
              <w:rPr>
                <w:rFonts w:ascii="Arial" w:cs="Arial" w:eastAsia="Arial" w:hAnsi="Arial"/>
                <w:b w:val="false"/>
                <w:bCs w:val="false"/>
                <w:color w:val="1B3A6B"/>
                <w:sz w:val="20"/>
                <w:szCs w:val="20"/>
              </w:rPr>
              <w:t xml:space="preserve">Extension (if applicable)</w:t>
            </w:r>
          </w:p>
        </w:tc>
        <w:tc>
          <w:tcPr>
            <w:tcW w:type="dxa" w:w="6560"/>
            <w:tcBorders>
              <w:top w:val="single" w:color="D0D9E4" w:sz="1"/>
              <w:left w:val="single" w:color="D0D9E4" w:sz="1"/>
              <w:bottom w:val="single" w:color="D0D9E4" w:sz="1"/>
              <w:right w:val="single" w:color="D0D9E4" w:sz="1"/>
            </w:tcBorders>
            <w:shd w:fill="FFFFFF" w:val="clear"/>
            <w:tcMar>
              <w:top w:type="dxa" w:w="80"/>
              <w:left w:type="dxa" w:w="120"/>
              <w:bottom w:type="dxa" w:w="80"/>
              <w:right w:type="dxa" w:w="120"/>
            </w:tcMar>
          </w:tcPr>
          <w:p>
            <w:r>
              <w:rPr>
                <w:rFonts w:ascii="Arial" w:cs="Arial" w:eastAsia="Arial" w:hAnsi="Arial"/>
                <w:color w:val="1E2A3A"/>
                <w:sz w:val="20"/>
                <w:szCs w:val="20"/>
              </w:rPr>
              <w:t xml:space="preserve">One-time extension of 30–60 days with documented PIP or development targets.</w:t>
            </w:r>
          </w:p>
        </w:tc>
      </w:tr>
    </w:tbl>
    <w:p>
      <w:pPr>
        <w:spacing w:after="100" w:before="0"/>
      </w:pPr>
    </w:p>
    <w:p>
      <w:pPr>
        <w:pStyle w:val="Heading2"/>
        <w:spacing w:after="120" w:before="240"/>
      </w:pPr>
      <w:r>
        <w:rPr>
          <w:rFonts w:ascii="Arial" w:cs="Arial" w:eastAsia="Arial" w:hAnsi="Arial"/>
          <w:b/>
          <w:bCs/>
          <w:color w:val="0E7E7E"/>
          <w:sz w:val="26"/>
          <w:szCs w:val="26"/>
        </w:rPr>
        <w:t xml:space="preserve">10.2  Performance Evaluation Criteria</w:t>
      </w:r>
    </w:p>
    <w:p>
      <w:pPr>
        <w:spacing w:after="100" w:before="60"/>
      </w:pPr>
      <w:r>
        <w:rPr>
          <w:rFonts w:ascii="Arial" w:cs="Arial" w:eastAsia="Arial" w:hAnsi="Arial"/>
          <w:color w:val="1E2A3A"/>
          <w:sz w:val="22"/>
          <w:szCs w:val="22"/>
        </w:rPr>
        <w:t xml:space="preserve">During the probation review, employees are assessed across the following dimensions:</w:t>
      </w:r>
    </w:p>
    <w:p>
      <w:pPr>
        <w:pStyle w:val="ListParagraph"/>
        <w:numPr>
          <w:ilvl w:val="0"/>
          <w:numId w:val="2"/>
        </w:numPr>
        <w:spacing w:after="60" w:before="40"/>
      </w:pPr>
      <w:r>
        <w:rPr>
          <w:rFonts w:ascii="Arial" w:cs="Arial" w:eastAsia="Arial" w:hAnsi="Arial"/>
          <w:color w:val="1E2A3A"/>
          <w:sz w:val="22"/>
          <w:szCs w:val="22"/>
        </w:rPr>
        <w:t xml:space="preserve">Functional Competence — Quality and accuracy of work delivered within the role scope.</w:t>
      </w:r>
    </w:p>
    <w:p>
      <w:pPr>
        <w:pStyle w:val="ListParagraph"/>
        <w:numPr>
          <w:ilvl w:val="0"/>
          <w:numId w:val="2"/>
        </w:numPr>
        <w:spacing w:after="60" w:before="40"/>
      </w:pPr>
      <w:r>
        <w:rPr>
          <w:rFonts w:ascii="Arial" w:cs="Arial" w:eastAsia="Arial" w:hAnsi="Arial"/>
          <w:color w:val="1E2A3A"/>
          <w:sz w:val="22"/>
          <w:szCs w:val="22"/>
        </w:rPr>
        <w:t xml:space="preserve">Initiative &amp; Ownership — Proactive contribution beyond assigned tasks.</w:t>
      </w:r>
    </w:p>
    <w:p>
      <w:pPr>
        <w:pStyle w:val="ListParagraph"/>
        <w:numPr>
          <w:ilvl w:val="0"/>
          <w:numId w:val="2"/>
        </w:numPr>
        <w:spacing w:after="60" w:before="40"/>
      </w:pPr>
      <w:r>
        <w:rPr>
          <w:rFonts w:ascii="Arial" w:cs="Arial" w:eastAsia="Arial" w:hAnsi="Arial"/>
          <w:color w:val="1E2A3A"/>
          <w:sz w:val="22"/>
          <w:szCs w:val="22"/>
        </w:rPr>
        <w:t xml:space="preserve">Collaboration — Ability to work effectively with team members and cross-functional partners.</w:t>
      </w:r>
    </w:p>
    <w:p>
      <w:pPr>
        <w:pStyle w:val="ListParagraph"/>
        <w:numPr>
          <w:ilvl w:val="0"/>
          <w:numId w:val="2"/>
        </w:numPr>
        <w:spacing w:after="60" w:before="40"/>
      </w:pPr>
      <w:r>
        <w:rPr>
          <w:rFonts w:ascii="Arial" w:cs="Arial" w:eastAsia="Arial" w:hAnsi="Arial"/>
          <w:color w:val="1E2A3A"/>
          <w:sz w:val="22"/>
          <w:szCs w:val="22"/>
        </w:rPr>
        <w:t xml:space="preserve">Learning Agility — Speed and quality of learning new tools, processes, and business context.</w:t>
      </w:r>
    </w:p>
    <w:p>
      <w:pPr>
        <w:pStyle w:val="ListParagraph"/>
        <w:numPr>
          <w:ilvl w:val="0"/>
          <w:numId w:val="2"/>
        </w:numPr>
        <w:spacing w:after="60" w:before="40"/>
      </w:pPr>
      <w:r>
        <w:rPr>
          <w:rFonts w:ascii="Arial" w:cs="Arial" w:eastAsia="Arial" w:hAnsi="Arial"/>
          <w:color w:val="1E2A3A"/>
          <w:sz w:val="22"/>
          <w:szCs w:val="22"/>
        </w:rPr>
        <w:t xml:space="preserve">Cultural Alignment — Demonstrated alignment with the organization's values and working norms.</w:t>
      </w:r>
    </w:p>
    <w:p>
      <w:pPr>
        <w:pStyle w:val="ListParagraph"/>
        <w:numPr>
          <w:ilvl w:val="0"/>
          <w:numId w:val="2"/>
        </w:numPr>
        <w:spacing w:after="60" w:before="40"/>
      </w:pPr>
      <w:r>
        <w:rPr>
          <w:rFonts w:ascii="Arial" w:cs="Arial" w:eastAsia="Arial" w:hAnsi="Arial"/>
          <w:color w:val="1E2A3A"/>
          <w:sz w:val="22"/>
          <w:szCs w:val="22"/>
        </w:rPr>
        <w:t xml:space="preserve">Attendance &amp; Discipline — Adherence to work hours, leave policy, and professional conduct.</w:t>
      </w:r>
    </w:p>
    <w:p>
      <w:pPr>
        <w:spacing w:after="80" w:before="0"/>
      </w:pPr>
    </w:p>
    <w:p>
      <w:pPr>
        <w:pStyle w:val="Heading2"/>
        <w:spacing w:after="120" w:before="240"/>
      </w:pPr>
      <w:r>
        <w:rPr>
          <w:rFonts w:ascii="Arial" w:cs="Arial" w:eastAsia="Arial" w:hAnsi="Arial"/>
          <w:b/>
          <w:bCs/>
          <w:color w:val="0E7E7E"/>
          <w:sz w:val="26"/>
          <w:szCs w:val="26"/>
        </w:rPr>
        <w:t xml:space="preserve">10.3  Probation Period Policies</w:t>
      </w:r>
    </w:p>
    <w:p>
      <w:pPr>
        <w:pStyle w:val="ListParagraph"/>
        <w:numPr>
          <w:ilvl w:val="0"/>
          <w:numId w:val="2"/>
        </w:numPr>
        <w:spacing w:after="60" w:before="40"/>
      </w:pPr>
      <w:r>
        <w:rPr>
          <w:rFonts w:ascii="Arial" w:cs="Arial" w:eastAsia="Arial" w:hAnsi="Arial"/>
          <w:color w:val="1E2A3A"/>
          <w:sz w:val="22"/>
          <w:szCs w:val="22"/>
        </w:rPr>
        <w:t xml:space="preserve">Notice period during probation: 2 weeks (vs. standard 30/60/90 days post-confirmation).</w:t>
      </w:r>
    </w:p>
    <w:p>
      <w:pPr>
        <w:pStyle w:val="ListParagraph"/>
        <w:numPr>
          <w:ilvl w:val="0"/>
          <w:numId w:val="2"/>
        </w:numPr>
        <w:spacing w:after="60" w:before="40"/>
      </w:pPr>
      <w:r>
        <w:rPr>
          <w:rFonts w:ascii="Arial" w:cs="Arial" w:eastAsia="Arial" w:hAnsi="Arial"/>
          <w:color w:val="1E2A3A"/>
          <w:sz w:val="22"/>
          <w:szCs w:val="22"/>
        </w:rPr>
        <w:t xml:space="preserve">Employees on probation are eligible for all standard benefits from Day 1.</w:t>
      </w:r>
    </w:p>
    <w:p>
      <w:pPr>
        <w:pStyle w:val="ListParagraph"/>
        <w:numPr>
          <w:ilvl w:val="0"/>
          <w:numId w:val="2"/>
        </w:numPr>
        <w:spacing w:after="60" w:before="40"/>
      </w:pPr>
      <w:r>
        <w:rPr>
          <w:rFonts w:ascii="Arial" w:cs="Arial" w:eastAsia="Arial" w:hAnsi="Arial"/>
          <w:color w:val="1E2A3A"/>
          <w:sz w:val="22"/>
          <w:szCs w:val="22"/>
        </w:rPr>
        <w:t xml:space="preserve">Salary increments and promotions are not applicable during the probation period.</w:t>
      </w:r>
    </w:p>
    <w:p>
      <w:pPr>
        <w:pStyle w:val="ListParagraph"/>
        <w:numPr>
          <w:ilvl w:val="0"/>
          <w:numId w:val="2"/>
        </w:numPr>
        <w:spacing w:after="60" w:before="40"/>
      </w:pPr>
      <w:r>
        <w:rPr>
          <w:rFonts w:ascii="Arial" w:cs="Arial" w:eastAsia="Arial" w:hAnsi="Arial"/>
          <w:color w:val="1E2A3A"/>
          <w:sz w:val="22"/>
          <w:szCs w:val="22"/>
        </w:rPr>
        <w:t xml:space="preserve">Probation period does not count toward seniority for ESOP vesting (unless stated in offer).</w:t>
      </w:r>
    </w:p>
    <w:p>
      <w:pPr>
        <w:spacing w:after="120" w:before="0"/>
      </w:pPr>
    </w:p>
    <w:p>
      <w:r>
        <w:br w:type="page"/>
      </w:r>
    </w:p>
    <w:p>
      <w:pPr>
        <w:pStyle w:val="Heading1"/>
        <w:spacing w:after="160" w:before="320"/>
      </w:pPr>
      <w:r>
        <w:rPr>
          <w:rFonts w:ascii="Arial" w:cs="Arial" w:eastAsia="Arial" w:hAnsi="Arial"/>
          <w:b/>
          <w:bCs/>
          <w:color w:val="1B3A6B"/>
          <w:sz w:val="36"/>
          <w:szCs w:val="36"/>
        </w:rPr>
        <w:t xml:space="preserve">11. Confirmation Process</w:t>
      </w:r>
    </w:p>
    <w:p>
      <w:pPr>
        <w:pBdr>
          <w:bottom w:val="single" w:color="0E7E7E" w:sz="6" w:space="1"/>
        </w:pBdr>
        <w:spacing w:after="120" w:before="120"/>
      </w:pPr>
    </w:p>
    <w:p>
      <w:pPr>
        <w:spacing w:after="100" w:before="60"/>
      </w:pPr>
      <w:r>
        <w:rPr>
          <w:rFonts w:ascii="Arial" w:cs="Arial" w:eastAsia="Arial" w:hAnsi="Arial"/>
          <w:color w:val="1E2A3A"/>
          <w:sz w:val="22"/>
          <w:szCs w:val="22"/>
        </w:rPr>
        <w:t xml:space="preserve">Successful completion of the probation period results in your official confirmation as a permanent employee. The confirmation process is initiated by HR 7 days before the end of your probation period.</w:t>
      </w:r>
    </w:p>
    <w:p>
      <w:pPr>
        <w:spacing w:after="80" w:before="0"/>
      </w:pPr>
    </w:p>
    <w:p>
      <w:pPr>
        <w:pStyle w:val="Heading2"/>
        <w:spacing w:after="120" w:before="240"/>
      </w:pPr>
      <w:r>
        <w:rPr>
          <w:rFonts w:ascii="Arial" w:cs="Arial" w:eastAsia="Arial" w:hAnsi="Arial"/>
          <w:b/>
          <w:bCs/>
          <w:color w:val="0E7E7E"/>
          <w:sz w:val="26"/>
          <w:szCs w:val="26"/>
        </w:rPr>
        <w:t xml:space="preserve">11.1  Confirmation Workflow</w:t>
      </w:r>
    </w:p>
    <w:p>
      <w:pPr>
        <w:spacing w:after="100" w:before="60"/>
      </w:pPr>
      <w:r>
        <w:rPr>
          <w:rFonts w:ascii="Arial" w:cs="Arial" w:eastAsia="Arial" w:hAnsi="Arial"/>
          <w:color w:val="1E2A3A"/>
          <w:sz w:val="22"/>
          <w:szCs w:val="22"/>
        </w:rPr>
        <w:t xml:space="preserve">Step 1 — HR sends the End-of-Probation Review form to your Hiring Manager on Day 83.</w:t>
      </w:r>
    </w:p>
    <w:p>
      <w:pPr>
        <w:spacing w:after="100" w:before="60"/>
      </w:pPr>
      <w:r>
        <w:rPr>
          <w:rFonts w:ascii="Arial" w:cs="Arial" w:eastAsia="Arial" w:hAnsi="Arial"/>
          <w:color w:val="1E2A3A"/>
          <w:sz w:val="22"/>
          <w:szCs w:val="22"/>
        </w:rPr>
        <w:t xml:space="preserve">Step 2 — Hiring Manager completes the assessment and submits to HR by Day 88.</w:t>
      </w:r>
    </w:p>
    <w:p>
      <w:pPr>
        <w:spacing w:after="100" w:before="60"/>
      </w:pPr>
      <w:r>
        <w:rPr>
          <w:rFonts w:ascii="Arial" w:cs="Arial" w:eastAsia="Arial" w:hAnsi="Arial"/>
          <w:color w:val="1E2A3A"/>
          <w:sz w:val="22"/>
          <w:szCs w:val="22"/>
        </w:rPr>
        <w:t xml:space="preserve">Step 3 — HR and the Head of Department review the assessment.</w:t>
      </w:r>
    </w:p>
    <w:p>
      <w:pPr>
        <w:spacing w:after="100" w:before="60"/>
      </w:pPr>
      <w:r>
        <w:rPr>
          <w:rFonts w:ascii="Arial" w:cs="Arial" w:eastAsia="Arial" w:hAnsi="Arial"/>
          <w:color w:val="1E2A3A"/>
          <w:sz w:val="22"/>
          <w:szCs w:val="22"/>
        </w:rPr>
        <w:t xml:space="preserve">Step 4 — Confirmation Letter is issued on Day 90, or Extension/PIP Letter if required.</w:t>
      </w:r>
    </w:p>
    <w:p>
      <w:pPr>
        <w:spacing w:after="100" w:before="60"/>
      </w:pPr>
      <w:r>
        <w:rPr>
          <w:rFonts w:ascii="Arial" w:cs="Arial" w:eastAsia="Arial" w:hAnsi="Arial"/>
          <w:color w:val="1E2A3A"/>
          <w:sz w:val="22"/>
          <w:szCs w:val="22"/>
        </w:rPr>
        <w:t xml:space="preserve">Step 5 — Confirmed employee signs and returns the acknowledgement within 5 business days.</w:t>
      </w:r>
    </w:p>
    <w:p>
      <w:pPr>
        <w:spacing w:after="80" w:before="0"/>
      </w:pPr>
    </w:p>
    <w:p>
      <w:pPr>
        <w:pStyle w:val="Heading2"/>
        <w:spacing w:after="120" w:before="240"/>
      </w:pPr>
      <w:r>
        <w:rPr>
          <w:rFonts w:ascii="Arial" w:cs="Arial" w:eastAsia="Arial" w:hAnsi="Arial"/>
          <w:b/>
          <w:bCs/>
          <w:color w:val="0E7E7E"/>
          <w:sz w:val="26"/>
          <w:szCs w:val="26"/>
        </w:rPr>
        <w:t xml:space="preserve">11.2  Confirmation Outcomes</w:t>
      </w:r>
    </w:p>
    <w:p>
      <w:pPr>
        <w:spacing w:after="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0D9E4" w:sz="1"/>
              <w:left w:val="single" w:color="D0D9E4" w:sz="1"/>
              <w:bottom w:val="single" w:color="D0D9E4" w:sz="1"/>
              <w:right w:val="single" w:color="D0D9E4" w:sz="1"/>
            </w:tcBorders>
            <w:shd w:fill="1B3A6B" w:val="clear"/>
            <w:tcMar>
              <w:top w:type="dxa" w:w="80"/>
              <w:left w:type="dxa" w:w="120"/>
              <w:bottom w:type="dxa" w:w="80"/>
              <w:right w:type="dxa" w:w="120"/>
            </w:tcMar>
            <w:vAlign w:val="center"/>
          </w:tcPr>
          <w:p>
            <w:r>
              <w:rPr>
                <w:rFonts w:ascii="Arial" w:cs="Arial" w:eastAsia="Arial" w:hAnsi="Arial"/>
                <w:b/>
                <w:bCs/>
                <w:color w:val="FFFFFF"/>
                <w:sz w:val="20"/>
                <w:szCs w:val="20"/>
              </w:rPr>
              <w:t xml:space="preserve">Outcome</w:t>
            </w:r>
          </w:p>
        </w:tc>
        <w:tc>
          <w:tcPr>
            <w:tcW w:type="dxa" w:w="6560"/>
            <w:tcBorders>
              <w:top w:val="single" w:color="D0D9E4" w:sz="1"/>
              <w:left w:val="single" w:color="D0D9E4" w:sz="1"/>
              <w:bottom w:val="single" w:color="D0D9E4" w:sz="1"/>
              <w:right w:val="single" w:color="D0D9E4" w:sz="1"/>
            </w:tcBorders>
            <w:shd w:fill="1B3A6B" w:val="clear"/>
            <w:tcMar>
              <w:top w:type="dxa" w:w="80"/>
              <w:left w:type="dxa" w:w="120"/>
              <w:bottom w:type="dxa" w:w="80"/>
              <w:right w:type="dxa" w:w="120"/>
            </w:tcMar>
          </w:tcPr>
          <w:p>
            <w:r>
              <w:rPr>
                <w:rFonts w:ascii="Arial" w:cs="Arial" w:eastAsia="Arial" w:hAnsi="Arial"/>
                <w:color w:val="FFFFFF"/>
                <w:sz w:val="20"/>
                <w:szCs w:val="20"/>
              </w:rPr>
              <w:t xml:space="preserve">Next Steps</w:t>
            </w:r>
          </w:p>
        </w:tc>
      </w:tr>
      <w:tr>
        <w:tc>
          <w:tcPr>
            <w:tcW w:type="dxa" w:w="2800"/>
            <w:tcBorders>
              <w:top w:val="single" w:color="D0D9E4" w:sz="1"/>
              <w:left w:val="single" w:color="D0D9E4" w:sz="1"/>
              <w:bottom w:val="single" w:color="D0D9E4" w:sz="1"/>
              <w:right w:val="single" w:color="D0D9E4" w:sz="1"/>
            </w:tcBorders>
            <w:shd w:fill="F2F5F9" w:val="clear"/>
            <w:tcMar>
              <w:top w:type="dxa" w:w="80"/>
              <w:left w:type="dxa" w:w="120"/>
              <w:bottom w:type="dxa" w:w="80"/>
              <w:right w:type="dxa" w:w="120"/>
            </w:tcMar>
            <w:vAlign w:val="center"/>
          </w:tcPr>
          <w:p>
            <w:r>
              <w:rPr>
                <w:rFonts w:ascii="Arial" w:cs="Arial" w:eastAsia="Arial" w:hAnsi="Arial"/>
                <w:b w:val="false"/>
                <w:bCs w:val="false"/>
                <w:color w:val="1B3A6B"/>
                <w:sz w:val="20"/>
                <w:szCs w:val="20"/>
              </w:rPr>
              <w:t xml:space="preserve">Confirmed</w:t>
            </w:r>
          </w:p>
        </w:tc>
        <w:tc>
          <w:tcPr>
            <w:tcW w:type="dxa" w:w="6560"/>
            <w:tcBorders>
              <w:top w:val="single" w:color="D0D9E4" w:sz="1"/>
              <w:left w:val="single" w:color="D0D9E4" w:sz="1"/>
              <w:bottom w:val="single" w:color="D0D9E4" w:sz="1"/>
              <w:right w:val="single" w:color="D0D9E4" w:sz="1"/>
            </w:tcBorders>
            <w:shd w:fill="FFFFFF" w:val="clear"/>
            <w:tcMar>
              <w:top w:type="dxa" w:w="80"/>
              <w:left w:type="dxa" w:w="120"/>
              <w:bottom w:type="dxa" w:w="80"/>
              <w:right w:type="dxa" w:w="120"/>
            </w:tcMar>
          </w:tcPr>
          <w:p>
            <w:r>
              <w:rPr>
                <w:rFonts w:ascii="Arial" w:cs="Arial" w:eastAsia="Arial" w:hAnsi="Arial"/>
                <w:color w:val="1E2A3A"/>
                <w:sz w:val="20"/>
                <w:szCs w:val="20"/>
              </w:rPr>
              <w:t xml:space="preserve">Confirmation letter issued. Standard notice period and full HR policies apply.</w:t>
            </w:r>
          </w:p>
        </w:tc>
      </w:tr>
      <w:tr>
        <w:tc>
          <w:tcPr>
            <w:tcW w:type="dxa" w:w="2800"/>
            <w:tcBorders>
              <w:top w:val="single" w:color="D0D9E4" w:sz="1"/>
              <w:left w:val="single" w:color="D0D9E4" w:sz="1"/>
              <w:bottom w:val="single" w:color="D0D9E4" w:sz="1"/>
              <w:right w:val="single" w:color="D0D9E4" w:sz="1"/>
            </w:tcBorders>
            <w:shd w:fill="F2F5F9" w:val="clear"/>
            <w:tcMar>
              <w:top w:type="dxa" w:w="80"/>
              <w:left w:type="dxa" w:w="120"/>
              <w:bottom w:type="dxa" w:w="80"/>
              <w:right w:type="dxa" w:w="120"/>
            </w:tcMar>
            <w:vAlign w:val="center"/>
          </w:tcPr>
          <w:p>
            <w:r>
              <w:rPr>
                <w:rFonts w:ascii="Arial" w:cs="Arial" w:eastAsia="Arial" w:hAnsi="Arial"/>
                <w:b w:val="false"/>
                <w:bCs w:val="false"/>
                <w:color w:val="1B3A6B"/>
                <w:sz w:val="20"/>
                <w:szCs w:val="20"/>
              </w:rPr>
              <w:t xml:space="preserve">Extended (30–60 days)</w:t>
            </w:r>
          </w:p>
        </w:tc>
        <w:tc>
          <w:tcPr>
            <w:tcW w:type="dxa" w:w="6560"/>
            <w:tcBorders>
              <w:top w:val="single" w:color="D0D9E4" w:sz="1"/>
              <w:left w:val="single" w:color="D0D9E4" w:sz="1"/>
              <w:bottom w:val="single" w:color="D0D9E4" w:sz="1"/>
              <w:right w:val="single" w:color="D0D9E4" w:sz="1"/>
            </w:tcBorders>
            <w:shd w:fill="FFFFFF" w:val="clear"/>
            <w:tcMar>
              <w:top w:type="dxa" w:w="80"/>
              <w:left w:type="dxa" w:w="120"/>
              <w:bottom w:type="dxa" w:w="80"/>
              <w:right w:type="dxa" w:w="120"/>
            </w:tcMar>
          </w:tcPr>
          <w:p>
            <w:r>
              <w:rPr>
                <w:rFonts w:ascii="Arial" w:cs="Arial" w:eastAsia="Arial" w:hAnsi="Arial"/>
                <w:color w:val="1E2A3A"/>
                <w:sz w:val="20"/>
                <w:szCs w:val="20"/>
              </w:rPr>
              <w:t xml:space="preserve">Development targets set with manager. Extended review date communicated in writing.</w:t>
            </w:r>
          </w:p>
        </w:tc>
      </w:tr>
      <w:tr>
        <w:tc>
          <w:tcPr>
            <w:tcW w:type="dxa" w:w="2800"/>
            <w:tcBorders>
              <w:top w:val="single" w:color="D0D9E4" w:sz="1"/>
              <w:left w:val="single" w:color="D0D9E4" w:sz="1"/>
              <w:bottom w:val="single" w:color="D0D9E4" w:sz="1"/>
              <w:right w:val="single" w:color="D0D9E4" w:sz="1"/>
            </w:tcBorders>
            <w:shd w:fill="F2F5F9" w:val="clear"/>
            <w:tcMar>
              <w:top w:type="dxa" w:w="80"/>
              <w:left w:type="dxa" w:w="120"/>
              <w:bottom w:type="dxa" w:w="80"/>
              <w:right w:type="dxa" w:w="120"/>
            </w:tcMar>
            <w:vAlign w:val="center"/>
          </w:tcPr>
          <w:p>
            <w:r>
              <w:rPr>
                <w:rFonts w:ascii="Arial" w:cs="Arial" w:eastAsia="Arial" w:hAnsi="Arial"/>
                <w:b w:val="false"/>
                <w:bCs w:val="false"/>
                <w:color w:val="1B3A6B"/>
                <w:sz w:val="20"/>
                <w:szCs w:val="20"/>
              </w:rPr>
              <w:t xml:space="preserve">Not Confirmed / Released</w:t>
            </w:r>
          </w:p>
        </w:tc>
        <w:tc>
          <w:tcPr>
            <w:tcW w:type="dxa" w:w="6560"/>
            <w:tcBorders>
              <w:top w:val="single" w:color="D0D9E4" w:sz="1"/>
              <w:left w:val="single" w:color="D0D9E4" w:sz="1"/>
              <w:bottom w:val="single" w:color="D0D9E4" w:sz="1"/>
              <w:right w:val="single" w:color="D0D9E4" w:sz="1"/>
            </w:tcBorders>
            <w:shd w:fill="FFFFFF" w:val="clear"/>
            <w:tcMar>
              <w:top w:type="dxa" w:w="80"/>
              <w:left w:type="dxa" w:w="120"/>
              <w:bottom w:type="dxa" w:w="80"/>
              <w:right w:type="dxa" w:w="120"/>
            </w:tcMar>
          </w:tcPr>
          <w:p>
            <w:r>
              <w:rPr>
                <w:rFonts w:ascii="Arial" w:cs="Arial" w:eastAsia="Arial" w:hAnsi="Arial"/>
                <w:color w:val="1E2A3A"/>
                <w:sz w:val="20"/>
                <w:szCs w:val="20"/>
              </w:rPr>
              <w:t xml:space="preserve">Relieving letter issued. Exit formalities and final settlement processed within 30 days.</w:t>
            </w:r>
          </w:p>
        </w:tc>
      </w:tr>
    </w:tbl>
    <w:p>
      <w:pPr>
        <w:spacing w:after="80" w:before="0"/>
      </w:pPr>
    </w:p>
    <w:p>
      <w:pPr>
        <w:pStyle w:val="Heading2"/>
        <w:spacing w:after="120" w:before="240"/>
      </w:pPr>
      <w:r>
        <w:rPr>
          <w:rFonts w:ascii="Arial" w:cs="Arial" w:eastAsia="Arial" w:hAnsi="Arial"/>
          <w:b/>
          <w:bCs/>
          <w:color w:val="0E7E7E"/>
          <w:sz w:val="26"/>
          <w:szCs w:val="26"/>
        </w:rPr>
        <w:t xml:space="preserve">11.3  Post-Confirmation Benefits</w:t>
      </w:r>
    </w:p>
    <w:p>
      <w:pPr>
        <w:pStyle w:val="ListParagraph"/>
        <w:numPr>
          <w:ilvl w:val="0"/>
          <w:numId w:val="2"/>
        </w:numPr>
        <w:spacing w:after="60" w:before="40"/>
      </w:pPr>
      <w:r>
        <w:rPr>
          <w:rFonts w:ascii="Arial" w:cs="Arial" w:eastAsia="Arial" w:hAnsi="Arial"/>
          <w:color w:val="1E2A3A"/>
          <w:sz w:val="22"/>
          <w:szCs w:val="22"/>
        </w:rPr>
        <w:t xml:space="preserve">Long-term incentive plans (LTIPs) and ESOP eligibility.</w:t>
      </w:r>
    </w:p>
    <w:p>
      <w:pPr>
        <w:pStyle w:val="ListParagraph"/>
        <w:numPr>
          <w:ilvl w:val="0"/>
          <w:numId w:val="2"/>
        </w:numPr>
        <w:spacing w:after="60" w:before="40"/>
      </w:pPr>
      <w:r>
        <w:rPr>
          <w:rFonts w:ascii="Arial" w:cs="Arial" w:eastAsia="Arial" w:hAnsi="Arial"/>
          <w:color w:val="1E2A3A"/>
          <w:sz w:val="22"/>
          <w:szCs w:val="22"/>
        </w:rPr>
        <w:t xml:space="preserve">Eligibility for internal job postings and transfer requests.</w:t>
      </w:r>
    </w:p>
    <w:p>
      <w:pPr>
        <w:pStyle w:val="ListParagraph"/>
        <w:numPr>
          <w:ilvl w:val="0"/>
          <w:numId w:val="2"/>
        </w:numPr>
        <w:spacing w:after="60" w:before="40"/>
      </w:pPr>
      <w:r>
        <w:rPr>
          <w:rFonts w:ascii="Arial" w:cs="Arial" w:eastAsia="Arial" w:hAnsi="Arial"/>
          <w:color w:val="1E2A3A"/>
          <w:sz w:val="22"/>
          <w:szCs w:val="22"/>
        </w:rPr>
        <w:t xml:space="preserve">Enhanced notice period protection and full exit benefit entitlements.</w:t>
      </w:r>
    </w:p>
    <w:p>
      <w:pPr>
        <w:pStyle w:val="ListParagraph"/>
        <w:numPr>
          <w:ilvl w:val="0"/>
          <w:numId w:val="2"/>
        </w:numPr>
        <w:spacing w:after="60" w:before="40"/>
      </w:pPr>
      <w:r>
        <w:rPr>
          <w:rFonts w:ascii="Arial" w:cs="Arial" w:eastAsia="Arial" w:hAnsi="Arial"/>
          <w:color w:val="1E2A3A"/>
          <w:sz w:val="22"/>
          <w:szCs w:val="22"/>
        </w:rPr>
        <w:t xml:space="preserve">Access to L&amp;D external certification budget.</w:t>
      </w:r>
    </w:p>
    <w:p>
      <w:pPr>
        <w:pStyle w:val="ListParagraph"/>
        <w:numPr>
          <w:ilvl w:val="0"/>
          <w:numId w:val="2"/>
        </w:numPr>
        <w:spacing w:after="60" w:before="40"/>
      </w:pPr>
      <w:r>
        <w:rPr>
          <w:rFonts w:ascii="Arial" w:cs="Arial" w:eastAsia="Arial" w:hAnsi="Arial"/>
          <w:color w:val="1E2A3A"/>
          <w:sz w:val="22"/>
          <w:szCs w:val="22"/>
        </w:rPr>
        <w:t xml:space="preserve">Promotion and increment eligibility in the next performance cycle.</w:t>
      </w:r>
    </w:p>
    <w:p>
      <w:pPr>
        <w:spacing w:after="120" w:before="0"/>
      </w:pPr>
    </w:p>
    <w:p>
      <w:r>
        <w:br w:type="page"/>
      </w:r>
    </w:p>
    <w:p>
      <w:pPr>
        <w:pStyle w:val="Heading1"/>
        <w:spacing w:after="160" w:before="320"/>
      </w:pPr>
      <w:r>
        <w:rPr>
          <w:rFonts w:ascii="Arial" w:cs="Arial" w:eastAsia="Arial" w:hAnsi="Arial"/>
          <w:b/>
          <w:bCs/>
          <w:color w:val="1B3A6B"/>
          <w:sz w:val="36"/>
          <w:szCs w:val="36"/>
        </w:rPr>
        <w:t xml:space="preserve">12. Frequently Asked Questions</w:t>
      </w:r>
    </w:p>
    <w:p>
      <w:pPr>
        <w:pBdr>
          <w:bottom w:val="single" w:color="0E7E7E" w:sz="6" w:space="1"/>
        </w:pBdr>
        <w:spacing w:after="120" w:before="120"/>
      </w:pPr>
    </w:p>
    <w:p>
      <w:pPr>
        <w:spacing w:after="40" w:before="0"/>
      </w:pPr>
    </w:p>
    <w:p>
      <w:pPr>
        <w:pStyle w:val="Heading2"/>
        <w:spacing w:after="120" w:before="240"/>
      </w:pPr>
      <w:r>
        <w:rPr>
          <w:rFonts w:ascii="Arial" w:cs="Arial" w:eastAsia="Arial" w:hAnsi="Arial"/>
          <w:b/>
          <w:bCs/>
          <w:color w:val="0E7E7E"/>
          <w:sz w:val="26"/>
          <w:szCs w:val="26"/>
        </w:rPr>
        <w:t xml:space="preserve">12.1  Pre-Joining &amp; Documentation</w:t>
      </w:r>
    </w:p>
    <w:p>
      <w:pPr>
        <w:spacing w:after="60" w:before="160"/>
      </w:pPr>
      <w:r>
        <w:rPr>
          <w:rFonts w:ascii="Arial" w:cs="Arial" w:eastAsia="Arial" w:hAnsi="Arial"/>
          <w:b/>
          <w:bCs/>
          <w:color w:val="1B3A6B"/>
          <w:sz w:val="22"/>
          <w:szCs w:val="22"/>
        </w:rPr>
        <w:t xml:space="preserve">Q: Can I defer my joining date after accepting the offer?</w:t>
      </w:r>
    </w:p>
    <w:p>
      <w:pPr>
        <w:spacing w:after="120" w:before="0"/>
      </w:pPr>
      <w:r>
        <w:rPr>
          <w:rFonts w:ascii="Arial" w:cs="Arial" w:eastAsia="Arial" w:hAnsi="Arial"/>
          <w:color w:val="1E2A3A"/>
          <w:sz w:val="22"/>
          <w:szCs w:val="22"/>
        </w:rPr>
        <w:t xml:space="preserve">A: Yes, subject to business approval. Please contact your HRBP at least 10 days before your confirmed joining date to discuss. Deferments of up to 2 weeks are typically accommodated once.</w:t>
      </w:r>
    </w:p>
    <w:p>
      <w:pPr>
        <w:spacing w:after="60" w:before="160"/>
      </w:pPr>
      <w:r>
        <w:rPr>
          <w:rFonts w:ascii="Arial" w:cs="Arial" w:eastAsia="Arial" w:hAnsi="Arial"/>
          <w:b/>
          <w:bCs/>
          <w:color w:val="1B3A6B"/>
          <w:sz w:val="22"/>
          <w:szCs w:val="22"/>
        </w:rPr>
        <w:t xml:space="preserve">Q: What if I cannot provide a relieving letter from my previous employer on Day 1?</w:t>
      </w:r>
    </w:p>
    <w:p>
      <w:pPr>
        <w:spacing w:after="120" w:before="0"/>
      </w:pPr>
      <w:r>
        <w:rPr>
          <w:rFonts w:ascii="Arial" w:cs="Arial" w:eastAsia="Arial" w:hAnsi="Arial"/>
          <w:color w:val="1E2A3A"/>
          <w:sz w:val="22"/>
          <w:szCs w:val="22"/>
        </w:rPr>
        <w:t xml:space="preserve">A: You may submit an undertaking letter stating your last working date and expected relieving letter date. The actual document must be submitted within 60 days of joining, failing which it will be treated as a documentation discrepancy.</w:t>
      </w:r>
    </w:p>
    <w:p>
      <w:pPr>
        <w:spacing w:after="60" w:before="160"/>
      </w:pPr>
      <w:r>
        <w:rPr>
          <w:rFonts w:ascii="Arial" w:cs="Arial" w:eastAsia="Arial" w:hAnsi="Arial"/>
          <w:b/>
          <w:bCs/>
          <w:color w:val="1B3A6B"/>
          <w:sz w:val="22"/>
          <w:szCs w:val="22"/>
        </w:rPr>
        <w:t xml:space="preserve">Q: Is a physical document submission mandatory or is uploading to the portal sufficient?</w:t>
      </w:r>
    </w:p>
    <w:p>
      <w:pPr>
        <w:spacing w:after="120" w:before="0"/>
      </w:pPr>
      <w:r>
        <w:rPr>
          <w:rFonts w:ascii="Arial" w:cs="Arial" w:eastAsia="Arial" w:hAnsi="Arial"/>
          <w:color w:val="1E2A3A"/>
          <w:sz w:val="22"/>
          <w:szCs w:val="22"/>
        </w:rPr>
        <w:t xml:space="preserve">A: Digital upload to the HR portal is the primary mode. Physical originals for key documents (PAN, Aadhaar, degree certificate) must be presented on Day 1 for verification and will be returned immediately.</w:t>
      </w:r>
    </w:p>
    <w:p>
      <w:pPr>
        <w:spacing w:after="40" w:before="0"/>
      </w:pPr>
    </w:p>
    <w:p>
      <w:pPr>
        <w:pStyle w:val="Heading2"/>
        <w:spacing w:after="120" w:before="240"/>
      </w:pPr>
      <w:r>
        <w:rPr>
          <w:rFonts w:ascii="Arial" w:cs="Arial" w:eastAsia="Arial" w:hAnsi="Arial"/>
          <w:b/>
          <w:bCs/>
          <w:color w:val="0E7E7E"/>
          <w:sz w:val="26"/>
          <w:szCs w:val="26"/>
        </w:rPr>
        <w:t xml:space="preserve">12.2  IT &amp; Access</w:t>
      </w:r>
    </w:p>
    <w:p>
      <w:pPr>
        <w:spacing w:after="60" w:before="160"/>
      </w:pPr>
      <w:r>
        <w:rPr>
          <w:rFonts w:ascii="Arial" w:cs="Arial" w:eastAsia="Arial" w:hAnsi="Arial"/>
          <w:b/>
          <w:bCs/>
          <w:color w:val="1B3A6B"/>
          <w:sz w:val="22"/>
          <w:szCs w:val="22"/>
        </w:rPr>
        <w:t xml:space="preserve">Q: My laptop was not ready on Day 1. What should I do?</w:t>
      </w:r>
    </w:p>
    <w:p>
      <w:pPr>
        <w:spacing w:after="120" w:before="0"/>
      </w:pPr>
      <w:r>
        <w:rPr>
          <w:rFonts w:ascii="Arial" w:cs="Arial" w:eastAsia="Arial" w:hAnsi="Arial"/>
          <w:color w:val="1E2A3A"/>
          <w:sz w:val="22"/>
          <w:szCs w:val="22"/>
        </w:rPr>
        <w:t xml:space="preserve">A: Report this to hr.support@company.com and your manager immediately. IT will provide a loaner device within 4 hours on a best-effort basis while your permanent asset is being prepared.</w:t>
      </w:r>
    </w:p>
    <w:p>
      <w:pPr>
        <w:spacing w:after="60" w:before="160"/>
      </w:pPr>
      <w:r>
        <w:rPr>
          <w:rFonts w:ascii="Arial" w:cs="Arial" w:eastAsia="Arial" w:hAnsi="Arial"/>
          <w:b/>
          <w:bCs/>
          <w:color w:val="1B3A6B"/>
          <w:sz w:val="22"/>
          <w:szCs w:val="22"/>
        </w:rPr>
        <w:t xml:space="preserve">Q: How do I request access to a tool that was not part of my initial provisioning?</w:t>
      </w:r>
    </w:p>
    <w:p>
      <w:pPr>
        <w:spacing w:after="120" w:before="0"/>
      </w:pPr>
      <w:r>
        <w:rPr>
          <w:rFonts w:ascii="Arial" w:cs="Arial" w:eastAsia="Arial" w:hAnsi="Arial"/>
          <w:color w:val="1E2A3A"/>
          <w:sz w:val="22"/>
          <w:szCs w:val="22"/>
        </w:rPr>
        <w:t xml:space="preserve">A: Raise an IT Service Desk ticket at helpdesk.company.com with your manager's approval attached. Standard access SLA is 2 business days.</w:t>
      </w:r>
    </w:p>
    <w:p>
      <w:pPr>
        <w:spacing w:after="60" w:before="160"/>
      </w:pPr>
      <w:r>
        <w:rPr>
          <w:rFonts w:ascii="Arial" w:cs="Arial" w:eastAsia="Arial" w:hAnsi="Arial"/>
          <w:b/>
          <w:bCs/>
          <w:color w:val="1B3A6B"/>
          <w:sz w:val="22"/>
          <w:szCs w:val="22"/>
        </w:rPr>
        <w:t xml:space="preserve">Q: What is the acceptable use policy for company-issued devices?</w:t>
      </w:r>
    </w:p>
    <w:p>
      <w:pPr>
        <w:spacing w:after="120" w:before="0"/>
      </w:pPr>
      <w:r>
        <w:rPr>
          <w:rFonts w:ascii="Arial" w:cs="Arial" w:eastAsia="Arial" w:hAnsi="Arial"/>
          <w:color w:val="1E2A3A"/>
          <w:sz w:val="22"/>
          <w:szCs w:val="22"/>
        </w:rPr>
        <w:t xml:space="preserve">A: Company devices are for professional use. Limited personal use is permitted. Installing unauthorized software, disabling security agents, or connecting to unsecured networks is strictly prohibited.</w:t>
      </w:r>
    </w:p>
    <w:p>
      <w:pPr>
        <w:spacing w:after="40" w:before="0"/>
      </w:pPr>
    </w:p>
    <w:p>
      <w:pPr>
        <w:pStyle w:val="Heading2"/>
        <w:spacing w:after="120" w:before="240"/>
      </w:pPr>
      <w:r>
        <w:rPr>
          <w:rFonts w:ascii="Arial" w:cs="Arial" w:eastAsia="Arial" w:hAnsi="Arial"/>
          <w:b/>
          <w:bCs/>
          <w:color w:val="0E7E7E"/>
          <w:sz w:val="26"/>
          <w:szCs w:val="26"/>
        </w:rPr>
        <w:t xml:space="preserve">12.3  Probation &amp; Confirmation</w:t>
      </w:r>
    </w:p>
    <w:p>
      <w:pPr>
        <w:spacing w:after="60" w:before="160"/>
      </w:pPr>
      <w:r>
        <w:rPr>
          <w:rFonts w:ascii="Arial" w:cs="Arial" w:eastAsia="Arial" w:hAnsi="Arial"/>
          <w:b/>
          <w:bCs/>
          <w:color w:val="1B3A6B"/>
          <w:sz w:val="22"/>
          <w:szCs w:val="22"/>
        </w:rPr>
        <w:t xml:space="preserve">Q: Can I apply for internal roles while on probation?</w:t>
      </w:r>
    </w:p>
    <w:p>
      <w:pPr>
        <w:spacing w:after="120" w:before="0"/>
      </w:pPr>
      <w:r>
        <w:rPr>
          <w:rFonts w:ascii="Arial" w:cs="Arial" w:eastAsia="Arial" w:hAnsi="Arial"/>
          <w:color w:val="1E2A3A"/>
          <w:sz w:val="22"/>
          <w:szCs w:val="22"/>
        </w:rPr>
        <w:t xml:space="preserve">A: No. Employees must complete their probation period before applying for internal transfers or promotions, unless an exception is granted by the CHRO.</w:t>
      </w:r>
    </w:p>
    <w:p>
      <w:pPr>
        <w:spacing w:after="60" w:before="160"/>
      </w:pPr>
      <w:r>
        <w:rPr>
          <w:rFonts w:ascii="Arial" w:cs="Arial" w:eastAsia="Arial" w:hAnsi="Arial"/>
          <w:b/>
          <w:bCs/>
          <w:color w:val="1B3A6B"/>
          <w:sz w:val="22"/>
          <w:szCs w:val="22"/>
        </w:rPr>
        <w:t xml:space="preserve">Q: What happens if I resign during the probation period?</w:t>
      </w:r>
    </w:p>
    <w:p>
      <w:pPr>
        <w:spacing w:after="120" w:before="0"/>
      </w:pPr>
      <w:r>
        <w:rPr>
          <w:rFonts w:ascii="Arial" w:cs="Arial" w:eastAsia="Arial" w:hAnsi="Arial"/>
          <w:color w:val="1E2A3A"/>
          <w:sz w:val="22"/>
          <w:szCs w:val="22"/>
        </w:rPr>
        <w:t xml:space="preserve">A: The notice period during probation is 2 weeks. Serving the notice in full is required to receive a relieving letter and full and final settlement.</w:t>
      </w:r>
    </w:p>
    <w:p>
      <w:pPr>
        <w:spacing w:after="60" w:before="160"/>
      </w:pPr>
      <w:r>
        <w:rPr>
          <w:rFonts w:ascii="Arial" w:cs="Arial" w:eastAsia="Arial" w:hAnsi="Arial"/>
          <w:b/>
          <w:bCs/>
          <w:color w:val="1B3A6B"/>
          <w:sz w:val="22"/>
          <w:szCs w:val="22"/>
        </w:rPr>
        <w:t xml:space="preserve">Q: Can my probation period be shortened?</w:t>
      </w:r>
    </w:p>
    <w:p>
      <w:pPr>
        <w:spacing w:after="120" w:before="0"/>
      </w:pPr>
      <w:r>
        <w:rPr>
          <w:rFonts w:ascii="Arial" w:cs="Arial" w:eastAsia="Arial" w:hAnsi="Arial"/>
          <w:color w:val="1E2A3A"/>
          <w:sz w:val="22"/>
          <w:szCs w:val="22"/>
        </w:rPr>
        <w:t xml:space="preserve">A: Exceptional performers may be recommended for early confirmation at the 60-day review. This requires written recommendation from the Hiring Manager and approval from the Department Head and HR.</w:t>
      </w:r>
    </w:p>
    <w:p>
      <w:pPr>
        <w:spacing w:after="60" w:before="160"/>
      </w:pPr>
      <w:r>
        <w:rPr>
          <w:rFonts w:ascii="Arial" w:cs="Arial" w:eastAsia="Arial" w:hAnsi="Arial"/>
          <w:b/>
          <w:bCs/>
          <w:color w:val="1B3A6B"/>
          <w:sz w:val="22"/>
          <w:szCs w:val="22"/>
        </w:rPr>
        <w:t xml:space="preserve">Q: Will I receive feedback if I am not confirmed?</w:t>
      </w:r>
    </w:p>
    <w:p>
      <w:pPr>
        <w:spacing w:after="120" w:before="0"/>
      </w:pPr>
      <w:r>
        <w:rPr>
          <w:rFonts w:ascii="Arial" w:cs="Arial" w:eastAsia="Arial" w:hAnsi="Arial"/>
          <w:color w:val="1E2A3A"/>
          <w:sz w:val="22"/>
          <w:szCs w:val="22"/>
        </w:rPr>
        <w:t xml:space="preserve">A: Yes. HR will schedule a formal feedback conversation and provide a written summary of the reasons. All decisions are documented and filed in your HR record.</w:t>
      </w:r>
    </w:p>
    <w:p>
      <w:pPr>
        <w:spacing w:after="40" w:before="0"/>
      </w:pPr>
    </w:p>
    <w:p>
      <w:pPr>
        <w:pStyle w:val="Heading2"/>
        <w:spacing w:after="120" w:before="240"/>
      </w:pPr>
      <w:r>
        <w:rPr>
          <w:rFonts w:ascii="Arial" w:cs="Arial" w:eastAsia="Arial" w:hAnsi="Arial"/>
          <w:b/>
          <w:bCs/>
          <w:color w:val="0E7E7E"/>
          <w:sz w:val="26"/>
          <w:szCs w:val="26"/>
        </w:rPr>
        <w:t xml:space="preserve">12.4  HR &amp; Benefits</w:t>
      </w:r>
    </w:p>
    <w:p>
      <w:pPr>
        <w:spacing w:after="60" w:before="160"/>
      </w:pPr>
      <w:r>
        <w:rPr>
          <w:rFonts w:ascii="Arial" w:cs="Arial" w:eastAsia="Arial" w:hAnsi="Arial"/>
          <w:b/>
          <w:bCs/>
          <w:color w:val="1B3A6B"/>
          <w:sz w:val="22"/>
          <w:szCs w:val="22"/>
        </w:rPr>
        <w:t xml:space="preserve">Q: When does my health insurance coverage begin?</w:t>
      </w:r>
    </w:p>
    <w:p>
      <w:pPr>
        <w:spacing w:after="120" w:before="0"/>
      </w:pPr>
      <w:r>
        <w:rPr>
          <w:rFonts w:ascii="Arial" w:cs="Arial" w:eastAsia="Arial" w:hAnsi="Arial"/>
          <w:color w:val="1E2A3A"/>
          <w:sz w:val="22"/>
          <w:szCs w:val="22"/>
        </w:rPr>
        <w:t xml:space="preserve">A: Health insurance coverage is effective from your Date of Joining. Your enrollment details will be emailed within 5 working days of joining. Enrolment of dependents must be completed within 30 days.</w:t>
      </w:r>
    </w:p>
    <w:p>
      <w:pPr>
        <w:spacing w:after="60" w:before="160"/>
      </w:pPr>
      <w:r>
        <w:rPr>
          <w:rFonts w:ascii="Arial" w:cs="Arial" w:eastAsia="Arial" w:hAnsi="Arial"/>
          <w:b/>
          <w:bCs/>
          <w:color w:val="1B3A6B"/>
          <w:sz w:val="22"/>
          <w:szCs w:val="22"/>
        </w:rPr>
        <w:t xml:space="preserve">Q: Who is my primary HR contact?</w:t>
      </w:r>
    </w:p>
    <w:p>
      <w:pPr>
        <w:spacing w:after="120" w:before="0"/>
      </w:pPr>
      <w:r>
        <w:rPr>
          <w:rFonts w:ascii="Arial" w:cs="Arial" w:eastAsia="Arial" w:hAnsi="Arial"/>
          <w:color w:val="1E2A3A"/>
          <w:sz w:val="22"/>
          <w:szCs w:val="22"/>
        </w:rPr>
        <w:t xml:space="preserve">A: Your HR Business Partner (HRBP) is mentioned in your offer letter and welcome email. You can also reach the general HR helpdesk at hr.support@company.com or call the HR helpline listed on the intranet.</w:t>
      </w:r>
    </w:p>
    <w:p>
      <w:pPr>
        <w:spacing w:after="60" w:before="160"/>
      </w:pPr>
      <w:r>
        <w:rPr>
          <w:rFonts w:ascii="Arial" w:cs="Arial" w:eastAsia="Arial" w:hAnsi="Arial"/>
          <w:b/>
          <w:bCs/>
          <w:color w:val="1B3A6B"/>
          <w:sz w:val="22"/>
          <w:szCs w:val="22"/>
        </w:rPr>
        <w:t xml:space="preserve">Q: Where can I find the company's leave policy?</w:t>
      </w:r>
    </w:p>
    <w:p>
      <w:pPr>
        <w:spacing w:after="120" w:before="0"/>
      </w:pPr>
      <w:r>
        <w:rPr>
          <w:rFonts w:ascii="Arial" w:cs="Arial" w:eastAsia="Arial" w:hAnsi="Arial"/>
          <w:color w:val="1E2A3A"/>
          <w:sz w:val="22"/>
          <w:szCs w:val="22"/>
        </w:rPr>
        <w:t xml:space="preserve">A: All HR policies including the Leave Policy, Expense Policy, and Work-from-Home Policy are available on the company intranet under the 'People Policies' section.</w:t>
      </w:r>
    </w:p>
    <w:p>
      <w:pPr>
        <w:spacing w:after="100" w:before="0"/>
      </w:pPr>
    </w:p>
    <w:p>
      <w:pPr>
        <w:pBdr>
          <w:bottom w:val="single" w:color="0E7E7E" w:sz="6" w:space="1"/>
        </w:pBdr>
        <w:spacing w:after="120" w:before="120"/>
      </w:pPr>
    </w:p>
    <w:p>
      <w:pPr>
        <w:spacing w:after="60" w:before="160"/>
        <w:jc w:val="center"/>
      </w:pPr>
      <w:r>
        <w:rPr>
          <w:rFonts w:ascii="Arial" w:cs="Arial" w:eastAsia="Arial" w:hAnsi="Arial"/>
          <w:i/>
          <w:iCs/>
          <w:color w:val="0E7E7E"/>
          <w:sz w:val="18"/>
          <w:szCs w:val="18"/>
        </w:rPr>
        <w:t xml:space="preserve">This document is maintained by the People &amp; Culture Department.</w:t>
      </w:r>
    </w:p>
    <w:p>
      <w:pPr>
        <w:spacing w:after="60" w:before="0"/>
        <w:jc w:val="center"/>
      </w:pPr>
      <w:r>
        <w:rPr>
          <w:rFonts w:ascii="Arial" w:cs="Arial" w:eastAsia="Arial" w:hAnsi="Arial"/>
          <w:color w:val="888888"/>
          <w:sz w:val="18"/>
          <w:szCs w:val="18"/>
        </w:rPr>
        <w:t xml:space="preserve">For queries: hr.support@company.com  |  Last Updated: January 2025  |  Version 2.0</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E7E7E" w:sz="4" w:space="1"/>
      </w:pBdr>
      <w:tabs>
        <w:tab w:val="right" w:pos="9360"/>
      </w:tabs>
      <w:spacing w:after="0" w:before="120"/>
    </w:pPr>
    <w:r>
      <w:rPr>
        <w:rFonts w:ascii="Arial" w:cs="Arial" w:eastAsia="Arial" w:hAnsi="Arial"/>
        <w:color w:val="888888"/>
        <w:sz w:val="18"/>
        <w:szCs w:val="18"/>
      </w:rPr>
      <w:t xml:space="preserve">Confidential — Internal Use Only</w:t>
    </w:r>
    <w:r>
      <w:rPr>
        <w:rFonts w:ascii="Arial" w:cs="Arial" w:eastAsia="Arial" w:hAnsi="Arial"/>
        <w:color w:val="888888"/>
        <w:sz w:val="18"/>
        <w:szCs w:val="18"/>
      </w:rPr>
      <w:t xml:space="preserve">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E7E7E" w:sz="4" w:space="1"/>
      </w:pBdr>
      <w:spacing w:after="120" w:before="0"/>
    </w:pPr>
    <w:r>
      <w:rPr>
        <w:rFonts w:ascii="Arial" w:cs="Arial" w:eastAsia="Arial" w:hAnsi="Arial"/>
        <w:b/>
        <w:bCs/>
        <w:color w:val="0E7E7E"/>
        <w:sz w:val="18"/>
        <w:szCs w:val="18"/>
      </w:rPr>
      <w:t xml:space="preserve">Employee Onboarding Guide</w:t>
    </w:r>
    <w:r>
      <w:rPr>
        <w:rFonts w:ascii="Arial" w:cs="Arial" w:eastAsia="Arial" w:hAnsi="Arial"/>
        <w:color w:val="888888"/>
        <w:sz w:val="18"/>
        <w:szCs w:val="18"/>
      </w:rPr>
      <w:t xml:space="preserve">   |   People &amp; Culture Department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E2A3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B3A6B"/>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0E7E7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2026-06-05T06:22:58.604Z</dcterms:created>
  <dcterms:modified xsi:type="dcterms:W3CDTF">2026-06-05T06:22:58.604Z</dcterms:modified>
</cp:coreProperties>
</file>

<file path=docProps/custom.xml><?xml version="1.0" encoding="utf-8"?>
<Properties xmlns="http://schemas.openxmlformats.org/officeDocument/2006/custom-properties" xmlns:vt="http://schemas.openxmlformats.org/officeDocument/2006/docPropsVTypes"/>
</file>