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40" w:before="0"/>
        <w:jc w:val="center"/>
      </w:pPr>
      <w:r>
        <w:rPr>
          <w:rFonts w:ascii="Arial" w:cs="Arial" w:eastAsia="Arial" w:hAnsi="Arial"/>
          <w:b/>
          <w:bCs/>
          <w:color w:val="1B4F72"/>
          <w:sz w:val="56"/>
          <w:szCs w:val="56"/>
        </w:rPr>
        <w:t xml:space="preserve">EMPLOYEE BENEFITS POLICY</w:t>
      </w:r>
    </w:p>
    <w:p>
      <w:pPr>
        <w:spacing w:after="40" w:before="60"/>
        <w:jc w:val="center"/>
      </w:pPr>
      <w:r>
        <w:rPr>
          <w:rFonts w:ascii="Arial" w:cs="Arial" w:eastAsia="Arial" w:hAnsi="Arial"/>
          <w:i/>
          <w:iCs/>
          <w:color w:val="2E86C1"/>
          <w:sz w:val="28"/>
          <w:szCs w:val="28"/>
        </w:rPr>
        <w:t xml:space="preserve">Comprehensive Benefits &amp; Wellness Program</w:t>
      </w:r>
    </w:p>
    <w:p>
      <w:pPr>
        <w:spacing w:after="0" w:before="80"/>
      </w:pPr>
      <w:r>
        <w:t xml:space="preserve"/>
      </w:r>
    </w:p>
    <w:p>
      <w:pPr>
        <w:pBdr>
          <w:bottom w:val="single" w:color="2E86C1" w:sz="8" w:space="4"/>
        </w:pBdr>
        <w:jc w:val="center"/>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left"/>
            </w:pPr>
            <w:r>
              <w:rPr>
                <w:rFonts w:ascii="Arial" w:cs="Arial" w:eastAsia="Arial" w:hAnsi="Arial"/>
                <w:b/>
                <w:bCs/>
                <w:color w:val="5D6D7E"/>
                <w:sz w:val="20"/>
                <w:szCs w:val="20"/>
              </w:rPr>
              <w:t xml:space="preserve">Policy Version:</w:t>
            </w:r>
          </w:p>
          <w:p>
            <w:pPr>
              <w:jc w:val="left"/>
            </w:pPr>
            <w:r>
              <w:rPr>
                <w:rFonts w:ascii="Arial" w:cs="Arial" w:eastAsia="Arial" w:hAnsi="Arial"/>
                <w:b/>
                <w:bCs/>
                <w:color w:val="5D6D7E"/>
                <w:sz w:val="20"/>
                <w:szCs w:val="20"/>
              </w:rPr>
              <w:t xml:space="preserve">Effective Date:</w:t>
            </w:r>
          </w:p>
          <w:p>
            <w:pPr>
              <w:jc w:val="left"/>
            </w:pPr>
            <w:r>
              <w:rPr>
                <w:rFonts w:ascii="Arial" w:cs="Arial" w:eastAsia="Arial" w:hAnsi="Arial"/>
                <w:b/>
                <w:bCs/>
                <w:color w:val="5D6D7E"/>
                <w:sz w:val="20"/>
                <w:szCs w:val="20"/>
              </w:rPr>
              <w:t xml:space="preserve">Last Reviewed:</w:t>
            </w:r>
          </w:p>
          <w:p>
            <w:pPr>
              <w:jc w:val="left"/>
            </w:pPr>
            <w:r>
              <w:rPr>
                <w:rFonts w:ascii="Arial" w:cs="Arial" w:eastAsia="Arial" w:hAnsi="Arial"/>
                <w:b/>
                <w:bCs/>
                <w:color w:val="5D6D7E"/>
                <w:sz w:val="20"/>
                <w:szCs w:val="20"/>
              </w:rPr>
              <w:t xml:space="preserve">Next Review:</w:t>
            </w:r>
          </w:p>
          <w:p>
            <w:pPr>
              <w:jc w:val="left"/>
            </w:pPr>
            <w:r>
              <w:rPr>
                <w:rFonts w:ascii="Arial" w:cs="Arial" w:eastAsia="Arial" w:hAnsi="Arial"/>
                <w:b/>
                <w:bCs/>
                <w:color w:val="5D6D7E"/>
                <w:sz w:val="20"/>
                <w:szCs w:val="20"/>
              </w:rPr>
              <w:t xml:space="preserve">Administered By:</w:t>
            </w:r>
          </w:p>
        </w:tc>
        <w:tc>
          <w:tcPr>
            <w:tcW w:type="dxa" w:w="4680"/>
            <w:tcBorders>
              <w:top w:val="none" w:color="FFFFFF" w:sz="0"/>
              <w:left w:val="none" w:color="FFFFFF" w:sz="0"/>
              <w:bottom w:val="none" w:color="FFFFFF" w:sz="0"/>
              <w:right w:val="none" w:color="FFFFFF" w:sz="0"/>
            </w:tcBorders>
          </w:tcPr>
          <w:p>
            <w:pPr>
              <w:jc w:val="left"/>
            </w:pPr>
            <w:r>
              <w:rPr>
                <w:rFonts w:ascii="Arial" w:cs="Arial" w:eastAsia="Arial" w:hAnsi="Arial"/>
                <w:color w:val="1A1A2E"/>
                <w:sz w:val="20"/>
                <w:szCs w:val="20"/>
              </w:rPr>
              <w:t xml:space="preserve">2.1</w:t>
            </w:r>
          </w:p>
          <w:p>
            <w:pPr>
              <w:jc w:val="left"/>
            </w:pPr>
            <w:r>
              <w:rPr>
                <w:rFonts w:ascii="Arial" w:cs="Arial" w:eastAsia="Arial" w:hAnsi="Arial"/>
                <w:color w:val="1A1A2E"/>
                <w:sz w:val="20"/>
                <w:szCs w:val="20"/>
              </w:rPr>
              <w:t xml:space="preserve">January 1, 2025</w:t>
            </w:r>
          </w:p>
          <w:p>
            <w:pPr>
              <w:jc w:val="left"/>
            </w:pPr>
            <w:r>
              <w:rPr>
                <w:rFonts w:ascii="Arial" w:cs="Arial" w:eastAsia="Arial" w:hAnsi="Arial"/>
                <w:color w:val="1A1A2E"/>
                <w:sz w:val="20"/>
                <w:szCs w:val="20"/>
              </w:rPr>
              <w:t xml:space="preserve">June 2025</w:t>
            </w:r>
          </w:p>
          <w:p>
            <w:pPr>
              <w:jc w:val="left"/>
            </w:pPr>
            <w:r>
              <w:rPr>
                <w:rFonts w:ascii="Arial" w:cs="Arial" w:eastAsia="Arial" w:hAnsi="Arial"/>
                <w:color w:val="1A1A2E"/>
                <w:sz w:val="20"/>
                <w:szCs w:val="20"/>
              </w:rPr>
              <w:t xml:space="preserve">January 2026</w:t>
            </w:r>
          </w:p>
          <w:p>
            <w:pPr>
              <w:jc w:val="left"/>
            </w:pPr>
            <w:r>
              <w:rPr>
                <w:rFonts w:ascii="Arial" w:cs="Arial" w:eastAsia="Arial" w:hAnsi="Arial"/>
                <w:color w:val="1A1A2E"/>
                <w:sz w:val="20"/>
                <w:szCs w:val="20"/>
              </w:rPr>
              <w:t xml:space="preserve">Human Resources Department</w:t>
            </w:r>
          </w:p>
        </w:tc>
      </w:tr>
    </w:tbl>
    <w:p>
      <w:pPr>
        <w:spacing w:after="0" w:before="400"/>
      </w:pPr>
      <w:r>
        <w:t xml:space="preserve"/>
      </w:r>
    </w:p>
    <w:p>
      <w:pPr>
        <w:jc w:val="center"/>
      </w:pPr>
      <w:r>
        <w:rPr>
          <w:rFonts w:ascii="Arial" w:cs="Arial" w:eastAsia="Arial" w:hAnsi="Arial"/>
          <w:b/>
          <w:bCs/>
          <w:i/>
          <w:iCs/>
          <w:color w:val="5D6D7E"/>
          <w:sz w:val="18"/>
          <w:szCs w:val="18"/>
        </w:rPr>
        <w:t xml:space="preserve">CONFIDENTIAL — FOR INTERNAL USE ONLY</w:t>
      </w:r>
    </w:p>
    <w:p>
      <w:r>
        <w:br w:type="page"/>
      </w:r>
    </w:p>
    <w:p>
      <w:pPr>
        <w:pStyle w:val="Heading1"/>
        <w:spacing w:after="160" w:before="360"/>
      </w:pPr>
      <w:r>
        <w:rPr>
          <w:rFonts w:ascii="Arial" w:cs="Arial" w:eastAsia="Arial" w:hAnsi="Arial"/>
          <w:b/>
          <w:bCs/>
          <w:color w:val="1B4F72"/>
          <w:sz w:val="34"/>
          <w:szCs w:val="34"/>
        </w:rPr>
        <w:t xml:space="preserve">1. Introduction &amp; Policy Overview</w:t>
      </w:r>
    </w:p>
    <w:p>
      <w:pPr>
        <w:spacing w:after="80" w:before="60" w:line="320"/>
      </w:pPr>
      <w:r>
        <w:rPr>
          <w:rFonts w:ascii="Arial" w:cs="Arial" w:eastAsia="Arial" w:hAnsi="Arial"/>
          <w:color w:val="1A1A2E"/>
          <w:sz w:val="20"/>
          <w:szCs w:val="20"/>
        </w:rPr>
        <w:t xml:space="preserve">This Employee Benefits Policy outlines the comprehensive range of benefits available to eligible employees of the Company. Our benefits program is designed to support employees' physical, mental, and financial well-being, helping attract and retain top talent while promoting a healthy, engaged, and productive workforce.</w:t>
      </w:r>
    </w:p>
    <w:p>
      <w:pPr>
        <w:spacing w:after="0" w:before="80"/>
      </w:pPr>
      <w:r>
        <w:t xml:space="preserve"/>
      </w:r>
    </w:p>
    <w:p>
      <w:pPr>
        <w:spacing w:after="80" w:before="60" w:line="320"/>
      </w:pPr>
      <w:r>
        <w:rPr>
          <w:rFonts w:ascii="Arial" w:cs="Arial" w:eastAsia="Arial" w:hAnsi="Arial"/>
          <w:color w:val="1A1A2E"/>
          <w:sz w:val="20"/>
          <w:szCs w:val="20"/>
        </w:rPr>
        <w:t xml:space="preserve">The Company is committed to offering a competitive and holistic benefits package that reflects the value we place on our people. Benefits are reviewed annually to ensure they remain relevant, competitive, and aligned with the evolving needs of our workforce.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1B4F72" w:sz="12"/>
              <w:bottom w:val="single" w:color="2E86C1" w:sz="4"/>
              <w:right w:val="none" w:color="FFFFFF" w:sz="0"/>
            </w:tcBorders>
            <w:shd w:fill="D6EAF8" w:val="clear"/>
            <w:tcMar>
              <w:top w:type="dxa" w:w="120"/>
              <w:left w:type="dxa" w:w="200"/>
              <w:bottom w:type="dxa" w:w="120"/>
              <w:right w:type="dxa" w:w="120"/>
            </w:tcMar>
          </w:tcPr>
          <w:p>
            <w:pPr>
              <w:spacing w:after="40" w:before="40"/>
            </w:pPr>
            <w:r>
              <w:rPr>
                <w:rFonts w:ascii="Arial" w:cs="Arial" w:eastAsia="Arial" w:hAnsi="Arial"/>
                <w:i/>
                <w:iCs/>
                <w:color w:val="154360"/>
                <w:sz w:val="19"/>
                <w:szCs w:val="19"/>
              </w:rPr>
              <w:t xml:space="preserve">Note: This policy is subject to periodic revision. The Human Resources (HR) Department will communicate any changes</w:t>
            </w:r>
          </w:p>
          <w:p>
            <w:pPr>
              <w:spacing w:after="40" w:before="40"/>
            </w:pPr>
            <w:r>
              <w:rPr>
                <w:rFonts w:ascii="Arial" w:cs="Arial" w:eastAsia="Arial" w:hAnsi="Arial"/>
                <w:i w:val="false"/>
                <w:iCs w:val="false"/>
                <w:color w:val="154360"/>
                <w:sz w:val="19"/>
                <w:szCs w:val="19"/>
              </w:rPr>
              <w:t xml:space="preserve">with reasonable advance notice. Employees are encouraged to review this document annually and contact HR for</w:t>
            </w:r>
          </w:p>
          <w:p>
            <w:pPr>
              <w:spacing w:after="40" w:before="40"/>
            </w:pPr>
            <w:r>
              <w:rPr>
                <w:rFonts w:ascii="Arial" w:cs="Arial" w:eastAsia="Arial" w:hAnsi="Arial"/>
                <w:i w:val="false"/>
                <w:iCs w:val="false"/>
                <w:color w:val="154360"/>
                <w:sz w:val="19"/>
                <w:szCs w:val="19"/>
              </w:rPr>
              <w:t xml:space="preserve">clarification on any benefit details or eligibility questions.</w:t>
            </w:r>
          </w:p>
        </w:tc>
      </w:tr>
    </w:tbl>
    <w:p>
      <w:pPr>
        <w:spacing w:after="0" w:before="12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1.1 Guiding Principles</w:t>
      </w:r>
    </w:p>
    <w:p>
      <w:pPr>
        <w:pStyle w:val="ListParagraph"/>
        <w:numPr>
          <w:ilvl w:val="0"/>
          <w:numId w:val="2"/>
        </w:numPr>
        <w:spacing w:after="60" w:before="40"/>
      </w:pPr>
      <w:r>
        <w:rPr>
          <w:rFonts w:ascii="Arial" w:cs="Arial" w:eastAsia="Arial" w:hAnsi="Arial"/>
          <w:color w:val="1A1A2E"/>
          <w:sz w:val="20"/>
          <w:szCs w:val="20"/>
        </w:rPr>
        <w:t xml:space="preserve">Equity: All eligible employees receive access to core benefits regardless of role, level, or location.</w:t>
      </w:r>
    </w:p>
    <w:p>
      <w:pPr>
        <w:pStyle w:val="ListParagraph"/>
        <w:numPr>
          <w:ilvl w:val="0"/>
          <w:numId w:val="2"/>
        </w:numPr>
        <w:spacing w:after="60" w:before="40"/>
      </w:pPr>
      <w:r>
        <w:rPr>
          <w:rFonts w:ascii="Arial" w:cs="Arial" w:eastAsia="Arial" w:hAnsi="Arial"/>
          <w:color w:val="1A1A2E"/>
          <w:sz w:val="20"/>
          <w:szCs w:val="20"/>
        </w:rPr>
        <w:t xml:space="preserve">Flexibility: Where possible, employees may customize benefits to suit their individual and family needs.</w:t>
      </w:r>
    </w:p>
    <w:p>
      <w:pPr>
        <w:pStyle w:val="ListParagraph"/>
        <w:numPr>
          <w:ilvl w:val="0"/>
          <w:numId w:val="2"/>
        </w:numPr>
        <w:spacing w:after="60" w:before="40"/>
      </w:pPr>
      <w:r>
        <w:rPr>
          <w:rFonts w:ascii="Arial" w:cs="Arial" w:eastAsia="Arial" w:hAnsi="Arial"/>
          <w:color w:val="1A1A2E"/>
          <w:sz w:val="20"/>
          <w:szCs w:val="20"/>
        </w:rPr>
        <w:t xml:space="preserve">Well-being First: Benefits span physical, mental, financial, and professional dimensions of well-being.</w:t>
      </w:r>
    </w:p>
    <w:p>
      <w:pPr>
        <w:pStyle w:val="ListParagraph"/>
        <w:numPr>
          <w:ilvl w:val="0"/>
          <w:numId w:val="2"/>
        </w:numPr>
        <w:spacing w:after="60" w:before="40"/>
      </w:pPr>
      <w:r>
        <w:rPr>
          <w:rFonts w:ascii="Arial" w:cs="Arial" w:eastAsia="Arial" w:hAnsi="Arial"/>
          <w:color w:val="1A1A2E"/>
          <w:sz w:val="20"/>
          <w:szCs w:val="20"/>
        </w:rPr>
        <w:t xml:space="preserve">Transparency: All benefit terms, coverage limits, and enrollment procedures are clearly communicated.</w:t>
      </w:r>
    </w:p>
    <w:p>
      <w:pPr>
        <w:pStyle w:val="ListParagraph"/>
        <w:numPr>
          <w:ilvl w:val="0"/>
          <w:numId w:val="2"/>
        </w:numPr>
        <w:spacing w:after="60" w:before="40"/>
      </w:pPr>
      <w:r>
        <w:rPr>
          <w:rFonts w:ascii="Arial" w:cs="Arial" w:eastAsia="Arial" w:hAnsi="Arial"/>
          <w:color w:val="1A1A2E"/>
          <w:sz w:val="20"/>
          <w:szCs w:val="20"/>
        </w:rPr>
        <w:t xml:space="preserve">Compliance: All benefits comply with applicable local, state, and national labor and tax regulations.</w:t>
      </w:r>
    </w:p>
    <w:p>
      <w:pPr>
        <w:spacing w:after="0" w:before="12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1.2 Scope</w:t>
      </w:r>
    </w:p>
    <w:p>
      <w:pPr>
        <w:spacing w:after="80" w:before="60" w:line="320"/>
      </w:pPr>
      <w:r>
        <w:rPr>
          <w:rFonts w:ascii="Arial" w:cs="Arial" w:eastAsia="Arial" w:hAnsi="Arial"/>
          <w:color w:val="1A1A2E"/>
          <w:sz w:val="20"/>
          <w:szCs w:val="20"/>
        </w:rPr>
        <w:t xml:space="preserve">This policy applies to all permanent full-time and part-time employees who meet the relevant eligibility criteria. Contract workers, consultants, and temporary staff engaged through third-party agencies are not eligible for benefits under this policy unless explicitly stated in their engagement agreement.</w:t>
      </w:r>
    </w:p>
    <w:p>
      <w:r>
        <w:br w:type="page"/>
      </w:r>
    </w:p>
    <w:p>
      <w:pPr>
        <w:pStyle w:val="Heading1"/>
        <w:spacing w:after="160" w:before="360"/>
      </w:pPr>
      <w:r>
        <w:rPr>
          <w:rFonts w:ascii="Arial" w:cs="Arial" w:eastAsia="Arial" w:hAnsi="Arial"/>
          <w:b/>
          <w:bCs/>
          <w:color w:val="1B4F72"/>
          <w:sz w:val="34"/>
          <w:szCs w:val="34"/>
        </w:rPr>
        <w:t xml:space="preserve">2. Eligibility Criteria</w:t>
      </w:r>
    </w:p>
    <w:p>
      <w:pPr>
        <w:spacing w:after="80" w:before="60" w:line="320"/>
      </w:pPr>
      <w:r>
        <w:rPr>
          <w:rFonts w:ascii="Arial" w:cs="Arial" w:eastAsia="Arial" w:hAnsi="Arial"/>
          <w:color w:val="1A1A2E"/>
          <w:sz w:val="20"/>
          <w:szCs w:val="20"/>
        </w:rPr>
        <w:t xml:space="preserve">Eligibility for specific benefits depends on employment type, tenure, and role classification. The following table summarizes eligibility by employee category: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rPr>
          <w:tblHeader/>
        </w:trPr>
        <w:tc>
          <w:tcPr>
            <w:tcW w:type="dxa" w:w="2800"/>
            <w:tcBorders>
              <w:top w:val="single" w:color="AED6F1" w:sz="1"/>
              <w:left w:val="single" w:color="AED6F1" w:sz="1"/>
              <w:bottom w:val="single" w:color="AED6F1" w:sz="1"/>
              <w:right w:val="single" w:color="AED6F1" w:sz="1"/>
            </w:tcBorders>
            <w:shd w:fill="1B4F72" w:val="clear"/>
            <w:tcMar>
              <w:top w:type="dxa" w:w="80"/>
              <w:left w:type="dxa" w:w="100"/>
              <w:bottom w:type="dxa" w:w="80"/>
              <w:right w:type="dxa" w:w="80"/>
            </w:tcMar>
          </w:tcPr>
          <w:p>
            <w:r>
              <w:rPr>
                <w:rFonts w:ascii="Arial" w:cs="Arial" w:eastAsia="Arial" w:hAnsi="Arial"/>
                <w:b/>
                <w:bCs/>
                <w:color w:val="FFFFFF"/>
                <w:sz w:val="18"/>
                <w:szCs w:val="18"/>
              </w:rPr>
              <w:t xml:space="preserve">Benefit Category</w:t>
            </w:r>
          </w:p>
        </w:tc>
        <w:tc>
          <w:tcPr>
            <w:tcW w:type="dxa" w:w="1600"/>
            <w:tcBorders>
              <w:top w:val="single" w:color="AED6F1" w:sz="1"/>
              <w:left w:val="single" w:color="AED6F1" w:sz="1"/>
              <w:bottom w:val="single" w:color="AED6F1" w:sz="1"/>
              <w:right w:val="single" w:color="AED6F1" w:sz="1"/>
            </w:tcBorders>
            <w:shd w:fill="1B4F72" w:val="clear"/>
            <w:tcMar>
              <w:top w:type="dxa" w:w="80"/>
              <w:left w:type="dxa" w:w="100"/>
              <w:bottom w:type="dxa" w:w="80"/>
              <w:right w:type="dxa" w:w="80"/>
            </w:tcMar>
          </w:tcPr>
          <w:p>
            <w:r>
              <w:rPr>
                <w:rFonts w:ascii="Arial" w:cs="Arial" w:eastAsia="Arial" w:hAnsi="Arial"/>
                <w:b/>
                <w:bCs/>
                <w:color w:val="FFFFFF"/>
                <w:sz w:val="18"/>
                <w:szCs w:val="18"/>
              </w:rPr>
              <w:t xml:space="preserve">Full-Time</w:t>
            </w:r>
          </w:p>
        </w:tc>
        <w:tc>
          <w:tcPr>
            <w:tcW w:type="dxa" w:w="1600"/>
            <w:tcBorders>
              <w:top w:val="single" w:color="AED6F1" w:sz="1"/>
              <w:left w:val="single" w:color="AED6F1" w:sz="1"/>
              <w:bottom w:val="single" w:color="AED6F1" w:sz="1"/>
              <w:right w:val="single" w:color="AED6F1" w:sz="1"/>
            </w:tcBorders>
            <w:shd w:fill="1B4F72" w:val="clear"/>
            <w:tcMar>
              <w:top w:type="dxa" w:w="80"/>
              <w:left w:type="dxa" w:w="100"/>
              <w:bottom w:type="dxa" w:w="80"/>
              <w:right w:type="dxa" w:w="80"/>
            </w:tcMar>
          </w:tcPr>
          <w:p>
            <w:r>
              <w:rPr>
                <w:rFonts w:ascii="Arial" w:cs="Arial" w:eastAsia="Arial" w:hAnsi="Arial"/>
                <w:b/>
                <w:bCs/>
                <w:color w:val="FFFFFF"/>
                <w:sz w:val="18"/>
                <w:szCs w:val="18"/>
              </w:rPr>
              <w:t xml:space="preserve">Part-Time (&gt;20 hrs)</w:t>
            </w:r>
          </w:p>
        </w:tc>
        <w:tc>
          <w:tcPr>
            <w:tcW w:type="dxa" w:w="1600"/>
            <w:tcBorders>
              <w:top w:val="single" w:color="AED6F1" w:sz="1"/>
              <w:left w:val="single" w:color="AED6F1" w:sz="1"/>
              <w:bottom w:val="single" w:color="AED6F1" w:sz="1"/>
              <w:right w:val="single" w:color="AED6F1" w:sz="1"/>
            </w:tcBorders>
            <w:shd w:fill="1B4F72" w:val="clear"/>
            <w:tcMar>
              <w:top w:type="dxa" w:w="80"/>
              <w:left w:type="dxa" w:w="100"/>
              <w:bottom w:type="dxa" w:w="80"/>
              <w:right w:type="dxa" w:w="80"/>
            </w:tcMar>
          </w:tcPr>
          <w:p>
            <w:r>
              <w:rPr>
                <w:rFonts w:ascii="Arial" w:cs="Arial" w:eastAsia="Arial" w:hAnsi="Arial"/>
                <w:b/>
                <w:bCs/>
                <w:color w:val="FFFFFF"/>
                <w:sz w:val="18"/>
                <w:szCs w:val="18"/>
              </w:rPr>
              <w:t xml:space="preserve">Part-Time (&lt;20 hrs)</w:t>
            </w:r>
          </w:p>
        </w:tc>
        <w:tc>
          <w:tcPr>
            <w:tcW w:type="dxa" w:w="1760"/>
            <w:tcBorders>
              <w:top w:val="single" w:color="AED6F1" w:sz="1"/>
              <w:left w:val="single" w:color="AED6F1" w:sz="1"/>
              <w:bottom w:val="single" w:color="AED6F1" w:sz="1"/>
              <w:right w:val="single" w:color="AED6F1" w:sz="1"/>
            </w:tcBorders>
            <w:shd w:fill="1B4F72" w:val="clear"/>
            <w:tcMar>
              <w:top w:type="dxa" w:w="80"/>
              <w:left w:type="dxa" w:w="100"/>
              <w:bottom w:type="dxa" w:w="80"/>
              <w:right w:type="dxa" w:w="80"/>
            </w:tcMar>
          </w:tcPr>
          <w:p>
            <w:r>
              <w:rPr>
                <w:rFonts w:ascii="Arial" w:cs="Arial" w:eastAsia="Arial" w:hAnsi="Arial"/>
                <w:b/>
                <w:bCs/>
                <w:color w:val="FFFFFF"/>
                <w:sz w:val="18"/>
                <w:szCs w:val="18"/>
              </w:rPr>
              <w:t xml:space="preserve">Contract</w:t>
            </w:r>
          </w:p>
        </w:tc>
      </w:tr>
      <w:tr>
        <w:tc>
          <w:tcPr>
            <w:tcW w:type="dxa" w:w="280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left"/>
            </w:pPr>
            <w:r>
              <w:rPr>
                <w:rFonts w:ascii="Arial" w:cs="Arial" w:eastAsia="Arial" w:hAnsi="Arial"/>
                <w:b/>
                <w:bCs/>
                <w:color w:val="154360"/>
                <w:sz w:val="18"/>
                <w:szCs w:val="18"/>
              </w:rPr>
              <w:t xml:space="preserve">Health Insurance</w:t>
            </w:r>
          </w:p>
        </w:tc>
        <w:tc>
          <w:tcPr>
            <w:tcW w:type="dxa" w:w="160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bCs/>
                <w:color w:val="1A5276"/>
                <w:sz w:val="18"/>
                <w:szCs w:val="18"/>
              </w:rPr>
              <w:t xml:space="preserve">Full</w:t>
            </w:r>
          </w:p>
        </w:tc>
        <w:tc>
          <w:tcPr>
            <w:tcW w:type="dxa" w:w="160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154360"/>
                <w:sz w:val="18"/>
                <w:szCs w:val="18"/>
              </w:rPr>
              <w:t xml:space="preserve">Partial</w:t>
            </w:r>
          </w:p>
        </w:tc>
        <w:tc>
          <w:tcPr>
            <w:tcW w:type="dxa" w:w="160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5D6D7E"/>
                <w:sz w:val="18"/>
                <w:szCs w:val="18"/>
              </w:rPr>
              <w:t xml:space="preserve">Not Eligible</w:t>
            </w:r>
          </w:p>
        </w:tc>
        <w:tc>
          <w:tcPr>
            <w:tcW w:type="dxa" w:w="176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5D6D7E"/>
                <w:sz w:val="18"/>
                <w:szCs w:val="18"/>
              </w:rPr>
              <w:t xml:space="preserve">Not Eligible</w:t>
            </w:r>
          </w:p>
        </w:tc>
      </w:tr>
      <w:tr>
        <w:tc>
          <w:tcPr>
            <w:tcW w:type="dxa" w:w="280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left"/>
            </w:pPr>
            <w:r>
              <w:rPr>
                <w:rFonts w:ascii="Arial" w:cs="Arial" w:eastAsia="Arial" w:hAnsi="Arial"/>
                <w:b/>
                <w:bCs/>
                <w:color w:val="154360"/>
                <w:sz w:val="18"/>
                <w:szCs w:val="18"/>
              </w:rPr>
              <w:t xml:space="preserve">Life Insurance</w:t>
            </w:r>
          </w:p>
        </w:tc>
        <w:tc>
          <w:tcPr>
            <w:tcW w:type="dxa" w:w="160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bCs/>
                <w:color w:val="1A5276"/>
                <w:sz w:val="18"/>
                <w:szCs w:val="18"/>
              </w:rPr>
              <w:t xml:space="preserve">Full</w:t>
            </w:r>
          </w:p>
        </w:tc>
        <w:tc>
          <w:tcPr>
            <w:tcW w:type="dxa" w:w="160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bCs/>
                <w:color w:val="1A5276"/>
                <w:sz w:val="18"/>
                <w:szCs w:val="18"/>
              </w:rPr>
              <w:t xml:space="preserve">Full</w:t>
            </w:r>
          </w:p>
        </w:tc>
        <w:tc>
          <w:tcPr>
            <w:tcW w:type="dxa" w:w="160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5D6D7E"/>
                <w:sz w:val="18"/>
                <w:szCs w:val="18"/>
              </w:rPr>
              <w:t xml:space="preserve">Not Eligible</w:t>
            </w:r>
          </w:p>
        </w:tc>
        <w:tc>
          <w:tcPr>
            <w:tcW w:type="dxa" w:w="176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5D6D7E"/>
                <w:sz w:val="18"/>
                <w:szCs w:val="18"/>
              </w:rPr>
              <w:t xml:space="preserve">Not Eligible</w:t>
            </w:r>
          </w:p>
        </w:tc>
      </w:tr>
      <w:tr>
        <w:tc>
          <w:tcPr>
            <w:tcW w:type="dxa" w:w="280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left"/>
            </w:pPr>
            <w:r>
              <w:rPr>
                <w:rFonts w:ascii="Arial" w:cs="Arial" w:eastAsia="Arial" w:hAnsi="Arial"/>
                <w:b/>
                <w:bCs/>
                <w:color w:val="154360"/>
                <w:sz w:val="18"/>
                <w:szCs w:val="18"/>
              </w:rPr>
              <w:t xml:space="preserve">Wellness Benefits</w:t>
            </w:r>
          </w:p>
        </w:tc>
        <w:tc>
          <w:tcPr>
            <w:tcW w:type="dxa" w:w="160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bCs/>
                <w:color w:val="1A5276"/>
                <w:sz w:val="18"/>
                <w:szCs w:val="18"/>
              </w:rPr>
              <w:t xml:space="preserve">Full</w:t>
            </w:r>
          </w:p>
        </w:tc>
        <w:tc>
          <w:tcPr>
            <w:tcW w:type="dxa" w:w="160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bCs/>
                <w:color w:val="1A5276"/>
                <w:sz w:val="18"/>
                <w:szCs w:val="18"/>
              </w:rPr>
              <w:t xml:space="preserve">Full</w:t>
            </w:r>
          </w:p>
        </w:tc>
        <w:tc>
          <w:tcPr>
            <w:tcW w:type="dxa" w:w="160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154360"/>
                <w:sz w:val="18"/>
                <w:szCs w:val="18"/>
              </w:rPr>
              <w:t xml:space="preserve">Partial</w:t>
            </w:r>
          </w:p>
        </w:tc>
        <w:tc>
          <w:tcPr>
            <w:tcW w:type="dxa" w:w="176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5D6D7E"/>
                <w:sz w:val="18"/>
                <w:szCs w:val="18"/>
              </w:rPr>
              <w:t xml:space="preserve">Not Eligible</w:t>
            </w:r>
          </w:p>
        </w:tc>
      </w:tr>
      <w:tr>
        <w:tc>
          <w:tcPr>
            <w:tcW w:type="dxa" w:w="280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left"/>
            </w:pPr>
            <w:r>
              <w:rPr>
                <w:rFonts w:ascii="Arial" w:cs="Arial" w:eastAsia="Arial" w:hAnsi="Arial"/>
                <w:b/>
                <w:bCs/>
                <w:color w:val="154360"/>
                <w:sz w:val="18"/>
                <w:szCs w:val="18"/>
              </w:rPr>
              <w:t xml:space="preserve">Learning Budget</w:t>
            </w:r>
          </w:p>
        </w:tc>
        <w:tc>
          <w:tcPr>
            <w:tcW w:type="dxa" w:w="160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bCs/>
                <w:color w:val="1A5276"/>
                <w:sz w:val="18"/>
                <w:szCs w:val="18"/>
              </w:rPr>
              <w:t xml:space="preserve">Full</w:t>
            </w:r>
          </w:p>
        </w:tc>
        <w:tc>
          <w:tcPr>
            <w:tcW w:type="dxa" w:w="160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154360"/>
                <w:sz w:val="18"/>
                <w:szCs w:val="18"/>
              </w:rPr>
              <w:t xml:space="preserve">Prorated</w:t>
            </w:r>
          </w:p>
        </w:tc>
        <w:tc>
          <w:tcPr>
            <w:tcW w:type="dxa" w:w="160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5D6D7E"/>
                <w:sz w:val="18"/>
                <w:szCs w:val="18"/>
              </w:rPr>
              <w:t xml:space="preserve">Not Eligible</w:t>
            </w:r>
          </w:p>
        </w:tc>
        <w:tc>
          <w:tcPr>
            <w:tcW w:type="dxa" w:w="176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154360"/>
                <w:sz w:val="18"/>
                <w:szCs w:val="18"/>
              </w:rPr>
              <w:t xml:space="preserve">Case-by-Case</w:t>
            </w:r>
          </w:p>
        </w:tc>
      </w:tr>
      <w:tr>
        <w:tc>
          <w:tcPr>
            <w:tcW w:type="dxa" w:w="280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left"/>
            </w:pPr>
            <w:r>
              <w:rPr>
                <w:rFonts w:ascii="Arial" w:cs="Arial" w:eastAsia="Arial" w:hAnsi="Arial"/>
                <w:b/>
                <w:bCs/>
                <w:color w:val="154360"/>
                <w:sz w:val="18"/>
                <w:szCs w:val="18"/>
              </w:rPr>
              <w:t xml:space="preserve">Flexible Benefits</w:t>
            </w:r>
          </w:p>
        </w:tc>
        <w:tc>
          <w:tcPr>
            <w:tcW w:type="dxa" w:w="160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bCs/>
                <w:color w:val="1A5276"/>
                <w:sz w:val="18"/>
                <w:szCs w:val="18"/>
              </w:rPr>
              <w:t xml:space="preserve">Full</w:t>
            </w:r>
          </w:p>
        </w:tc>
        <w:tc>
          <w:tcPr>
            <w:tcW w:type="dxa" w:w="160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bCs/>
                <w:color w:val="1A5276"/>
                <w:sz w:val="18"/>
                <w:szCs w:val="18"/>
              </w:rPr>
              <w:t xml:space="preserve">Full</w:t>
            </w:r>
          </w:p>
        </w:tc>
        <w:tc>
          <w:tcPr>
            <w:tcW w:type="dxa" w:w="160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5D6D7E"/>
                <w:sz w:val="18"/>
                <w:szCs w:val="18"/>
              </w:rPr>
              <w:t xml:space="preserve">Not Eligible</w:t>
            </w:r>
          </w:p>
        </w:tc>
        <w:tc>
          <w:tcPr>
            <w:tcW w:type="dxa" w:w="176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5D6D7E"/>
                <w:sz w:val="18"/>
                <w:szCs w:val="18"/>
              </w:rPr>
              <w:t xml:space="preserve">Not Eligible</w:t>
            </w:r>
          </w:p>
        </w:tc>
      </w:tr>
      <w:tr>
        <w:tc>
          <w:tcPr>
            <w:tcW w:type="dxa" w:w="280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left"/>
            </w:pPr>
            <w:r>
              <w:rPr>
                <w:rFonts w:ascii="Arial" w:cs="Arial" w:eastAsia="Arial" w:hAnsi="Arial"/>
                <w:b/>
                <w:bCs/>
                <w:color w:val="154360"/>
                <w:sz w:val="18"/>
                <w:szCs w:val="18"/>
              </w:rPr>
              <w:t xml:space="preserve">Retirement Plan</w:t>
            </w:r>
          </w:p>
        </w:tc>
        <w:tc>
          <w:tcPr>
            <w:tcW w:type="dxa" w:w="160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bCs/>
                <w:color w:val="1A5276"/>
                <w:sz w:val="18"/>
                <w:szCs w:val="18"/>
              </w:rPr>
              <w:t xml:space="preserve">Full</w:t>
            </w:r>
          </w:p>
        </w:tc>
        <w:tc>
          <w:tcPr>
            <w:tcW w:type="dxa" w:w="160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bCs/>
                <w:color w:val="1A5276"/>
                <w:sz w:val="18"/>
                <w:szCs w:val="18"/>
              </w:rPr>
              <w:t xml:space="preserve">Full</w:t>
            </w:r>
          </w:p>
        </w:tc>
        <w:tc>
          <w:tcPr>
            <w:tcW w:type="dxa" w:w="160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5D6D7E"/>
                <w:sz w:val="18"/>
                <w:szCs w:val="18"/>
              </w:rPr>
              <w:t xml:space="preserve">Not Eligible</w:t>
            </w:r>
          </w:p>
        </w:tc>
        <w:tc>
          <w:tcPr>
            <w:tcW w:type="dxa" w:w="176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5D6D7E"/>
                <w:sz w:val="18"/>
                <w:szCs w:val="18"/>
              </w:rPr>
              <w:t xml:space="preserve">Not Eligible</w:t>
            </w:r>
          </w:p>
        </w:tc>
      </w:tr>
      <w:tr>
        <w:tc>
          <w:tcPr>
            <w:tcW w:type="dxa" w:w="280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left"/>
            </w:pPr>
            <w:r>
              <w:rPr>
                <w:rFonts w:ascii="Arial" w:cs="Arial" w:eastAsia="Arial" w:hAnsi="Arial"/>
                <w:b/>
                <w:bCs/>
                <w:color w:val="154360"/>
                <w:sz w:val="18"/>
                <w:szCs w:val="18"/>
              </w:rPr>
              <w:t xml:space="preserve">Stock Options</w:t>
            </w:r>
          </w:p>
        </w:tc>
        <w:tc>
          <w:tcPr>
            <w:tcW w:type="dxa" w:w="160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bCs/>
                <w:color w:val="1A5276"/>
                <w:sz w:val="18"/>
                <w:szCs w:val="18"/>
              </w:rPr>
              <w:t xml:space="preserve">Full</w:t>
            </w:r>
          </w:p>
        </w:tc>
        <w:tc>
          <w:tcPr>
            <w:tcW w:type="dxa" w:w="160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5D6D7E"/>
                <w:sz w:val="18"/>
                <w:szCs w:val="18"/>
              </w:rPr>
              <w:t xml:space="preserve">Not Eligible</w:t>
            </w:r>
          </w:p>
        </w:tc>
        <w:tc>
          <w:tcPr>
            <w:tcW w:type="dxa" w:w="160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5D6D7E"/>
                <w:sz w:val="18"/>
                <w:szCs w:val="18"/>
              </w:rPr>
              <w:t xml:space="preserve">Not Eligible</w:t>
            </w:r>
          </w:p>
        </w:tc>
        <w:tc>
          <w:tcPr>
            <w:tcW w:type="dxa" w:w="176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5D6D7E"/>
                <w:sz w:val="18"/>
                <w:szCs w:val="18"/>
              </w:rPr>
              <w:t xml:space="preserve">Not Eligible</w:t>
            </w:r>
          </w:p>
        </w:tc>
      </w:tr>
      <w:tr>
        <w:tc>
          <w:tcPr>
            <w:tcW w:type="dxa" w:w="280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left"/>
            </w:pPr>
            <w:r>
              <w:rPr>
                <w:rFonts w:ascii="Arial" w:cs="Arial" w:eastAsia="Arial" w:hAnsi="Arial"/>
                <w:b/>
                <w:bCs/>
                <w:color w:val="154360"/>
                <w:sz w:val="18"/>
                <w:szCs w:val="18"/>
              </w:rPr>
              <w:t xml:space="preserve">EAP</w:t>
            </w:r>
          </w:p>
        </w:tc>
        <w:tc>
          <w:tcPr>
            <w:tcW w:type="dxa" w:w="160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bCs/>
                <w:color w:val="1A5276"/>
                <w:sz w:val="18"/>
                <w:szCs w:val="18"/>
              </w:rPr>
              <w:t xml:space="preserve">Full</w:t>
            </w:r>
          </w:p>
        </w:tc>
        <w:tc>
          <w:tcPr>
            <w:tcW w:type="dxa" w:w="160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bCs/>
                <w:color w:val="1A5276"/>
                <w:sz w:val="18"/>
                <w:szCs w:val="18"/>
              </w:rPr>
              <w:t xml:space="preserve">Full</w:t>
            </w:r>
          </w:p>
        </w:tc>
        <w:tc>
          <w:tcPr>
            <w:tcW w:type="dxa" w:w="160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bCs/>
                <w:color w:val="1A5276"/>
                <w:sz w:val="18"/>
                <w:szCs w:val="18"/>
              </w:rPr>
              <w:t xml:space="preserve">Full</w:t>
            </w:r>
          </w:p>
        </w:tc>
        <w:tc>
          <w:tcPr>
            <w:tcW w:type="dxa" w:w="176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5D6D7E"/>
                <w:sz w:val="18"/>
                <w:szCs w:val="18"/>
              </w:rPr>
              <w:t xml:space="preserve">Not Eligible</w:t>
            </w:r>
          </w:p>
        </w:tc>
      </w:tr>
      <w:tr>
        <w:tc>
          <w:tcPr>
            <w:tcW w:type="dxa" w:w="280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left"/>
            </w:pPr>
            <w:r>
              <w:rPr>
                <w:rFonts w:ascii="Arial" w:cs="Arial" w:eastAsia="Arial" w:hAnsi="Arial"/>
                <w:b/>
                <w:bCs/>
                <w:color w:val="154360"/>
                <w:sz w:val="18"/>
                <w:szCs w:val="18"/>
              </w:rPr>
              <w:t xml:space="preserve">Fitness Benefits</w:t>
            </w:r>
          </w:p>
        </w:tc>
        <w:tc>
          <w:tcPr>
            <w:tcW w:type="dxa" w:w="160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bCs/>
                <w:color w:val="1A5276"/>
                <w:sz w:val="18"/>
                <w:szCs w:val="18"/>
              </w:rPr>
              <w:t xml:space="preserve">Full</w:t>
            </w:r>
          </w:p>
        </w:tc>
        <w:tc>
          <w:tcPr>
            <w:tcW w:type="dxa" w:w="160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bCs/>
                <w:color w:val="1A5276"/>
                <w:sz w:val="18"/>
                <w:szCs w:val="18"/>
              </w:rPr>
              <w:t xml:space="preserve">Full</w:t>
            </w:r>
          </w:p>
        </w:tc>
        <w:tc>
          <w:tcPr>
            <w:tcW w:type="dxa" w:w="160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154360"/>
                <w:sz w:val="18"/>
                <w:szCs w:val="18"/>
              </w:rPr>
              <w:t xml:space="preserve">Partial</w:t>
            </w:r>
          </w:p>
        </w:tc>
        <w:tc>
          <w:tcPr>
            <w:tcW w:type="dxa" w:w="176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5D6D7E"/>
                <w:sz w:val="18"/>
                <w:szCs w:val="18"/>
              </w:rPr>
              <w:t xml:space="preserve">Not Eligible</w:t>
            </w:r>
          </w:p>
        </w:tc>
      </w:tr>
      <w:tr>
        <w:tc>
          <w:tcPr>
            <w:tcW w:type="dxa" w:w="280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left"/>
            </w:pPr>
            <w:r>
              <w:rPr>
                <w:rFonts w:ascii="Arial" w:cs="Arial" w:eastAsia="Arial" w:hAnsi="Arial"/>
                <w:b/>
                <w:bCs/>
                <w:color w:val="154360"/>
                <w:sz w:val="18"/>
                <w:szCs w:val="18"/>
              </w:rPr>
              <w:t xml:space="preserve">Mental Health Support</w:t>
            </w:r>
          </w:p>
        </w:tc>
        <w:tc>
          <w:tcPr>
            <w:tcW w:type="dxa" w:w="160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bCs/>
                <w:color w:val="1A5276"/>
                <w:sz w:val="18"/>
                <w:szCs w:val="18"/>
              </w:rPr>
              <w:t xml:space="preserve">Full</w:t>
            </w:r>
          </w:p>
        </w:tc>
        <w:tc>
          <w:tcPr>
            <w:tcW w:type="dxa" w:w="160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bCs/>
                <w:color w:val="1A5276"/>
                <w:sz w:val="18"/>
                <w:szCs w:val="18"/>
              </w:rPr>
              <w:t xml:space="preserve">Full</w:t>
            </w:r>
          </w:p>
        </w:tc>
        <w:tc>
          <w:tcPr>
            <w:tcW w:type="dxa" w:w="160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bCs/>
                <w:color w:val="1A5276"/>
                <w:sz w:val="18"/>
                <w:szCs w:val="18"/>
              </w:rPr>
              <w:t xml:space="preserve">Full</w:t>
            </w:r>
          </w:p>
        </w:tc>
        <w:tc>
          <w:tcPr>
            <w:tcW w:type="dxa" w:w="176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5D6D7E"/>
                <w:sz w:val="18"/>
                <w:szCs w:val="18"/>
              </w:rPr>
              <w:t xml:space="preserve">Not Eligible</w:t>
            </w:r>
          </w:p>
        </w:tc>
      </w:tr>
    </w:tbl>
    <w:p>
      <w:pPr>
        <w:spacing w:after="0" w:before="12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2.1 Waiting Period</w:t>
      </w:r>
    </w:p>
    <w:p>
      <w:pPr>
        <w:spacing w:after="80" w:before="60" w:line="320"/>
      </w:pPr>
      <w:r>
        <w:rPr>
          <w:rFonts w:ascii="Arial" w:cs="Arial" w:eastAsia="Arial" w:hAnsi="Arial"/>
          <w:color w:val="1A1A2E"/>
          <w:sz w:val="20"/>
          <w:szCs w:val="20"/>
        </w:rPr>
        <w:t xml:space="preserve">Most benefits become effective after a standard waiting period from the employee's start date: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Benefit</w:t>
            </w:r>
          </w:p>
        </w:tc>
        <w:tc>
          <w:tcPr>
            <w:tcW w:type="dxa" w:w="624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Waiting Period / Effective Date</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Health Insurance</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First of the month following 30 days of employment</w:t>
            </w:r>
          </w:p>
        </w:tc>
      </w:tr>
      <w:tr>
        <w:tc>
          <w:tcPr>
            <w:tcW w:type="dxa" w:w="312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bCs/>
                <w:color w:val="1A1A2E"/>
                <w:sz w:val="20"/>
                <w:szCs w:val="20"/>
              </w:rPr>
              <w:t xml:space="preserve">Life Insurance</w:t>
            </w:r>
          </w:p>
        </w:tc>
        <w:tc>
          <w:tcPr>
            <w:tcW w:type="dxa" w:w="624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val="false"/>
                <w:bCs w:val="false"/>
                <w:color w:val="1A1A2E"/>
                <w:sz w:val="20"/>
                <w:szCs w:val="20"/>
              </w:rPr>
              <w:t xml:space="preserve">Date of hire (immediate)</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Retirement Plan</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First of the month following 60 days of employment</w:t>
            </w:r>
          </w:p>
        </w:tc>
      </w:tr>
      <w:tr>
        <w:tc>
          <w:tcPr>
            <w:tcW w:type="dxa" w:w="312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bCs/>
                <w:color w:val="1A1A2E"/>
                <w:sz w:val="20"/>
                <w:szCs w:val="20"/>
              </w:rPr>
              <w:t xml:space="preserve">Stock Options</w:t>
            </w:r>
          </w:p>
        </w:tc>
        <w:tc>
          <w:tcPr>
            <w:tcW w:type="dxa" w:w="624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val="false"/>
                <w:bCs w:val="false"/>
                <w:color w:val="1A1A2E"/>
                <w:sz w:val="20"/>
                <w:szCs w:val="20"/>
              </w:rPr>
              <w:t xml:space="preserve">Grant issued after 90 days; vesting begins from grant date</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Learning Budget</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Available after completing 90-day probation period</w:t>
            </w:r>
          </w:p>
        </w:tc>
      </w:tr>
      <w:tr>
        <w:tc>
          <w:tcPr>
            <w:tcW w:type="dxa" w:w="312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bCs/>
                <w:color w:val="1A1A2E"/>
                <w:sz w:val="20"/>
                <w:szCs w:val="20"/>
              </w:rPr>
              <w:t xml:space="preserve">Wellness &amp; Fitness</w:t>
            </w:r>
          </w:p>
        </w:tc>
        <w:tc>
          <w:tcPr>
            <w:tcW w:type="dxa" w:w="624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val="false"/>
                <w:bCs w:val="false"/>
                <w:color w:val="1A1A2E"/>
                <w:sz w:val="20"/>
                <w:szCs w:val="20"/>
              </w:rPr>
              <w:t xml:space="preserve">Available immediately upon hire</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EAP &amp; Mental Health</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Available immediately upon hire</w:t>
            </w:r>
          </w:p>
        </w:tc>
      </w:tr>
    </w:tbl>
    <w:p>
      <w:pPr>
        <w:spacing w:after="0" w:before="12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2.2 Enrollment</w:t>
      </w:r>
    </w:p>
    <w:p>
      <w:pPr>
        <w:spacing w:after="80" w:before="60" w:line="320"/>
      </w:pPr>
      <w:r>
        <w:rPr>
          <w:rFonts w:ascii="Arial" w:cs="Arial" w:eastAsia="Arial" w:hAnsi="Arial"/>
          <w:color w:val="1A1A2E"/>
          <w:sz w:val="20"/>
          <w:szCs w:val="20"/>
        </w:rPr>
        <w:t xml:space="preserve">Employees must enroll in applicable benefits during one of the following windows:</w:t>
      </w:r>
    </w:p>
    <w:p>
      <w:pPr>
        <w:pStyle w:val="ListParagraph"/>
        <w:numPr>
          <w:ilvl w:val="0"/>
          <w:numId w:val="2"/>
        </w:numPr>
        <w:spacing w:after="60" w:before="40"/>
      </w:pPr>
      <w:r>
        <w:rPr>
          <w:rFonts w:ascii="Arial" w:cs="Arial" w:eastAsia="Arial" w:hAnsi="Arial"/>
          <w:color w:val="1A1A2E"/>
          <w:sz w:val="20"/>
          <w:szCs w:val="20"/>
        </w:rPr>
        <w:t xml:space="preserve">New Hire Enrollment: Within 30 days of start date for all eligible benefits.</w:t>
      </w:r>
    </w:p>
    <w:p>
      <w:pPr>
        <w:pStyle w:val="ListParagraph"/>
        <w:numPr>
          <w:ilvl w:val="0"/>
          <w:numId w:val="2"/>
        </w:numPr>
        <w:spacing w:after="60" w:before="40"/>
      </w:pPr>
      <w:r>
        <w:rPr>
          <w:rFonts w:ascii="Arial" w:cs="Arial" w:eastAsia="Arial" w:hAnsi="Arial"/>
          <w:color w:val="1A1A2E"/>
          <w:sz w:val="20"/>
          <w:szCs w:val="20"/>
        </w:rPr>
        <w:t xml:space="preserve">Open Enrollment: Annually in November for changes effective January 1 of the following year.</w:t>
      </w:r>
    </w:p>
    <w:p>
      <w:pPr>
        <w:pStyle w:val="ListParagraph"/>
        <w:numPr>
          <w:ilvl w:val="0"/>
          <w:numId w:val="2"/>
        </w:numPr>
        <w:spacing w:after="60" w:before="40"/>
      </w:pPr>
      <w:r>
        <w:rPr>
          <w:rFonts w:ascii="Arial" w:cs="Arial" w:eastAsia="Arial" w:hAnsi="Arial"/>
          <w:color w:val="1A1A2E"/>
          <w:sz w:val="20"/>
          <w:szCs w:val="20"/>
        </w:rPr>
        <w:t xml:space="preserve">Qualifying Life Events: Marriage, divorce, birth, adoption, or loss of other coverage allows a 30-day special enrollment window.</w:t>
      </w:r>
    </w:p>
    <w:p>
      <w:r>
        <w:br w:type="page"/>
      </w:r>
    </w:p>
    <w:p>
      <w:pPr>
        <w:pStyle w:val="Heading1"/>
        <w:spacing w:after="160" w:before="360"/>
      </w:pPr>
      <w:r>
        <w:rPr>
          <w:rFonts w:ascii="Arial" w:cs="Arial" w:eastAsia="Arial" w:hAnsi="Arial"/>
          <w:b/>
          <w:bCs/>
          <w:color w:val="1B4F72"/>
          <w:sz w:val="34"/>
          <w:szCs w:val="34"/>
        </w:rPr>
        <w:t xml:space="preserve">3. Health Insurance</w:t>
      </w:r>
    </w:p>
    <w:p>
      <w:pPr>
        <w:spacing w:after="80" w:before="60" w:line="320"/>
      </w:pPr>
      <w:r>
        <w:rPr>
          <w:rFonts w:ascii="Arial" w:cs="Arial" w:eastAsia="Arial" w:hAnsi="Arial"/>
          <w:color w:val="1A1A2E"/>
          <w:sz w:val="20"/>
          <w:szCs w:val="20"/>
        </w:rPr>
        <w:t xml:space="preserve">The Company provides comprehensive medical, dental, and vision insurance to protect employees and their eligible dependents from the financial burden of healthcare expenses.</w:t>
      </w:r>
    </w:p>
    <w:p>
      <w:pPr>
        <w:spacing w:after="0" w:before="8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3.1 Medical Coverage</w:t>
      </w:r>
    </w:p>
    <w:p>
      <w:pPr>
        <w:spacing w:after="80" w:before="60" w:line="320"/>
      </w:pPr>
      <w:r>
        <w:rPr>
          <w:rFonts w:ascii="Arial" w:cs="Arial" w:eastAsia="Arial" w:hAnsi="Arial"/>
          <w:color w:val="1A1A2E"/>
          <w:sz w:val="20"/>
          <w:szCs w:val="20"/>
        </w:rPr>
        <w:t xml:space="preserve">Employees may choose from three tiered health plan options: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ED6F1" w:sz="1"/>
              <w:left w:val="single" w:color="AED6F1" w:sz="1"/>
              <w:bottom w:val="single" w:color="AED6F1" w:sz="1"/>
              <w:right w:val="single" w:color="AED6F1" w:sz="1"/>
            </w:tcBorders>
            <w:shd w:fill="1B4F72"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Plan Feature</w:t>
            </w:r>
          </w:p>
        </w:tc>
        <w:tc>
          <w:tcPr>
            <w:tcW w:type="dxa" w:w="2340"/>
            <w:tcBorders>
              <w:top w:val="single" w:color="AED6F1" w:sz="1"/>
              <w:left w:val="single" w:color="AED6F1" w:sz="1"/>
              <w:bottom w:val="single" w:color="AED6F1" w:sz="1"/>
              <w:right w:val="single" w:color="AED6F1" w:sz="1"/>
            </w:tcBorders>
            <w:shd w:fill="1B4F72"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Basic Plan</w:t>
            </w:r>
          </w:p>
        </w:tc>
        <w:tc>
          <w:tcPr>
            <w:tcW w:type="dxa" w:w="2340"/>
            <w:tcBorders>
              <w:top w:val="single" w:color="AED6F1" w:sz="1"/>
              <w:left w:val="single" w:color="AED6F1" w:sz="1"/>
              <w:bottom w:val="single" w:color="AED6F1" w:sz="1"/>
              <w:right w:val="single" w:color="AED6F1" w:sz="1"/>
            </w:tcBorders>
            <w:shd w:fill="1B4F72"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Standard Plan</w:t>
            </w:r>
          </w:p>
        </w:tc>
        <w:tc>
          <w:tcPr>
            <w:tcW w:type="dxa" w:w="2340"/>
            <w:tcBorders>
              <w:top w:val="single" w:color="AED6F1" w:sz="1"/>
              <w:left w:val="single" w:color="AED6F1" w:sz="1"/>
              <w:bottom w:val="single" w:color="AED6F1" w:sz="1"/>
              <w:right w:val="single" w:color="AED6F1" w:sz="1"/>
            </w:tcBorders>
            <w:shd w:fill="1B4F72"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Premium Plan</w:t>
            </w:r>
          </w:p>
        </w:tc>
      </w:tr>
      <w:tr>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left"/>
            </w:pPr>
            <w:r>
              <w:rPr>
                <w:rFonts w:ascii="Arial" w:cs="Arial" w:eastAsia="Arial" w:hAnsi="Arial"/>
                <w:b/>
                <w:bCs/>
                <w:color w:val="1A1A2E"/>
                <w:sz w:val="18"/>
                <w:szCs w:val="18"/>
              </w:rPr>
              <w:t xml:space="preserve">Monthly Premium (Employee)</w:t>
            </w:r>
          </w:p>
        </w:tc>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$120</w:t>
            </w:r>
          </w:p>
        </w:tc>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$220</w:t>
            </w:r>
          </w:p>
        </w:tc>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$340</w:t>
            </w:r>
          </w:p>
        </w:tc>
      </w:tr>
      <w:tr>
        <w:tc>
          <w:tcPr>
            <w:tcW w:type="dxa" w:w="234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left"/>
            </w:pPr>
            <w:r>
              <w:rPr>
                <w:rFonts w:ascii="Arial" w:cs="Arial" w:eastAsia="Arial" w:hAnsi="Arial"/>
                <w:b/>
                <w:bCs/>
                <w:color w:val="1A1A2E"/>
                <w:sz w:val="18"/>
                <w:szCs w:val="18"/>
              </w:rPr>
              <w:t xml:space="preserve">Monthly Premium (Family)</w:t>
            </w:r>
          </w:p>
        </w:tc>
        <w:tc>
          <w:tcPr>
            <w:tcW w:type="dxa" w:w="234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$380</w:t>
            </w:r>
          </w:p>
        </w:tc>
        <w:tc>
          <w:tcPr>
            <w:tcW w:type="dxa" w:w="234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$610</w:t>
            </w:r>
          </w:p>
        </w:tc>
        <w:tc>
          <w:tcPr>
            <w:tcW w:type="dxa" w:w="234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$890</w:t>
            </w:r>
          </w:p>
        </w:tc>
      </w:tr>
      <w:tr>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left"/>
            </w:pPr>
            <w:r>
              <w:rPr>
                <w:rFonts w:ascii="Arial" w:cs="Arial" w:eastAsia="Arial" w:hAnsi="Arial"/>
                <w:b/>
                <w:bCs/>
                <w:color w:val="1A1A2E"/>
                <w:sz w:val="18"/>
                <w:szCs w:val="18"/>
              </w:rPr>
              <w:t xml:space="preserve">Company Contribution</w:t>
            </w:r>
          </w:p>
        </w:tc>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60%</w:t>
            </w:r>
          </w:p>
        </w:tc>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70%</w:t>
            </w:r>
          </w:p>
        </w:tc>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80%</w:t>
            </w:r>
          </w:p>
        </w:tc>
      </w:tr>
      <w:tr>
        <w:tc>
          <w:tcPr>
            <w:tcW w:type="dxa" w:w="234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left"/>
            </w:pPr>
            <w:r>
              <w:rPr>
                <w:rFonts w:ascii="Arial" w:cs="Arial" w:eastAsia="Arial" w:hAnsi="Arial"/>
                <w:b/>
                <w:bCs/>
                <w:color w:val="1A1A2E"/>
                <w:sz w:val="18"/>
                <w:szCs w:val="18"/>
              </w:rPr>
              <w:t xml:space="preserve">Annual Deductible</w:t>
            </w:r>
          </w:p>
        </w:tc>
        <w:tc>
          <w:tcPr>
            <w:tcW w:type="dxa" w:w="234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$1,500</w:t>
            </w:r>
          </w:p>
        </w:tc>
        <w:tc>
          <w:tcPr>
            <w:tcW w:type="dxa" w:w="234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$800</w:t>
            </w:r>
          </w:p>
        </w:tc>
        <w:tc>
          <w:tcPr>
            <w:tcW w:type="dxa" w:w="234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$300</w:t>
            </w:r>
          </w:p>
        </w:tc>
      </w:tr>
      <w:tr>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left"/>
            </w:pPr>
            <w:r>
              <w:rPr>
                <w:rFonts w:ascii="Arial" w:cs="Arial" w:eastAsia="Arial" w:hAnsi="Arial"/>
                <w:b/>
                <w:bCs/>
                <w:color w:val="1A1A2E"/>
                <w:sz w:val="18"/>
                <w:szCs w:val="18"/>
              </w:rPr>
              <w:t xml:space="preserve">Out-of-Pocket Maximum</w:t>
            </w:r>
          </w:p>
        </w:tc>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$6,000</w:t>
            </w:r>
          </w:p>
        </w:tc>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$4,000</w:t>
            </w:r>
          </w:p>
        </w:tc>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$2,500</w:t>
            </w:r>
          </w:p>
        </w:tc>
      </w:tr>
      <w:tr>
        <w:tc>
          <w:tcPr>
            <w:tcW w:type="dxa" w:w="234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left"/>
            </w:pPr>
            <w:r>
              <w:rPr>
                <w:rFonts w:ascii="Arial" w:cs="Arial" w:eastAsia="Arial" w:hAnsi="Arial"/>
                <w:b/>
                <w:bCs/>
                <w:color w:val="1A1A2E"/>
                <w:sz w:val="18"/>
                <w:szCs w:val="18"/>
              </w:rPr>
              <w:t xml:space="preserve">Primary Care Copay</w:t>
            </w:r>
          </w:p>
        </w:tc>
        <w:tc>
          <w:tcPr>
            <w:tcW w:type="dxa" w:w="234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$40</w:t>
            </w:r>
          </w:p>
        </w:tc>
        <w:tc>
          <w:tcPr>
            <w:tcW w:type="dxa" w:w="234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$25</w:t>
            </w:r>
          </w:p>
        </w:tc>
        <w:tc>
          <w:tcPr>
            <w:tcW w:type="dxa" w:w="234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$15</w:t>
            </w:r>
          </w:p>
        </w:tc>
      </w:tr>
      <w:tr>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left"/>
            </w:pPr>
            <w:r>
              <w:rPr>
                <w:rFonts w:ascii="Arial" w:cs="Arial" w:eastAsia="Arial" w:hAnsi="Arial"/>
                <w:b/>
                <w:bCs/>
                <w:color w:val="1A1A2E"/>
                <w:sz w:val="18"/>
                <w:szCs w:val="18"/>
              </w:rPr>
              <w:t xml:space="preserve">Specialist Copay</w:t>
            </w:r>
          </w:p>
        </w:tc>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$70</w:t>
            </w:r>
          </w:p>
        </w:tc>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$50</w:t>
            </w:r>
          </w:p>
        </w:tc>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$35</w:t>
            </w:r>
          </w:p>
        </w:tc>
      </w:tr>
      <w:tr>
        <w:tc>
          <w:tcPr>
            <w:tcW w:type="dxa" w:w="234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left"/>
            </w:pPr>
            <w:r>
              <w:rPr>
                <w:rFonts w:ascii="Arial" w:cs="Arial" w:eastAsia="Arial" w:hAnsi="Arial"/>
                <w:b/>
                <w:bCs/>
                <w:color w:val="1A1A2E"/>
                <w:sz w:val="18"/>
                <w:szCs w:val="18"/>
              </w:rPr>
              <w:t xml:space="preserve">Emergency Room</w:t>
            </w:r>
          </w:p>
        </w:tc>
        <w:tc>
          <w:tcPr>
            <w:tcW w:type="dxa" w:w="234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$250</w:t>
            </w:r>
          </w:p>
        </w:tc>
        <w:tc>
          <w:tcPr>
            <w:tcW w:type="dxa" w:w="234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$150</w:t>
            </w:r>
          </w:p>
        </w:tc>
        <w:tc>
          <w:tcPr>
            <w:tcW w:type="dxa" w:w="234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$100</w:t>
            </w:r>
          </w:p>
        </w:tc>
      </w:tr>
      <w:tr>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left"/>
            </w:pPr>
            <w:r>
              <w:rPr>
                <w:rFonts w:ascii="Arial" w:cs="Arial" w:eastAsia="Arial" w:hAnsi="Arial"/>
                <w:b/>
                <w:bCs/>
                <w:color w:val="1A1A2E"/>
                <w:sz w:val="18"/>
                <w:szCs w:val="18"/>
              </w:rPr>
              <w:t xml:space="preserve">Prescription Coverage</w:t>
            </w:r>
          </w:p>
        </w:tc>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Tier 1–2</w:t>
            </w:r>
          </w:p>
        </w:tc>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Tier 1–3</w:t>
            </w:r>
          </w:p>
        </w:tc>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Tier 1–4</w:t>
            </w:r>
          </w:p>
        </w:tc>
      </w:tr>
      <w:tr>
        <w:tc>
          <w:tcPr>
            <w:tcW w:type="dxa" w:w="234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left"/>
            </w:pPr>
            <w:r>
              <w:rPr>
                <w:rFonts w:ascii="Arial" w:cs="Arial" w:eastAsia="Arial" w:hAnsi="Arial"/>
                <w:b/>
                <w:bCs/>
                <w:color w:val="1A1A2E"/>
                <w:sz w:val="18"/>
                <w:szCs w:val="18"/>
              </w:rPr>
              <w:t xml:space="preserve">Mental Health Coverage</w:t>
            </w:r>
          </w:p>
        </w:tc>
        <w:tc>
          <w:tcPr>
            <w:tcW w:type="dxa" w:w="234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Included</w:t>
            </w:r>
          </w:p>
        </w:tc>
        <w:tc>
          <w:tcPr>
            <w:tcW w:type="dxa" w:w="234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Included</w:t>
            </w:r>
          </w:p>
        </w:tc>
        <w:tc>
          <w:tcPr>
            <w:tcW w:type="dxa" w:w="2340"/>
            <w:tcBorders>
              <w:top w:val="single" w:color="AED6F1" w:sz="1"/>
              <w:left w:val="single" w:color="AED6F1" w:sz="1"/>
              <w:bottom w:val="single" w:color="AED6F1" w:sz="1"/>
              <w:right w:val="single" w:color="AED6F1" w:sz="1"/>
            </w:tcBorders>
            <w:shd w:fill="F4F9FC"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Included</w:t>
            </w:r>
          </w:p>
        </w:tc>
      </w:tr>
      <w:tr>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left"/>
            </w:pPr>
            <w:r>
              <w:rPr>
                <w:rFonts w:ascii="Arial" w:cs="Arial" w:eastAsia="Arial" w:hAnsi="Arial"/>
                <w:b/>
                <w:bCs/>
                <w:color w:val="1A1A2E"/>
                <w:sz w:val="18"/>
                <w:szCs w:val="18"/>
              </w:rPr>
              <w:t xml:space="preserve">Telehealth Services</w:t>
            </w:r>
          </w:p>
        </w:tc>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Included</w:t>
            </w:r>
          </w:p>
        </w:tc>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Included</w:t>
            </w:r>
          </w:p>
        </w:tc>
        <w:tc>
          <w:tcPr>
            <w:tcW w:type="dxa" w:w="2340"/>
            <w:tcBorders>
              <w:top w:val="single" w:color="AED6F1" w:sz="1"/>
              <w:left w:val="single" w:color="AED6F1" w:sz="1"/>
              <w:bottom w:val="single" w:color="AED6F1" w:sz="1"/>
              <w:right w:val="single" w:color="AED6F1" w:sz="1"/>
            </w:tcBorders>
            <w:shd w:fill="FFFFFF" w:val="clear"/>
            <w:tcMar>
              <w:top w:type="dxa" w:w="70"/>
              <w:left w:type="dxa" w:w="100"/>
              <w:bottom w:type="dxa" w:w="70"/>
              <w:right w:type="dxa" w:w="80"/>
            </w:tcMar>
          </w:tcPr>
          <w:p>
            <w:pPr>
              <w:jc w:val="center"/>
            </w:pPr>
            <w:r>
              <w:rPr>
                <w:rFonts w:ascii="Arial" w:cs="Arial" w:eastAsia="Arial" w:hAnsi="Arial"/>
                <w:b w:val="false"/>
                <w:bCs w:val="false"/>
                <w:color w:val="1A1A2E"/>
                <w:sz w:val="18"/>
                <w:szCs w:val="18"/>
              </w:rPr>
              <w:t xml:space="preserve">Included</w:t>
            </w:r>
          </w:p>
        </w:tc>
      </w:tr>
    </w:tbl>
    <w:p>
      <w:pPr>
        <w:spacing w:after="0" w:before="12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3.2 Dental &amp; Vision Coverage</w:t>
      </w:r>
    </w:p>
    <w:p>
      <w:pPr>
        <w:spacing w:after="80" w:before="60" w:line="320"/>
      </w:pPr>
      <w:r>
        <w:rPr>
          <w:rFonts w:ascii="Arial" w:cs="Arial" w:eastAsia="Arial" w:hAnsi="Arial"/>
          <w:color w:val="1A1A2E"/>
          <w:sz w:val="20"/>
          <w:szCs w:val="20"/>
        </w:rPr>
        <w:t xml:space="preserve">All eligible employees receive dental and vision coverage included in their health plan enrollment.</w:t>
      </w:r>
    </w:p>
    <w:p>
      <w:pPr>
        <w:spacing w:after="0" w:before="60"/>
      </w:pPr>
      <w:r>
        <w:t xml:space="preserve"/>
      </w:r>
    </w:p>
    <w:p>
      <w:pPr>
        <w:pStyle w:val="Heading3"/>
        <w:spacing w:after="80" w:before="200"/>
      </w:pPr>
      <w:r>
        <w:rPr>
          <w:rFonts w:ascii="Arial" w:cs="Arial" w:eastAsia="Arial" w:hAnsi="Arial"/>
          <w:b/>
          <w:bCs/>
          <w:color w:val="154360"/>
          <w:sz w:val="22"/>
          <w:szCs w:val="22"/>
        </w:rPr>
        <w:t xml:space="preserve">Dental Coverage</w:t>
      </w:r>
    </w:p>
    <w:p>
      <w:pPr>
        <w:pStyle w:val="ListParagraph"/>
        <w:numPr>
          <w:ilvl w:val="0"/>
          <w:numId w:val="2"/>
        </w:numPr>
        <w:spacing w:after="60" w:before="40"/>
      </w:pPr>
      <w:r>
        <w:rPr>
          <w:rFonts w:ascii="Arial" w:cs="Arial" w:eastAsia="Arial" w:hAnsi="Arial"/>
          <w:color w:val="1A1A2E"/>
          <w:sz w:val="20"/>
          <w:szCs w:val="20"/>
        </w:rPr>
        <w:t xml:space="preserve">Preventive Care (cleanings, X-rays): 100% covered, no deductible</w:t>
      </w:r>
    </w:p>
    <w:p>
      <w:pPr>
        <w:pStyle w:val="ListParagraph"/>
        <w:numPr>
          <w:ilvl w:val="0"/>
          <w:numId w:val="2"/>
        </w:numPr>
        <w:spacing w:after="60" w:before="40"/>
      </w:pPr>
      <w:r>
        <w:rPr>
          <w:rFonts w:ascii="Arial" w:cs="Arial" w:eastAsia="Arial" w:hAnsi="Arial"/>
          <w:color w:val="1A1A2E"/>
          <w:sz w:val="20"/>
          <w:szCs w:val="20"/>
        </w:rPr>
        <w:t xml:space="preserve">Basic Restorative (fillings, extractions): 80% covered after deductible</w:t>
      </w:r>
    </w:p>
    <w:p>
      <w:pPr>
        <w:pStyle w:val="ListParagraph"/>
        <w:numPr>
          <w:ilvl w:val="0"/>
          <w:numId w:val="2"/>
        </w:numPr>
        <w:spacing w:after="60" w:before="40"/>
      </w:pPr>
      <w:r>
        <w:rPr>
          <w:rFonts w:ascii="Arial" w:cs="Arial" w:eastAsia="Arial" w:hAnsi="Arial"/>
          <w:color w:val="1A1A2E"/>
          <w:sz w:val="20"/>
          <w:szCs w:val="20"/>
        </w:rPr>
        <w:t xml:space="preserve">Major Restorative (crowns, bridges, dentures): 50% covered after deductible</w:t>
      </w:r>
    </w:p>
    <w:p>
      <w:pPr>
        <w:pStyle w:val="ListParagraph"/>
        <w:numPr>
          <w:ilvl w:val="0"/>
          <w:numId w:val="2"/>
        </w:numPr>
        <w:spacing w:after="60" w:before="40"/>
      </w:pPr>
      <w:r>
        <w:rPr>
          <w:rFonts w:ascii="Arial" w:cs="Arial" w:eastAsia="Arial" w:hAnsi="Arial"/>
          <w:color w:val="1A1A2E"/>
          <w:sz w:val="20"/>
          <w:szCs w:val="20"/>
        </w:rPr>
        <w:t xml:space="preserve">Orthodontia: 50% covered up to $2,000 lifetime maximum (Standard and Premium plans)</w:t>
      </w:r>
    </w:p>
    <w:p>
      <w:pPr>
        <w:pStyle w:val="ListParagraph"/>
        <w:numPr>
          <w:ilvl w:val="0"/>
          <w:numId w:val="2"/>
        </w:numPr>
        <w:spacing w:after="60" w:before="40"/>
      </w:pPr>
      <w:r>
        <w:rPr>
          <w:rFonts w:ascii="Arial" w:cs="Arial" w:eastAsia="Arial" w:hAnsi="Arial"/>
          <w:color w:val="1A1A2E"/>
          <w:sz w:val="20"/>
          <w:szCs w:val="20"/>
        </w:rPr>
        <w:t xml:space="preserve">Annual benefit maximum: $1,500 (Basic), $2,500 (Standard), $3,500 (Premium)</w:t>
      </w:r>
    </w:p>
    <w:p>
      <w:pPr>
        <w:spacing w:after="0" w:before="80"/>
      </w:pPr>
      <w:r>
        <w:t xml:space="preserve"/>
      </w:r>
    </w:p>
    <w:p>
      <w:pPr>
        <w:pStyle w:val="Heading3"/>
        <w:spacing w:after="80" w:before="200"/>
      </w:pPr>
      <w:r>
        <w:rPr>
          <w:rFonts w:ascii="Arial" w:cs="Arial" w:eastAsia="Arial" w:hAnsi="Arial"/>
          <w:b/>
          <w:bCs/>
          <w:color w:val="154360"/>
          <w:sz w:val="22"/>
          <w:szCs w:val="22"/>
        </w:rPr>
        <w:t xml:space="preserve">Vision Coverage</w:t>
      </w:r>
    </w:p>
    <w:p>
      <w:pPr>
        <w:pStyle w:val="ListParagraph"/>
        <w:numPr>
          <w:ilvl w:val="0"/>
          <w:numId w:val="2"/>
        </w:numPr>
        <w:spacing w:after="60" w:before="40"/>
      </w:pPr>
      <w:r>
        <w:rPr>
          <w:rFonts w:ascii="Arial" w:cs="Arial" w:eastAsia="Arial" w:hAnsi="Arial"/>
          <w:color w:val="1A1A2E"/>
          <w:sz w:val="20"/>
          <w:szCs w:val="20"/>
        </w:rPr>
        <w:t xml:space="preserve">Annual eye exam: $10 copay</w:t>
      </w:r>
    </w:p>
    <w:p>
      <w:pPr>
        <w:pStyle w:val="ListParagraph"/>
        <w:numPr>
          <w:ilvl w:val="0"/>
          <w:numId w:val="2"/>
        </w:numPr>
        <w:spacing w:after="60" w:before="40"/>
      </w:pPr>
      <w:r>
        <w:rPr>
          <w:rFonts w:ascii="Arial" w:cs="Arial" w:eastAsia="Arial" w:hAnsi="Arial"/>
          <w:color w:val="1A1A2E"/>
          <w:sz w:val="20"/>
          <w:szCs w:val="20"/>
        </w:rPr>
        <w:t xml:space="preserve">Frames allowance: $200 per year</w:t>
      </w:r>
    </w:p>
    <w:p>
      <w:pPr>
        <w:pStyle w:val="ListParagraph"/>
        <w:numPr>
          <w:ilvl w:val="0"/>
          <w:numId w:val="2"/>
        </w:numPr>
        <w:spacing w:after="60" w:before="40"/>
      </w:pPr>
      <w:r>
        <w:rPr>
          <w:rFonts w:ascii="Arial" w:cs="Arial" w:eastAsia="Arial" w:hAnsi="Arial"/>
          <w:color w:val="1A1A2E"/>
          <w:sz w:val="20"/>
          <w:szCs w:val="20"/>
        </w:rPr>
        <w:t xml:space="preserve">Contact lenses: $150 per year (in lieu of frames)</w:t>
      </w:r>
    </w:p>
    <w:p>
      <w:pPr>
        <w:pStyle w:val="ListParagraph"/>
        <w:numPr>
          <w:ilvl w:val="0"/>
          <w:numId w:val="2"/>
        </w:numPr>
        <w:spacing w:after="60" w:before="40"/>
      </w:pPr>
      <w:r>
        <w:rPr>
          <w:rFonts w:ascii="Arial" w:cs="Arial" w:eastAsia="Arial" w:hAnsi="Arial"/>
          <w:color w:val="1A1A2E"/>
          <w:sz w:val="20"/>
          <w:szCs w:val="20"/>
        </w:rPr>
        <w:t xml:space="preserve">Laser eye surgery (LASIK): 15% discount through network providers</w:t>
      </w:r>
    </w:p>
    <w:p>
      <w:pPr>
        <w:spacing w:after="0" w:before="12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3.3 Dependent Coverage</w:t>
      </w:r>
    </w:p>
    <w:p>
      <w:pPr>
        <w:spacing w:after="80" w:before="60" w:line="320"/>
      </w:pPr>
      <w:r>
        <w:rPr>
          <w:rFonts w:ascii="Arial" w:cs="Arial" w:eastAsia="Arial" w:hAnsi="Arial"/>
          <w:color w:val="1A1A2E"/>
          <w:sz w:val="20"/>
          <w:szCs w:val="20"/>
        </w:rPr>
        <w:t xml:space="preserve">Employees may enroll the following dependents in health coverage: legal spouses or domestic partners, natural or legally adopted children under age 26, and disabled dependents of any age who are unable to support themselves. Proof of dependency may be requested during enrollment or audit periods.</w:t>
      </w:r>
    </w:p>
    <w:p>
      <w:r>
        <w:br w:type="page"/>
      </w:r>
    </w:p>
    <w:p>
      <w:pPr>
        <w:pStyle w:val="Heading1"/>
        <w:spacing w:after="160" w:before="360"/>
      </w:pPr>
      <w:r>
        <w:rPr>
          <w:rFonts w:ascii="Arial" w:cs="Arial" w:eastAsia="Arial" w:hAnsi="Arial"/>
          <w:b/>
          <w:bCs/>
          <w:color w:val="1B4F72"/>
          <w:sz w:val="34"/>
          <w:szCs w:val="34"/>
        </w:rPr>
        <w:t xml:space="preserve">4. Life Insurance &amp; Disability Benefits</w:t>
      </w:r>
    </w:p>
    <w:p>
      <w:pPr>
        <w:spacing w:after="80" w:before="60" w:line="320"/>
      </w:pPr>
      <w:r>
        <w:rPr>
          <w:rFonts w:ascii="Arial" w:cs="Arial" w:eastAsia="Arial" w:hAnsi="Arial"/>
          <w:color w:val="1A1A2E"/>
          <w:sz w:val="20"/>
          <w:szCs w:val="20"/>
        </w:rPr>
        <w:t xml:space="preserve">The Company provides life insurance and income protection benefits to support employees and their families in the event of serious illness, injury, or death.</w:t>
      </w:r>
    </w:p>
    <w:p>
      <w:pPr>
        <w:spacing w:after="0" w:before="8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4.1 Group Term Life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Benefit Component</w:t>
            </w:r>
          </w:p>
        </w:tc>
        <w:tc>
          <w:tcPr>
            <w:tcW w:type="dxa" w:w="624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Basic Coverage (Company-paid)</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2x annual base salary, up to $500,000</w:t>
            </w:r>
          </w:p>
        </w:tc>
      </w:tr>
      <w:tr>
        <w:tc>
          <w:tcPr>
            <w:tcW w:type="dxa" w:w="312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bCs/>
                <w:color w:val="1A1A2E"/>
                <w:sz w:val="20"/>
                <w:szCs w:val="20"/>
              </w:rPr>
              <w:t xml:space="preserve">Supplemental Coverage (Employee-paid)</w:t>
            </w:r>
          </w:p>
        </w:tc>
        <w:tc>
          <w:tcPr>
            <w:tcW w:type="dxa" w:w="624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val="false"/>
                <w:bCs w:val="false"/>
                <w:color w:val="1A1A2E"/>
                <w:sz w:val="20"/>
                <w:szCs w:val="20"/>
              </w:rPr>
              <w:t xml:space="preserve">Up to 4x additional salary; evidence of insurability may be required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Spouse/Domestic Partner Coverage</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$25,000 or up to 50% of employee coverage</w:t>
            </w:r>
          </w:p>
        </w:tc>
      </w:tr>
      <w:tr>
        <w:tc>
          <w:tcPr>
            <w:tcW w:type="dxa" w:w="312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bCs/>
                <w:color w:val="1A1A2E"/>
                <w:sz w:val="20"/>
                <w:szCs w:val="20"/>
              </w:rPr>
              <w:t xml:space="preserve">Dependent Child Coverage</w:t>
            </w:r>
          </w:p>
        </w:tc>
        <w:tc>
          <w:tcPr>
            <w:tcW w:type="dxa" w:w="624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val="false"/>
                <w:bCs w:val="false"/>
                <w:color w:val="1A1A2E"/>
                <w:sz w:val="20"/>
                <w:szCs w:val="20"/>
              </w:rPr>
              <w:t xml:space="preserve">$10,000 per child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Accidental Death &amp; Dismemberment</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Matching coverage included at no added cost</w:t>
            </w:r>
          </w:p>
        </w:tc>
      </w:tr>
      <w:tr>
        <w:tc>
          <w:tcPr>
            <w:tcW w:type="dxa" w:w="312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bCs/>
                <w:color w:val="1A1A2E"/>
                <w:sz w:val="20"/>
                <w:szCs w:val="20"/>
              </w:rPr>
              <w:t xml:space="preserve">Beneficiary Designation</w:t>
            </w:r>
          </w:p>
        </w:tc>
        <w:tc>
          <w:tcPr>
            <w:tcW w:type="dxa" w:w="624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val="false"/>
                <w:bCs w:val="false"/>
                <w:color w:val="1A1A2E"/>
                <w:sz w:val="20"/>
                <w:szCs w:val="20"/>
              </w:rPr>
              <w:t xml:space="preserve">At enrollment; updatable at any time via HR portal</w:t>
            </w:r>
          </w:p>
        </w:tc>
      </w:tr>
    </w:tbl>
    <w:p>
      <w:pPr>
        <w:spacing w:after="0" w:before="12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4.2 Short-Term Disability (STD)</w:t>
      </w:r>
    </w:p>
    <w:p>
      <w:pPr>
        <w:spacing w:after="80" w:before="60" w:line="320"/>
      </w:pPr>
      <w:r>
        <w:rPr>
          <w:rFonts w:ascii="Arial" w:cs="Arial" w:eastAsia="Arial" w:hAnsi="Arial"/>
          <w:color w:val="1A1A2E"/>
          <w:sz w:val="20"/>
          <w:szCs w:val="20"/>
        </w:rPr>
        <w:t xml:space="preserve">Short-term disability provides income replacement for employees temporarily unable to work due to a non-work-related illness or injury.</w:t>
      </w:r>
    </w:p>
    <w:p>
      <w:pPr>
        <w:spacing w:after="0" w:before="60"/>
      </w:pPr>
      <w:r>
        <w:t xml:space="preserve"/>
      </w:r>
    </w:p>
    <w:p>
      <w:pPr>
        <w:pStyle w:val="ListParagraph"/>
        <w:numPr>
          <w:ilvl w:val="0"/>
          <w:numId w:val="2"/>
        </w:numPr>
        <w:spacing w:after="60" w:before="40"/>
      </w:pPr>
      <w:r>
        <w:rPr>
          <w:rFonts w:ascii="Arial" w:cs="Arial" w:eastAsia="Arial" w:hAnsi="Arial"/>
          <w:color w:val="1A1A2E"/>
          <w:sz w:val="20"/>
          <w:szCs w:val="20"/>
        </w:rPr>
        <w:t xml:space="preserve">Benefit Amount: 70% of base weekly salary</w:t>
      </w:r>
    </w:p>
    <w:p>
      <w:pPr>
        <w:pStyle w:val="ListParagraph"/>
        <w:numPr>
          <w:ilvl w:val="0"/>
          <w:numId w:val="2"/>
        </w:numPr>
        <w:spacing w:after="60" w:before="40"/>
      </w:pPr>
      <w:r>
        <w:rPr>
          <w:rFonts w:ascii="Arial" w:cs="Arial" w:eastAsia="Arial" w:hAnsi="Arial"/>
          <w:color w:val="1A1A2E"/>
          <w:sz w:val="20"/>
          <w:szCs w:val="20"/>
        </w:rPr>
        <w:t xml:space="preserve">Waiting Period (Elimination Period): 7 calendar days</w:t>
      </w:r>
    </w:p>
    <w:p>
      <w:pPr>
        <w:pStyle w:val="ListParagraph"/>
        <w:numPr>
          <w:ilvl w:val="0"/>
          <w:numId w:val="2"/>
        </w:numPr>
        <w:spacing w:after="60" w:before="40"/>
      </w:pPr>
      <w:r>
        <w:rPr>
          <w:rFonts w:ascii="Arial" w:cs="Arial" w:eastAsia="Arial" w:hAnsi="Arial"/>
          <w:color w:val="1A1A2E"/>
          <w:sz w:val="20"/>
          <w:szCs w:val="20"/>
        </w:rPr>
        <w:t xml:space="preserve">Benefit Duration: Up to 12 weeks</w:t>
      </w:r>
    </w:p>
    <w:p>
      <w:pPr>
        <w:pStyle w:val="ListParagraph"/>
        <w:numPr>
          <w:ilvl w:val="0"/>
          <w:numId w:val="2"/>
        </w:numPr>
        <w:spacing w:after="60" w:before="40"/>
      </w:pPr>
      <w:r>
        <w:rPr>
          <w:rFonts w:ascii="Arial" w:cs="Arial" w:eastAsia="Arial" w:hAnsi="Arial"/>
          <w:color w:val="1A1A2E"/>
          <w:sz w:val="20"/>
          <w:szCs w:val="20"/>
        </w:rPr>
        <w:t xml:space="preserve">Coverage is Company-paid for full-time employees</w:t>
      </w:r>
    </w:p>
    <w:p>
      <w:pPr>
        <w:pStyle w:val="ListParagraph"/>
        <w:numPr>
          <w:ilvl w:val="0"/>
          <w:numId w:val="2"/>
        </w:numPr>
        <w:spacing w:after="60" w:before="40"/>
      </w:pPr>
      <w:r>
        <w:rPr>
          <w:rFonts w:ascii="Arial" w:cs="Arial" w:eastAsia="Arial" w:hAnsi="Arial"/>
          <w:color w:val="1A1A2E"/>
          <w:sz w:val="20"/>
          <w:szCs w:val="20"/>
        </w:rPr>
        <w:t xml:space="preserve">Coordinates with any applicable state disability insurance programs</w:t>
      </w:r>
    </w:p>
    <w:p>
      <w:pPr>
        <w:spacing w:after="0" w:before="12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4.3 Long-Term Disability (LTD)</w:t>
      </w:r>
    </w:p>
    <w:p>
      <w:pPr>
        <w:spacing w:after="80" w:before="60" w:line="320"/>
      </w:pPr>
      <w:r>
        <w:rPr>
          <w:rFonts w:ascii="Arial" w:cs="Arial" w:eastAsia="Arial" w:hAnsi="Arial"/>
          <w:color w:val="1A1A2E"/>
          <w:sz w:val="20"/>
          <w:szCs w:val="20"/>
        </w:rPr>
        <w:t xml:space="preserve">Long-term disability coverage provides extended income protection for employees with serious, ongoing medical conditions preventing them from working.</w:t>
      </w:r>
    </w:p>
    <w:p>
      <w:pPr>
        <w:spacing w:after="0" w:before="60"/>
      </w:pPr>
      <w:r>
        <w:t xml:space="preserve"/>
      </w:r>
    </w:p>
    <w:p>
      <w:pPr>
        <w:pStyle w:val="ListParagraph"/>
        <w:numPr>
          <w:ilvl w:val="0"/>
          <w:numId w:val="2"/>
        </w:numPr>
        <w:spacing w:after="60" w:before="40"/>
      </w:pPr>
      <w:r>
        <w:rPr>
          <w:rFonts w:ascii="Arial" w:cs="Arial" w:eastAsia="Arial" w:hAnsi="Arial"/>
          <w:color w:val="1A1A2E"/>
          <w:sz w:val="20"/>
          <w:szCs w:val="20"/>
        </w:rPr>
        <w:t xml:space="preserve">Benefit Amount: 60% of pre-disability monthly earnings</w:t>
      </w:r>
    </w:p>
    <w:p>
      <w:pPr>
        <w:pStyle w:val="ListParagraph"/>
        <w:numPr>
          <w:ilvl w:val="0"/>
          <w:numId w:val="2"/>
        </w:numPr>
        <w:spacing w:after="60" w:before="40"/>
      </w:pPr>
      <w:r>
        <w:rPr>
          <w:rFonts w:ascii="Arial" w:cs="Arial" w:eastAsia="Arial" w:hAnsi="Arial"/>
          <w:color w:val="1A1A2E"/>
          <w:sz w:val="20"/>
          <w:szCs w:val="20"/>
        </w:rPr>
        <w:t xml:space="preserve">Maximum Monthly Benefit: $15,000</w:t>
      </w:r>
    </w:p>
    <w:p>
      <w:pPr>
        <w:pStyle w:val="ListParagraph"/>
        <w:numPr>
          <w:ilvl w:val="0"/>
          <w:numId w:val="2"/>
        </w:numPr>
        <w:spacing w:after="60" w:before="40"/>
      </w:pPr>
      <w:r>
        <w:rPr>
          <w:rFonts w:ascii="Arial" w:cs="Arial" w:eastAsia="Arial" w:hAnsi="Arial"/>
          <w:color w:val="1A1A2E"/>
          <w:sz w:val="20"/>
          <w:szCs w:val="20"/>
        </w:rPr>
        <w:t xml:space="preserve">Elimination Period: 90 days (coordinates with STD benefit end)</w:t>
      </w:r>
    </w:p>
    <w:p>
      <w:pPr>
        <w:pStyle w:val="ListParagraph"/>
        <w:numPr>
          <w:ilvl w:val="0"/>
          <w:numId w:val="2"/>
        </w:numPr>
        <w:spacing w:after="60" w:before="40"/>
      </w:pPr>
      <w:r>
        <w:rPr>
          <w:rFonts w:ascii="Arial" w:cs="Arial" w:eastAsia="Arial" w:hAnsi="Arial"/>
          <w:color w:val="1A1A2E"/>
          <w:sz w:val="20"/>
          <w:szCs w:val="20"/>
        </w:rPr>
        <w:t xml:space="preserve">Benefit Duration: To age 65 or Social Security Normal Retirement Age</w:t>
      </w:r>
    </w:p>
    <w:p>
      <w:pPr>
        <w:pStyle w:val="ListParagraph"/>
        <w:numPr>
          <w:ilvl w:val="0"/>
          <w:numId w:val="2"/>
        </w:numPr>
        <w:spacing w:after="60" w:before="40"/>
      </w:pPr>
      <w:r>
        <w:rPr>
          <w:rFonts w:ascii="Arial" w:cs="Arial" w:eastAsia="Arial" w:hAnsi="Arial"/>
          <w:color w:val="1A1A2E"/>
          <w:sz w:val="20"/>
          <w:szCs w:val="20"/>
        </w:rPr>
        <w:t xml:space="preserve">Own Occupation definition of disability for first 24 months; Any Occupation thereafter</w:t>
      </w:r>
    </w:p>
    <w:p>
      <w:pPr>
        <w:pStyle w:val="ListParagraph"/>
        <w:numPr>
          <w:ilvl w:val="0"/>
          <w:numId w:val="2"/>
        </w:numPr>
        <w:spacing w:after="60" w:before="40"/>
      </w:pPr>
      <w:r>
        <w:rPr>
          <w:rFonts w:ascii="Arial" w:cs="Arial" w:eastAsia="Arial" w:hAnsi="Arial"/>
          <w:color w:val="1A1A2E"/>
          <w:sz w:val="20"/>
          <w:szCs w:val="20"/>
        </w:rPr>
        <w:t xml:space="preserve">Company covers 100% of premium for Standard and Premium plan employees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1B4F72" w:sz="12"/>
              <w:bottom w:val="single" w:color="2E86C1" w:sz="4"/>
              <w:right w:val="none" w:color="FFFFFF" w:sz="0"/>
            </w:tcBorders>
            <w:shd w:fill="D6EAF8" w:val="clear"/>
            <w:tcMar>
              <w:top w:type="dxa" w:w="120"/>
              <w:left w:type="dxa" w:w="200"/>
              <w:bottom w:type="dxa" w:w="120"/>
              <w:right w:type="dxa" w:w="120"/>
            </w:tcMar>
          </w:tcPr>
          <w:p>
            <w:pPr>
              <w:spacing w:after="40" w:before="40"/>
            </w:pPr>
            <w:r>
              <w:rPr>
                <w:rFonts w:ascii="Arial" w:cs="Arial" w:eastAsia="Arial" w:hAnsi="Arial"/>
                <w:i/>
                <w:iCs/>
                <w:color w:val="154360"/>
                <w:sz w:val="19"/>
                <w:szCs w:val="19"/>
              </w:rPr>
              <w:t xml:space="preserve">Tip: Employees are strongly encouraged to designate or update beneficiaries when experiencing a qualifying life event</w:t>
            </w:r>
          </w:p>
          <w:p>
            <w:pPr>
              <w:spacing w:after="40" w:before="40"/>
            </w:pPr>
            <w:r>
              <w:rPr>
                <w:rFonts w:ascii="Arial" w:cs="Arial" w:eastAsia="Arial" w:hAnsi="Arial"/>
                <w:i w:val="false"/>
                <w:iCs w:val="false"/>
                <w:color w:val="154360"/>
                <w:sz w:val="19"/>
                <w:szCs w:val="19"/>
              </w:rPr>
              <w:t xml:space="preserve">such as marriage, divorce, or birth of a child. Beneficiary updates can be made at any time in the HR portal.</w:t>
            </w:r>
          </w:p>
        </w:tc>
      </w:tr>
    </w:tbl>
    <w:p>
      <w:r>
        <w:br w:type="page"/>
      </w:r>
    </w:p>
    <w:p>
      <w:pPr>
        <w:pStyle w:val="Heading1"/>
        <w:spacing w:after="160" w:before="360"/>
      </w:pPr>
      <w:r>
        <w:rPr>
          <w:rFonts w:ascii="Arial" w:cs="Arial" w:eastAsia="Arial" w:hAnsi="Arial"/>
          <w:b/>
          <w:bCs/>
          <w:color w:val="1B4F72"/>
          <w:sz w:val="34"/>
          <w:szCs w:val="34"/>
        </w:rPr>
        <w:t xml:space="preserve">5. Wellness &amp; Fitness Benefits</w:t>
      </w:r>
    </w:p>
    <w:p>
      <w:pPr>
        <w:spacing w:after="80" w:before="60" w:line="320"/>
      </w:pPr>
      <w:r>
        <w:rPr>
          <w:rFonts w:ascii="Arial" w:cs="Arial" w:eastAsia="Arial" w:hAnsi="Arial"/>
          <w:color w:val="1A1A2E"/>
          <w:sz w:val="20"/>
          <w:szCs w:val="20"/>
        </w:rPr>
        <w:t xml:space="preserve">The Company invests in the holistic health of its employees through a robust wellness and fitness program. We believe that healthy employees are more engaged, productive, and fulfilled — both inside and outside of work.</w:t>
      </w:r>
    </w:p>
    <w:p>
      <w:pPr>
        <w:spacing w:after="0" w:before="8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5.1 Wellness Allowance</w:t>
      </w:r>
    </w:p>
    <w:p>
      <w:pPr>
        <w:spacing w:after="80" w:before="60" w:line="320"/>
      </w:pPr>
      <w:r>
        <w:rPr>
          <w:rFonts w:ascii="Arial" w:cs="Arial" w:eastAsia="Arial" w:hAnsi="Arial"/>
          <w:color w:val="1A1A2E"/>
          <w:sz w:val="20"/>
          <w:szCs w:val="20"/>
        </w:rPr>
        <w:t xml:space="preserve">All full-time and part-time employees receive an annual Wellness Allowance to spend on qualifying wellness activities and purchases.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624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Full-Time Employees</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$1,200 per year ($100/month)</w:t>
            </w:r>
          </w:p>
        </w:tc>
      </w:tr>
      <w:tr>
        <w:tc>
          <w:tcPr>
            <w:tcW w:type="dxa" w:w="312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bCs/>
                <w:color w:val="1A1A2E"/>
                <w:sz w:val="20"/>
                <w:szCs w:val="20"/>
              </w:rPr>
              <w:t xml:space="preserve">Part-Time Employees (&gt;20 hrs)</w:t>
            </w:r>
          </w:p>
        </w:tc>
        <w:tc>
          <w:tcPr>
            <w:tcW w:type="dxa" w:w="624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val="false"/>
                <w:bCs w:val="false"/>
                <w:color w:val="1A1A2E"/>
                <w:sz w:val="20"/>
                <w:szCs w:val="20"/>
              </w:rPr>
              <w:t xml:space="preserve">$600 per year ($50/month)</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Reimbursement Method</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Direct reimbursement via expense report or pre-loaded wellness card</w:t>
            </w:r>
          </w:p>
        </w:tc>
      </w:tr>
      <w:tr>
        <w:tc>
          <w:tcPr>
            <w:tcW w:type="dxa" w:w="312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bCs/>
                <w:color w:val="1A1A2E"/>
                <w:sz w:val="20"/>
                <w:szCs w:val="20"/>
              </w:rPr>
              <w:t xml:space="preserve">Rollover Policy</w:t>
            </w:r>
          </w:p>
        </w:tc>
        <w:tc>
          <w:tcPr>
            <w:tcW w:type="dxa" w:w="624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val="false"/>
                <w:bCs w:val="false"/>
                <w:color w:val="1A1A2E"/>
                <w:sz w:val="20"/>
                <w:szCs w:val="20"/>
              </w:rPr>
              <w:t xml:space="preserve">Up to $200 unused balance rolls over to next calendar year</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Tax Treatment</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Non-taxable up to IRS limits for qualifying expenses</w:t>
            </w:r>
          </w:p>
        </w:tc>
      </w:tr>
    </w:tbl>
    <w:p>
      <w:pPr>
        <w:spacing w:after="0" w:before="100"/>
      </w:pPr>
      <w:r>
        <w:t xml:space="preserve"/>
      </w:r>
    </w:p>
    <w:p>
      <w:pPr>
        <w:pStyle w:val="Heading3"/>
        <w:spacing w:after="80" w:before="200"/>
      </w:pPr>
      <w:r>
        <w:rPr>
          <w:rFonts w:ascii="Arial" w:cs="Arial" w:eastAsia="Arial" w:hAnsi="Arial"/>
          <w:b/>
          <w:bCs/>
          <w:color w:val="154360"/>
          <w:sz w:val="22"/>
          <w:szCs w:val="22"/>
        </w:rPr>
        <w:t xml:space="preserve">Qualifying Wellness Expenses</w:t>
      </w:r>
    </w:p>
    <w:p>
      <w:pPr>
        <w:pStyle w:val="ListParagraph"/>
        <w:numPr>
          <w:ilvl w:val="0"/>
          <w:numId w:val="2"/>
        </w:numPr>
        <w:spacing w:after="60" w:before="40"/>
      </w:pPr>
      <w:r>
        <w:rPr>
          <w:rFonts w:ascii="Arial" w:cs="Arial" w:eastAsia="Arial" w:hAnsi="Arial"/>
          <w:color w:val="1A1A2E"/>
          <w:sz w:val="20"/>
          <w:szCs w:val="20"/>
        </w:rPr>
        <w:t xml:space="preserve">Gym memberships and fitness class subscriptions</w:t>
      </w:r>
    </w:p>
    <w:p>
      <w:pPr>
        <w:pStyle w:val="ListParagraph"/>
        <w:numPr>
          <w:ilvl w:val="0"/>
          <w:numId w:val="2"/>
        </w:numPr>
        <w:spacing w:after="60" w:before="40"/>
      </w:pPr>
      <w:r>
        <w:rPr>
          <w:rFonts w:ascii="Arial" w:cs="Arial" w:eastAsia="Arial" w:hAnsi="Arial"/>
          <w:color w:val="1A1A2E"/>
          <w:sz w:val="20"/>
          <w:szCs w:val="20"/>
        </w:rPr>
        <w:t xml:space="preserve">Home fitness equipment (up to $300 per year)</w:t>
      </w:r>
    </w:p>
    <w:p>
      <w:pPr>
        <w:pStyle w:val="ListParagraph"/>
        <w:numPr>
          <w:ilvl w:val="0"/>
          <w:numId w:val="2"/>
        </w:numPr>
        <w:spacing w:after="60" w:before="40"/>
      </w:pPr>
      <w:r>
        <w:rPr>
          <w:rFonts w:ascii="Arial" w:cs="Arial" w:eastAsia="Arial" w:hAnsi="Arial"/>
          <w:color w:val="1A1A2E"/>
          <w:sz w:val="20"/>
          <w:szCs w:val="20"/>
        </w:rPr>
        <w:t xml:space="preserve">Nutrition counseling and registered dietitian sessions</w:t>
      </w:r>
    </w:p>
    <w:p>
      <w:pPr>
        <w:pStyle w:val="ListParagraph"/>
        <w:numPr>
          <w:ilvl w:val="0"/>
          <w:numId w:val="2"/>
        </w:numPr>
        <w:spacing w:after="60" w:before="40"/>
      </w:pPr>
      <w:r>
        <w:rPr>
          <w:rFonts w:ascii="Arial" w:cs="Arial" w:eastAsia="Arial" w:hAnsi="Arial"/>
          <w:color w:val="1A1A2E"/>
          <w:sz w:val="20"/>
          <w:szCs w:val="20"/>
        </w:rPr>
        <w:t xml:space="preserve">Ergonomic home office equipment</w:t>
      </w:r>
    </w:p>
    <w:p>
      <w:pPr>
        <w:pStyle w:val="ListParagraph"/>
        <w:numPr>
          <w:ilvl w:val="0"/>
          <w:numId w:val="2"/>
        </w:numPr>
        <w:spacing w:after="60" w:before="40"/>
      </w:pPr>
      <w:r>
        <w:rPr>
          <w:rFonts w:ascii="Arial" w:cs="Arial" w:eastAsia="Arial" w:hAnsi="Arial"/>
          <w:color w:val="1A1A2E"/>
          <w:sz w:val="20"/>
          <w:szCs w:val="20"/>
        </w:rPr>
        <w:t xml:space="preserve">Meditation and mindfulness app subscriptions (Calm, Headspace, etc.)</w:t>
      </w:r>
    </w:p>
    <w:p>
      <w:pPr>
        <w:pStyle w:val="ListParagraph"/>
        <w:numPr>
          <w:ilvl w:val="0"/>
          <w:numId w:val="2"/>
        </w:numPr>
        <w:spacing w:after="60" w:before="40"/>
      </w:pPr>
      <w:r>
        <w:rPr>
          <w:rFonts w:ascii="Arial" w:cs="Arial" w:eastAsia="Arial" w:hAnsi="Arial"/>
          <w:color w:val="1A1A2E"/>
          <w:sz w:val="20"/>
          <w:szCs w:val="20"/>
        </w:rPr>
        <w:t xml:space="preserve">Preventive health screenings and vaccines not covered by insurance</w:t>
      </w:r>
    </w:p>
    <w:p>
      <w:pPr>
        <w:pStyle w:val="ListParagraph"/>
        <w:numPr>
          <w:ilvl w:val="0"/>
          <w:numId w:val="2"/>
        </w:numPr>
        <w:spacing w:after="60" w:before="40"/>
      </w:pPr>
      <w:r>
        <w:rPr>
          <w:rFonts w:ascii="Arial" w:cs="Arial" w:eastAsia="Arial" w:hAnsi="Arial"/>
          <w:color w:val="1A1A2E"/>
          <w:sz w:val="20"/>
          <w:szCs w:val="20"/>
        </w:rPr>
        <w:t xml:space="preserve">Wearable fitness trackers and health monitoring devices</w:t>
      </w:r>
    </w:p>
    <w:p>
      <w:pPr>
        <w:pStyle w:val="ListParagraph"/>
        <w:numPr>
          <w:ilvl w:val="0"/>
          <w:numId w:val="2"/>
        </w:numPr>
        <w:spacing w:after="60" w:before="40"/>
      </w:pPr>
      <w:r>
        <w:rPr>
          <w:rFonts w:ascii="Arial" w:cs="Arial" w:eastAsia="Arial" w:hAnsi="Arial"/>
          <w:color w:val="1A1A2E"/>
          <w:sz w:val="20"/>
          <w:szCs w:val="20"/>
        </w:rPr>
        <w:t xml:space="preserve">Running shoes and athletic gear (up to $150 per year)</w:t>
      </w:r>
    </w:p>
    <w:p>
      <w:pPr>
        <w:pStyle w:val="ListParagraph"/>
        <w:numPr>
          <w:ilvl w:val="0"/>
          <w:numId w:val="2"/>
        </w:numPr>
        <w:spacing w:after="60" w:before="40"/>
      </w:pPr>
      <w:r>
        <w:rPr>
          <w:rFonts w:ascii="Arial" w:cs="Arial" w:eastAsia="Arial" w:hAnsi="Arial"/>
          <w:color w:val="1A1A2E"/>
          <w:sz w:val="20"/>
          <w:szCs w:val="20"/>
        </w:rPr>
        <w:t xml:space="preserve">Smoking cessation programs and related aids</w:t>
      </w:r>
    </w:p>
    <w:p>
      <w:pPr>
        <w:spacing w:after="0" w:before="12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5.2 Fitness Benefits</w:t>
      </w:r>
    </w:p>
    <w:p>
      <w:pPr>
        <w:spacing w:after="80" w:before="60" w:line="320"/>
      </w:pPr>
      <w:r>
        <w:rPr>
          <w:rFonts w:ascii="Arial" w:cs="Arial" w:eastAsia="Arial" w:hAnsi="Arial"/>
          <w:color w:val="1A1A2E"/>
          <w:sz w:val="20"/>
          <w:szCs w:val="20"/>
        </w:rPr>
        <w:t xml:space="preserve">In addition to the wellness allowance, the Company offers the following dedicated fitness benefits:</w:t>
      </w:r>
    </w:p>
    <w:p>
      <w:pPr>
        <w:spacing w:after="0" w:before="60"/>
      </w:pPr>
      <w:r>
        <w:t xml:space="preserve"/>
      </w:r>
    </w:p>
    <w:p>
      <w:pPr>
        <w:pStyle w:val="ListParagraph"/>
        <w:numPr>
          <w:ilvl w:val="0"/>
          <w:numId w:val="2"/>
        </w:numPr>
        <w:spacing w:after="60" w:before="40"/>
      </w:pPr>
      <w:r>
        <w:rPr>
          <w:rFonts w:ascii="Arial" w:cs="Arial" w:eastAsia="Arial" w:hAnsi="Arial"/>
          <w:color w:val="1A1A2E"/>
          <w:sz w:val="20"/>
          <w:szCs w:val="20"/>
        </w:rPr>
        <w:t xml:space="preserve">On-Site Fitness Center: Free access to Company gym facilities where available at office locations.</w:t>
      </w:r>
    </w:p>
    <w:p>
      <w:pPr>
        <w:pStyle w:val="ListParagraph"/>
        <w:numPr>
          <w:ilvl w:val="0"/>
          <w:numId w:val="2"/>
        </w:numPr>
        <w:spacing w:after="60" w:before="40"/>
      </w:pPr>
      <w:r>
        <w:rPr>
          <w:rFonts w:ascii="Arial" w:cs="Arial" w:eastAsia="Arial" w:hAnsi="Arial"/>
          <w:color w:val="1A1A2E"/>
          <w:sz w:val="20"/>
          <w:szCs w:val="20"/>
        </w:rPr>
        <w:t xml:space="preserve">Corporate Gym Discounts: Negotiated rates with national gym chains including up to 30% off standard membership fees.</w:t>
      </w:r>
    </w:p>
    <w:p>
      <w:pPr>
        <w:pStyle w:val="ListParagraph"/>
        <w:numPr>
          <w:ilvl w:val="0"/>
          <w:numId w:val="2"/>
        </w:numPr>
        <w:spacing w:after="60" w:before="40"/>
      </w:pPr>
      <w:r>
        <w:rPr>
          <w:rFonts w:ascii="Arial" w:cs="Arial" w:eastAsia="Arial" w:hAnsi="Arial"/>
          <w:color w:val="1A1A2E"/>
          <w:sz w:val="20"/>
          <w:szCs w:val="20"/>
        </w:rPr>
        <w:t xml:space="preserve">Virtual Fitness Classes: Free access to a curated library of live and on-demand fitness classes through the Company's wellness platform.</w:t>
      </w:r>
    </w:p>
    <w:p>
      <w:pPr>
        <w:pStyle w:val="ListParagraph"/>
        <w:numPr>
          <w:ilvl w:val="0"/>
          <w:numId w:val="2"/>
        </w:numPr>
        <w:spacing w:after="60" w:before="40"/>
      </w:pPr>
      <w:r>
        <w:rPr>
          <w:rFonts w:ascii="Arial" w:cs="Arial" w:eastAsia="Arial" w:hAnsi="Arial"/>
          <w:color w:val="1A1A2E"/>
          <w:sz w:val="20"/>
          <w:szCs w:val="20"/>
        </w:rPr>
        <w:t xml:space="preserve">Fitness Challenges: Quarterly step, sleep, and nutrition challenges with rewards up to $150 for participation and achievement.</w:t>
      </w:r>
    </w:p>
    <w:p>
      <w:pPr>
        <w:pStyle w:val="ListParagraph"/>
        <w:numPr>
          <w:ilvl w:val="0"/>
          <w:numId w:val="2"/>
        </w:numPr>
        <w:spacing w:after="60" w:before="40"/>
      </w:pPr>
      <w:r>
        <w:rPr>
          <w:rFonts w:ascii="Arial" w:cs="Arial" w:eastAsia="Arial" w:hAnsi="Arial"/>
          <w:color w:val="1A1A2E"/>
          <w:sz w:val="20"/>
          <w:szCs w:val="20"/>
        </w:rPr>
        <w:t xml:space="preserve">Standing Desks &amp; Ergonomic Support: Available upon request for all employees, subject to availability and manager approval.</w:t>
      </w:r>
    </w:p>
    <w:p>
      <w:pPr>
        <w:spacing w:after="0" w:before="12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5.3 Annual Wellness Screening</w:t>
      </w:r>
    </w:p>
    <w:p>
      <w:pPr>
        <w:spacing w:after="80" w:before="60" w:line="320"/>
      </w:pPr>
      <w:r>
        <w:rPr>
          <w:rFonts w:ascii="Arial" w:cs="Arial" w:eastAsia="Arial" w:hAnsi="Arial"/>
          <w:color w:val="1A1A2E"/>
          <w:sz w:val="20"/>
          <w:szCs w:val="20"/>
        </w:rPr>
        <w:t xml:space="preserve">Employees who complete an annual biometric wellness screening (blood pressure, cholesterol, BMI, blood glucose) receive a $200 credit toward their health insurance premium in the following plan year. Screening is voluntary and results are kept strictly confidential.</w:t>
      </w:r>
    </w:p>
    <w:p>
      <w:r>
        <w:br w:type="page"/>
      </w:r>
    </w:p>
    <w:p>
      <w:pPr>
        <w:pStyle w:val="Heading1"/>
        <w:spacing w:after="160" w:before="360"/>
      </w:pPr>
      <w:r>
        <w:rPr>
          <w:rFonts w:ascii="Arial" w:cs="Arial" w:eastAsia="Arial" w:hAnsi="Arial"/>
          <w:b/>
          <w:bCs/>
          <w:color w:val="1B4F72"/>
          <w:sz w:val="34"/>
          <w:szCs w:val="34"/>
        </w:rPr>
        <w:t xml:space="preserve">6. Mental Health Support &amp; EAP</w:t>
      </w:r>
    </w:p>
    <w:p>
      <w:pPr>
        <w:spacing w:after="80" w:before="60" w:line="320"/>
      </w:pPr>
      <w:r>
        <w:rPr>
          <w:rFonts w:ascii="Arial" w:cs="Arial" w:eastAsia="Arial" w:hAnsi="Arial"/>
          <w:color w:val="1A1A2E"/>
          <w:sz w:val="20"/>
          <w:szCs w:val="20"/>
        </w:rPr>
        <w:t xml:space="preserve">Mental health is a core pillar of our employee benefits strategy. The Company provides multiple layers of confidential support to address a broad range of emotional, psychological, and life challenges.</w:t>
      </w:r>
    </w:p>
    <w:p>
      <w:pPr>
        <w:spacing w:after="0" w:before="8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6.1 Mental Health Coverage</w:t>
      </w:r>
    </w:p>
    <w:p>
      <w:pPr>
        <w:spacing w:after="80" w:before="60" w:line="320"/>
      </w:pPr>
      <w:r>
        <w:rPr>
          <w:rFonts w:ascii="Arial" w:cs="Arial" w:eastAsia="Arial" w:hAnsi="Arial"/>
          <w:color w:val="1A1A2E"/>
          <w:sz w:val="20"/>
          <w:szCs w:val="20"/>
        </w:rPr>
        <w:t xml:space="preserve">All health plans include comprehensive mental and behavioral health benefits on par with physical health benefits, in compliance with the Mental Health Parity and Addiction Equity Act (MHPAEA).</w:t>
      </w:r>
    </w:p>
    <w:p>
      <w:pPr>
        <w:spacing w:after="0" w:before="60"/>
      </w:pPr>
      <w:r>
        <w:t xml:space="preserve"/>
      </w:r>
    </w:p>
    <w:p>
      <w:pPr>
        <w:pStyle w:val="ListParagraph"/>
        <w:numPr>
          <w:ilvl w:val="0"/>
          <w:numId w:val="2"/>
        </w:numPr>
        <w:spacing w:after="60" w:before="40"/>
      </w:pPr>
      <w:r>
        <w:rPr>
          <w:rFonts w:ascii="Arial" w:cs="Arial" w:eastAsia="Arial" w:hAnsi="Arial"/>
          <w:color w:val="1A1A2E"/>
          <w:sz w:val="20"/>
          <w:szCs w:val="20"/>
        </w:rPr>
        <w:t xml:space="preserve">Outpatient Therapy: 30 sessions per year covered at plan copay rates; no prior authorization required for the first 8 sessions.</w:t>
      </w:r>
    </w:p>
    <w:p>
      <w:pPr>
        <w:pStyle w:val="ListParagraph"/>
        <w:numPr>
          <w:ilvl w:val="0"/>
          <w:numId w:val="2"/>
        </w:numPr>
        <w:spacing w:after="60" w:before="40"/>
      </w:pPr>
      <w:r>
        <w:rPr>
          <w:rFonts w:ascii="Arial" w:cs="Arial" w:eastAsia="Arial" w:hAnsi="Arial"/>
          <w:color w:val="1A1A2E"/>
          <w:sz w:val="20"/>
          <w:szCs w:val="20"/>
        </w:rPr>
        <w:t xml:space="preserve">Inpatient Psychiatric Care: Covered under the same terms as inpatient medical care.</w:t>
      </w:r>
    </w:p>
    <w:p>
      <w:pPr>
        <w:pStyle w:val="ListParagraph"/>
        <w:numPr>
          <w:ilvl w:val="0"/>
          <w:numId w:val="2"/>
        </w:numPr>
        <w:spacing w:after="60" w:before="40"/>
      </w:pPr>
      <w:r>
        <w:rPr>
          <w:rFonts w:ascii="Arial" w:cs="Arial" w:eastAsia="Arial" w:hAnsi="Arial"/>
          <w:color w:val="1A1A2E"/>
          <w:sz w:val="20"/>
          <w:szCs w:val="20"/>
        </w:rPr>
        <w:t xml:space="preserve">Substance Use Disorder Treatment: Detox, residential, and outpatient treatment covered in-network.</w:t>
      </w:r>
    </w:p>
    <w:p>
      <w:pPr>
        <w:pStyle w:val="ListParagraph"/>
        <w:numPr>
          <w:ilvl w:val="0"/>
          <w:numId w:val="2"/>
        </w:numPr>
        <w:spacing w:after="60" w:before="40"/>
      </w:pPr>
      <w:r>
        <w:rPr>
          <w:rFonts w:ascii="Arial" w:cs="Arial" w:eastAsia="Arial" w:hAnsi="Arial"/>
          <w:color w:val="1A1A2E"/>
          <w:sz w:val="20"/>
          <w:szCs w:val="20"/>
        </w:rPr>
        <w:t xml:space="preserve">Teletherapy: Licensed therapists available digitally via the Company's mental health platform with a $10 copay per session.</w:t>
      </w:r>
    </w:p>
    <w:p>
      <w:pPr>
        <w:pStyle w:val="ListParagraph"/>
        <w:numPr>
          <w:ilvl w:val="0"/>
          <w:numId w:val="2"/>
        </w:numPr>
        <w:spacing w:after="60" w:before="40"/>
      </w:pPr>
      <w:r>
        <w:rPr>
          <w:rFonts w:ascii="Arial" w:cs="Arial" w:eastAsia="Arial" w:hAnsi="Arial"/>
          <w:color w:val="1A1A2E"/>
          <w:sz w:val="20"/>
          <w:szCs w:val="20"/>
        </w:rPr>
        <w:t xml:space="preserve">Psychiatric Medication Management: Covered under prescription benefit at applicable tier costs.</w:t>
      </w:r>
    </w:p>
    <w:p>
      <w:pPr>
        <w:spacing w:after="0" w:before="12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6.2 Employee Assistance Program (EAP)</w:t>
      </w:r>
    </w:p>
    <w:p>
      <w:pPr>
        <w:spacing w:after="80" w:before="60" w:line="320"/>
      </w:pPr>
      <w:r>
        <w:rPr>
          <w:rFonts w:ascii="Arial" w:cs="Arial" w:eastAsia="Arial" w:hAnsi="Arial"/>
          <w:color w:val="1A1A2E"/>
          <w:sz w:val="20"/>
          <w:szCs w:val="20"/>
        </w:rPr>
        <w:t xml:space="preserve">The Employee Assistance Program (EAP) is a confidential, free resource available to all employees and their household members, regardless of enrollment in a Company health plan.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1B4F72" w:sz="12"/>
              <w:bottom w:val="single" w:color="2E86C1" w:sz="4"/>
              <w:right w:val="none" w:color="FFFFFF" w:sz="0"/>
            </w:tcBorders>
            <w:shd w:fill="D6EAF8" w:val="clear"/>
            <w:tcMar>
              <w:top w:type="dxa" w:w="120"/>
              <w:left w:type="dxa" w:w="200"/>
              <w:bottom w:type="dxa" w:w="120"/>
              <w:right w:type="dxa" w:w="120"/>
            </w:tcMar>
          </w:tcPr>
          <w:p>
            <w:pPr>
              <w:spacing w:after="40" w:before="40"/>
            </w:pPr>
            <w:r>
              <w:rPr>
                <w:rFonts w:ascii="Arial" w:cs="Arial" w:eastAsia="Arial" w:hAnsi="Arial"/>
                <w:i w:val="false"/>
                <w:iCs w:val="false"/>
                <w:color w:val="154360"/>
                <w:sz w:val="19"/>
                <w:szCs w:val="19"/>
              </w:rPr>
              <w:t xml:space="preserve">The EAP is completely confidential. No information about an employee's use of EAP services is shared with the</w:t>
            </w:r>
          </w:p>
          <w:p>
            <w:pPr>
              <w:spacing w:after="40" w:before="40"/>
            </w:pPr>
            <w:r>
              <w:rPr>
                <w:rFonts w:ascii="Arial" w:cs="Arial" w:eastAsia="Arial" w:hAnsi="Arial"/>
                <w:i w:val="false"/>
                <w:iCs w:val="false"/>
                <w:color w:val="154360"/>
                <w:sz w:val="19"/>
                <w:szCs w:val="19"/>
              </w:rPr>
              <w:t xml:space="preserve">Company, managers, or HR unless the employee provides explicit written consent, or as required by law.</w:t>
            </w:r>
          </w:p>
        </w:tc>
      </w:tr>
    </w:tbl>
    <w:p>
      <w:pPr>
        <w:spacing w:after="0" w:before="100"/>
      </w:pPr>
      <w:r>
        <w:t xml:space="preserve"/>
      </w:r>
    </w:p>
    <w:p>
      <w:pPr>
        <w:pStyle w:val="Heading3"/>
        <w:spacing w:after="80" w:before="200"/>
      </w:pPr>
      <w:r>
        <w:rPr>
          <w:rFonts w:ascii="Arial" w:cs="Arial" w:eastAsia="Arial" w:hAnsi="Arial"/>
          <w:b/>
          <w:bCs/>
          <w:color w:val="154360"/>
          <w:sz w:val="22"/>
          <w:szCs w:val="22"/>
        </w:rPr>
        <w:t xml:space="preserve">EAP Services Included</w:t>
      </w:r>
    </w:p>
    <w:p>
      <w:pPr>
        <w:pStyle w:val="ListParagraph"/>
        <w:numPr>
          <w:ilvl w:val="0"/>
          <w:numId w:val="2"/>
        </w:numPr>
        <w:spacing w:after="60" w:before="40"/>
      </w:pPr>
      <w:r>
        <w:rPr>
          <w:rFonts w:ascii="Arial" w:cs="Arial" w:eastAsia="Arial" w:hAnsi="Arial"/>
          <w:color w:val="1A1A2E"/>
          <w:sz w:val="20"/>
          <w:szCs w:val="20"/>
        </w:rPr>
        <w:t xml:space="preserve">Short-term counseling: Up to 8 free sessions per issue, per year with a licensed counselor</w:t>
      </w:r>
    </w:p>
    <w:p>
      <w:pPr>
        <w:pStyle w:val="ListParagraph"/>
        <w:numPr>
          <w:ilvl w:val="0"/>
          <w:numId w:val="2"/>
        </w:numPr>
        <w:spacing w:after="60" w:before="40"/>
      </w:pPr>
      <w:r>
        <w:rPr>
          <w:rFonts w:ascii="Arial" w:cs="Arial" w:eastAsia="Arial" w:hAnsi="Arial"/>
          <w:color w:val="1A1A2E"/>
          <w:sz w:val="20"/>
          <w:szCs w:val="20"/>
        </w:rPr>
        <w:t xml:space="preserve">Financial counseling: Budgeting, debt management, and financial planning consultations</w:t>
      </w:r>
    </w:p>
    <w:p>
      <w:pPr>
        <w:pStyle w:val="ListParagraph"/>
        <w:numPr>
          <w:ilvl w:val="0"/>
          <w:numId w:val="2"/>
        </w:numPr>
        <w:spacing w:after="60" w:before="40"/>
      </w:pPr>
      <w:r>
        <w:rPr>
          <w:rFonts w:ascii="Arial" w:cs="Arial" w:eastAsia="Arial" w:hAnsi="Arial"/>
          <w:color w:val="1A1A2E"/>
          <w:sz w:val="20"/>
          <w:szCs w:val="20"/>
        </w:rPr>
        <w:t xml:space="preserve">Legal advisory: Up to 60 minutes of free legal consultation per issue per year</w:t>
      </w:r>
    </w:p>
    <w:p>
      <w:pPr>
        <w:pStyle w:val="ListParagraph"/>
        <w:numPr>
          <w:ilvl w:val="0"/>
          <w:numId w:val="2"/>
        </w:numPr>
        <w:spacing w:after="60" w:before="40"/>
      </w:pPr>
      <w:r>
        <w:rPr>
          <w:rFonts w:ascii="Arial" w:cs="Arial" w:eastAsia="Arial" w:hAnsi="Arial"/>
          <w:color w:val="1A1A2E"/>
          <w:sz w:val="20"/>
          <w:szCs w:val="20"/>
        </w:rPr>
        <w:t xml:space="preserve">Crisis intervention: 24/7 emergency mental health crisis line</w:t>
      </w:r>
    </w:p>
    <w:p>
      <w:pPr>
        <w:pStyle w:val="ListParagraph"/>
        <w:numPr>
          <w:ilvl w:val="0"/>
          <w:numId w:val="2"/>
        </w:numPr>
        <w:spacing w:after="60" w:before="40"/>
      </w:pPr>
      <w:r>
        <w:rPr>
          <w:rFonts w:ascii="Arial" w:cs="Arial" w:eastAsia="Arial" w:hAnsi="Arial"/>
          <w:color w:val="1A1A2E"/>
          <w:sz w:val="20"/>
          <w:szCs w:val="20"/>
        </w:rPr>
        <w:t xml:space="preserve">Work-life balance coaching: Parenting, eldercare, relationship, and life transition support</w:t>
      </w:r>
    </w:p>
    <w:p>
      <w:pPr>
        <w:pStyle w:val="ListParagraph"/>
        <w:numPr>
          <w:ilvl w:val="0"/>
          <w:numId w:val="2"/>
        </w:numPr>
        <w:spacing w:after="60" w:before="40"/>
      </w:pPr>
      <w:r>
        <w:rPr>
          <w:rFonts w:ascii="Arial" w:cs="Arial" w:eastAsia="Arial" w:hAnsi="Arial"/>
          <w:color w:val="1A1A2E"/>
          <w:sz w:val="20"/>
          <w:szCs w:val="20"/>
        </w:rPr>
        <w:t xml:space="preserve">Substance abuse referral and treatment coordination</w:t>
      </w:r>
    </w:p>
    <w:p>
      <w:pPr>
        <w:pStyle w:val="ListParagraph"/>
        <w:numPr>
          <w:ilvl w:val="0"/>
          <w:numId w:val="2"/>
        </w:numPr>
        <w:spacing w:after="60" w:before="40"/>
      </w:pPr>
      <w:r>
        <w:rPr>
          <w:rFonts w:ascii="Arial" w:cs="Arial" w:eastAsia="Arial" w:hAnsi="Arial"/>
          <w:color w:val="1A1A2E"/>
          <w:sz w:val="20"/>
          <w:szCs w:val="20"/>
        </w:rPr>
        <w:t xml:space="preserve">Grief and bereavement counseling</w:t>
      </w:r>
    </w:p>
    <w:p>
      <w:pPr>
        <w:pStyle w:val="ListParagraph"/>
        <w:numPr>
          <w:ilvl w:val="0"/>
          <w:numId w:val="2"/>
        </w:numPr>
        <w:spacing w:after="60" w:before="40"/>
      </w:pPr>
      <w:r>
        <w:rPr>
          <w:rFonts w:ascii="Arial" w:cs="Arial" w:eastAsia="Arial" w:hAnsi="Arial"/>
          <w:color w:val="1A1A2E"/>
          <w:sz w:val="20"/>
          <w:szCs w:val="20"/>
        </w:rPr>
        <w:t xml:space="preserve">Online wellness resources: Self-guided programs, webinars, and mental health assessments</w:t>
      </w:r>
    </w:p>
    <w:p>
      <w:pPr>
        <w:spacing w:after="0" w:before="10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6.3 Additional Mental Health Initiatives</w:t>
      </w:r>
    </w:p>
    <w:p>
      <w:pPr>
        <w:pStyle w:val="ListParagraph"/>
        <w:numPr>
          <w:ilvl w:val="0"/>
          <w:numId w:val="2"/>
        </w:numPr>
        <w:spacing w:after="60" w:before="40"/>
      </w:pPr>
      <w:r>
        <w:rPr>
          <w:rFonts w:ascii="Arial" w:cs="Arial" w:eastAsia="Arial" w:hAnsi="Arial"/>
          <w:color w:val="1A1A2E"/>
          <w:sz w:val="20"/>
          <w:szCs w:val="20"/>
        </w:rPr>
        <w:t xml:space="preserve">Mental Health Days: Employees may take up to 3 designated mental health days per year, separate from PTO, without requiring medical documentation.</w:t>
      </w:r>
    </w:p>
    <w:p>
      <w:pPr>
        <w:pStyle w:val="ListParagraph"/>
        <w:numPr>
          <w:ilvl w:val="0"/>
          <w:numId w:val="2"/>
        </w:numPr>
        <w:spacing w:after="60" w:before="40"/>
      </w:pPr>
      <w:r>
        <w:rPr>
          <w:rFonts w:ascii="Arial" w:cs="Arial" w:eastAsia="Arial" w:hAnsi="Arial"/>
          <w:color w:val="1A1A2E"/>
          <w:sz w:val="20"/>
          <w:szCs w:val="20"/>
        </w:rPr>
        <w:t xml:space="preserve">Manager Mental Health Training: All people managers complete annual mental health first aid training.</w:t>
      </w:r>
    </w:p>
    <w:p>
      <w:pPr>
        <w:pStyle w:val="ListParagraph"/>
        <w:numPr>
          <w:ilvl w:val="0"/>
          <w:numId w:val="2"/>
        </w:numPr>
        <w:spacing w:after="60" w:before="40"/>
      </w:pPr>
      <w:r>
        <w:rPr>
          <w:rFonts w:ascii="Arial" w:cs="Arial" w:eastAsia="Arial" w:hAnsi="Arial"/>
          <w:color w:val="1A1A2E"/>
          <w:sz w:val="20"/>
          <w:szCs w:val="20"/>
        </w:rPr>
        <w:t xml:space="preserve">Peer Support Network: Volunteer-led internal network of trained peer support contacts available for informal check-ins.</w:t>
      </w:r>
    </w:p>
    <w:p>
      <w:pPr>
        <w:pStyle w:val="ListParagraph"/>
        <w:numPr>
          <w:ilvl w:val="0"/>
          <w:numId w:val="2"/>
        </w:numPr>
        <w:spacing w:after="60" w:before="40"/>
      </w:pPr>
      <w:r>
        <w:rPr>
          <w:rFonts w:ascii="Arial" w:cs="Arial" w:eastAsia="Arial" w:hAnsi="Arial"/>
          <w:color w:val="1A1A2E"/>
          <w:sz w:val="20"/>
          <w:szCs w:val="20"/>
        </w:rPr>
        <w:t xml:space="preserve">No-Stigma Policy: The Company maintains a zero-tolerance policy toward stigmatizing language or behavior related to mental health.</w:t>
      </w:r>
    </w:p>
    <w:p>
      <w:r>
        <w:br w:type="page"/>
      </w:r>
    </w:p>
    <w:p>
      <w:pPr>
        <w:pStyle w:val="Heading1"/>
        <w:spacing w:after="160" w:before="360"/>
      </w:pPr>
      <w:r>
        <w:rPr>
          <w:rFonts w:ascii="Arial" w:cs="Arial" w:eastAsia="Arial" w:hAnsi="Arial"/>
          <w:b/>
          <w:bCs/>
          <w:color w:val="1B4F72"/>
          <w:sz w:val="34"/>
          <w:szCs w:val="34"/>
        </w:rPr>
        <w:t xml:space="preserve">7. Learning &amp; Development Budget</w:t>
      </w:r>
    </w:p>
    <w:p>
      <w:pPr>
        <w:spacing w:after="80" w:before="60" w:line="320"/>
      </w:pPr>
      <w:r>
        <w:rPr>
          <w:rFonts w:ascii="Arial" w:cs="Arial" w:eastAsia="Arial" w:hAnsi="Arial"/>
          <w:color w:val="1A1A2E"/>
          <w:sz w:val="20"/>
          <w:szCs w:val="20"/>
        </w:rPr>
        <w:t xml:space="preserve">The Company is committed to continuous learning and professional growth. Investing in employee development benefits both individual careers and the organization's collective capabilities.</w:t>
      </w:r>
    </w:p>
    <w:p>
      <w:pPr>
        <w:spacing w:after="0" w:before="8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7.1 Annual Learning Allowance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624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Allowance / Detail</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Individual Contributors</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$1,500 per year</w:t>
            </w:r>
          </w:p>
        </w:tc>
      </w:tr>
      <w:tr>
        <w:tc>
          <w:tcPr>
            <w:tcW w:type="dxa" w:w="312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bCs/>
                <w:color w:val="1A1A2E"/>
                <w:sz w:val="20"/>
                <w:szCs w:val="20"/>
              </w:rPr>
              <w:t xml:space="preserve">Senior / Lead Roles</w:t>
            </w:r>
          </w:p>
        </w:tc>
        <w:tc>
          <w:tcPr>
            <w:tcW w:type="dxa" w:w="624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val="false"/>
                <w:bCs w:val="false"/>
                <w:color w:val="1A1A2E"/>
                <w:sz w:val="20"/>
                <w:szCs w:val="20"/>
              </w:rPr>
              <w:t xml:space="preserve">$2,500 per year</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Managers &amp; Directors</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$3,500 per year</w:t>
            </w:r>
          </w:p>
        </w:tc>
      </w:tr>
      <w:tr>
        <w:tc>
          <w:tcPr>
            <w:tcW w:type="dxa" w:w="312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bCs/>
                <w:color w:val="1A1A2E"/>
                <w:sz w:val="20"/>
                <w:szCs w:val="20"/>
              </w:rPr>
              <w:t xml:space="preserve">VP and Above</w:t>
            </w:r>
          </w:p>
        </w:tc>
        <w:tc>
          <w:tcPr>
            <w:tcW w:type="dxa" w:w="624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val="false"/>
                <w:bCs w:val="false"/>
                <w:color w:val="1A1A2E"/>
                <w:sz w:val="20"/>
                <w:szCs w:val="20"/>
              </w:rPr>
              <w:t xml:space="preserve">$5,000 per year</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Enrollment Requirement</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Completed 90-day probation period</w:t>
            </w:r>
          </w:p>
        </w:tc>
      </w:tr>
      <w:tr>
        <w:tc>
          <w:tcPr>
            <w:tcW w:type="dxa" w:w="312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bCs/>
                <w:color w:val="1A1A2E"/>
                <w:sz w:val="20"/>
                <w:szCs w:val="20"/>
              </w:rPr>
              <w:t xml:space="preserve">Budget Reset</w:t>
            </w:r>
          </w:p>
        </w:tc>
        <w:tc>
          <w:tcPr>
            <w:tcW w:type="dxa" w:w="624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val="false"/>
                <w:bCs w:val="false"/>
                <w:color w:val="1A1A2E"/>
                <w:sz w:val="20"/>
                <w:szCs w:val="20"/>
              </w:rPr>
              <w:t xml:space="preserve">January 1 each year (no rollover)</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Reimbursement Deadline</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Submit expenses within 60 days of completion</w:t>
            </w:r>
          </w:p>
        </w:tc>
      </w:tr>
    </w:tbl>
    <w:p>
      <w:pPr>
        <w:spacing w:after="0" w:before="12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7.2 Eligible Learning Expenses</w:t>
      </w:r>
    </w:p>
    <w:p>
      <w:pPr>
        <w:pStyle w:val="ListParagraph"/>
        <w:numPr>
          <w:ilvl w:val="0"/>
          <w:numId w:val="2"/>
        </w:numPr>
        <w:spacing w:after="60" w:before="40"/>
      </w:pPr>
      <w:r>
        <w:rPr>
          <w:rFonts w:ascii="Arial" w:cs="Arial" w:eastAsia="Arial" w:hAnsi="Arial"/>
          <w:color w:val="1A1A2E"/>
          <w:sz w:val="20"/>
          <w:szCs w:val="20"/>
        </w:rPr>
        <w:t xml:space="preserve">Online courses and learning platforms (Coursera, LinkedIn Learning, Udemy, Pluralsight, etc.)</w:t>
      </w:r>
    </w:p>
    <w:p>
      <w:pPr>
        <w:pStyle w:val="ListParagraph"/>
        <w:numPr>
          <w:ilvl w:val="0"/>
          <w:numId w:val="2"/>
        </w:numPr>
        <w:spacing w:after="60" w:before="40"/>
      </w:pPr>
      <w:r>
        <w:rPr>
          <w:rFonts w:ascii="Arial" w:cs="Arial" w:eastAsia="Arial" w:hAnsi="Arial"/>
          <w:color w:val="1A1A2E"/>
          <w:sz w:val="20"/>
          <w:szCs w:val="20"/>
        </w:rPr>
        <w:t xml:space="preserve">Professional certifications and examination fees</w:t>
      </w:r>
    </w:p>
    <w:p>
      <w:pPr>
        <w:pStyle w:val="ListParagraph"/>
        <w:numPr>
          <w:ilvl w:val="0"/>
          <w:numId w:val="2"/>
        </w:numPr>
        <w:spacing w:after="60" w:before="40"/>
      </w:pPr>
      <w:r>
        <w:rPr>
          <w:rFonts w:ascii="Arial" w:cs="Arial" w:eastAsia="Arial" w:hAnsi="Arial"/>
          <w:color w:val="1A1A2E"/>
          <w:sz w:val="20"/>
          <w:szCs w:val="20"/>
        </w:rPr>
        <w:t xml:space="preserve">Industry conferences, seminars, and workshops (registration fees)</w:t>
      </w:r>
    </w:p>
    <w:p>
      <w:pPr>
        <w:pStyle w:val="ListParagraph"/>
        <w:numPr>
          <w:ilvl w:val="0"/>
          <w:numId w:val="2"/>
        </w:numPr>
        <w:spacing w:after="60" w:before="40"/>
      </w:pPr>
      <w:r>
        <w:rPr>
          <w:rFonts w:ascii="Arial" w:cs="Arial" w:eastAsia="Arial" w:hAnsi="Arial"/>
          <w:color w:val="1A1A2E"/>
          <w:sz w:val="20"/>
          <w:szCs w:val="20"/>
        </w:rPr>
        <w:t xml:space="preserve">Books, technical publications, and e-books (up to $300/year)</w:t>
      </w:r>
    </w:p>
    <w:p>
      <w:pPr>
        <w:pStyle w:val="ListParagraph"/>
        <w:numPr>
          <w:ilvl w:val="0"/>
          <w:numId w:val="2"/>
        </w:numPr>
        <w:spacing w:after="60" w:before="40"/>
      </w:pPr>
      <w:r>
        <w:rPr>
          <w:rFonts w:ascii="Arial" w:cs="Arial" w:eastAsia="Arial" w:hAnsi="Arial"/>
          <w:color w:val="1A1A2E"/>
          <w:sz w:val="20"/>
          <w:szCs w:val="20"/>
        </w:rPr>
        <w:t xml:space="preserve">Bootcamps and immersive skills training programs</w:t>
      </w:r>
    </w:p>
    <w:p>
      <w:pPr>
        <w:pStyle w:val="ListParagraph"/>
        <w:numPr>
          <w:ilvl w:val="0"/>
          <w:numId w:val="2"/>
        </w:numPr>
        <w:spacing w:after="60" w:before="40"/>
      </w:pPr>
      <w:r>
        <w:rPr>
          <w:rFonts w:ascii="Arial" w:cs="Arial" w:eastAsia="Arial" w:hAnsi="Arial"/>
          <w:color w:val="1A1A2E"/>
          <w:sz w:val="20"/>
          <w:szCs w:val="20"/>
        </w:rPr>
        <w:t xml:space="preserve">MBA, Master's, or relevant degree programs (partial reimbursement, requires manager + HR approval)</w:t>
      </w:r>
    </w:p>
    <w:p>
      <w:pPr>
        <w:pStyle w:val="ListParagraph"/>
        <w:numPr>
          <w:ilvl w:val="0"/>
          <w:numId w:val="2"/>
        </w:numPr>
        <w:spacing w:after="60" w:before="40"/>
      </w:pPr>
      <w:r>
        <w:rPr>
          <w:rFonts w:ascii="Arial" w:cs="Arial" w:eastAsia="Arial" w:hAnsi="Arial"/>
          <w:color w:val="1A1A2E"/>
          <w:sz w:val="20"/>
          <w:szCs w:val="20"/>
        </w:rPr>
        <w:t xml:space="preserve">Internal cross-functional project rotations (coordinated through HR)</w:t>
      </w:r>
    </w:p>
    <w:p>
      <w:pPr>
        <w:spacing w:after="0" w:before="12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7.3 Approval &amp; Reimbursement Process</w:t>
      </w:r>
    </w:p>
    <w:p>
      <w:pPr>
        <w:spacing w:after="80" w:before="60" w:line="320"/>
      </w:pPr>
      <w:r>
        <w:rPr>
          <w:rFonts w:ascii="Arial" w:cs="Arial" w:eastAsia="Arial" w:hAnsi="Arial"/>
          <w:color w:val="1A1A2E"/>
          <w:sz w:val="20"/>
          <w:szCs w:val="20"/>
        </w:rPr>
        <w:t xml:space="preserve">Employees should submit a Learning Request Form through the HR portal before committing to an expense above $500. Requests are typically reviewed within 5 business days. Upon completion of the course or event, employees submit receipts and a brief completion summary to receive reimbursement.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1B4F72" w:sz="12"/>
              <w:bottom w:val="single" w:color="2E86C1" w:sz="4"/>
              <w:right w:val="none" w:color="FFFFFF" w:sz="0"/>
            </w:tcBorders>
            <w:shd w:fill="D6EAF8" w:val="clear"/>
            <w:tcMar>
              <w:top w:type="dxa" w:w="120"/>
              <w:left w:type="dxa" w:w="200"/>
              <w:bottom w:type="dxa" w:w="120"/>
              <w:right w:type="dxa" w:w="120"/>
            </w:tcMar>
          </w:tcPr>
          <w:p>
            <w:pPr>
              <w:spacing w:after="40" w:before="40"/>
            </w:pPr>
            <w:r>
              <w:rPr>
                <w:rFonts w:ascii="Arial" w:cs="Arial" w:eastAsia="Arial" w:hAnsi="Arial"/>
                <w:i/>
                <w:iCs/>
                <w:color w:val="154360"/>
                <w:sz w:val="19"/>
                <w:szCs w:val="19"/>
              </w:rPr>
              <w:t xml:space="preserve">Note: Learning reimbursements for degree programs may include a 12-month employment retention clause. Employees who</w:t>
            </w:r>
          </w:p>
          <w:p>
            <w:pPr>
              <w:spacing w:after="40" w:before="40"/>
            </w:pPr>
            <w:r>
              <w:rPr>
                <w:rFonts w:ascii="Arial" w:cs="Arial" w:eastAsia="Arial" w:hAnsi="Arial"/>
                <w:i w:val="false"/>
                <w:iCs w:val="false"/>
                <w:color w:val="154360"/>
                <w:sz w:val="19"/>
                <w:szCs w:val="19"/>
              </w:rPr>
              <w:t xml:space="preserve">leave the Company within 12 months of receiving degree program reimbursement may be required to repay a pro-rated</w:t>
            </w:r>
          </w:p>
          <w:p>
            <w:pPr>
              <w:spacing w:after="40" w:before="40"/>
            </w:pPr>
            <w:r>
              <w:rPr>
                <w:rFonts w:ascii="Arial" w:cs="Arial" w:eastAsia="Arial" w:hAnsi="Arial"/>
                <w:i w:val="false"/>
                <w:iCs w:val="false"/>
                <w:color w:val="154360"/>
                <w:sz w:val="19"/>
                <w:szCs w:val="19"/>
              </w:rPr>
              <w:t xml:space="preserve">portion of the reimbursed amount.</w:t>
            </w:r>
          </w:p>
        </w:tc>
      </w:tr>
    </w:tbl>
    <w:p>
      <w:pPr>
        <w:spacing w:after="0" w:before="12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7.4 Internal Learning Programs</w:t>
      </w:r>
    </w:p>
    <w:p>
      <w:pPr>
        <w:pStyle w:val="ListParagraph"/>
        <w:numPr>
          <w:ilvl w:val="0"/>
          <w:numId w:val="2"/>
        </w:numPr>
        <w:spacing w:after="60" w:before="40"/>
      </w:pPr>
      <w:r>
        <w:rPr>
          <w:rFonts w:ascii="Arial" w:cs="Arial" w:eastAsia="Arial" w:hAnsi="Arial"/>
          <w:color w:val="1A1A2E"/>
          <w:sz w:val="20"/>
          <w:szCs w:val="20"/>
        </w:rPr>
        <w:t xml:space="preserve">Monthly Lunch &amp; Learn sessions hosted by internal subject matter experts</w:t>
      </w:r>
    </w:p>
    <w:p>
      <w:pPr>
        <w:pStyle w:val="ListParagraph"/>
        <w:numPr>
          <w:ilvl w:val="0"/>
          <w:numId w:val="2"/>
        </w:numPr>
        <w:spacing w:after="60" w:before="40"/>
      </w:pPr>
      <w:r>
        <w:rPr>
          <w:rFonts w:ascii="Arial" w:cs="Arial" w:eastAsia="Arial" w:hAnsi="Arial"/>
          <w:color w:val="1A1A2E"/>
          <w:sz w:val="20"/>
          <w:szCs w:val="20"/>
        </w:rPr>
        <w:t xml:space="preserve">Annual company-wide Learning Week with curated workshops and speaker series</w:t>
      </w:r>
    </w:p>
    <w:p>
      <w:pPr>
        <w:pStyle w:val="ListParagraph"/>
        <w:numPr>
          <w:ilvl w:val="0"/>
          <w:numId w:val="2"/>
        </w:numPr>
        <w:spacing w:after="60" w:before="40"/>
      </w:pPr>
      <w:r>
        <w:rPr>
          <w:rFonts w:ascii="Arial" w:cs="Arial" w:eastAsia="Arial" w:hAnsi="Arial"/>
          <w:color w:val="1A1A2E"/>
          <w:sz w:val="20"/>
          <w:szCs w:val="20"/>
        </w:rPr>
        <w:t xml:space="preserve">Mentorship program matching junior employees with senior leaders</w:t>
      </w:r>
    </w:p>
    <w:p>
      <w:pPr>
        <w:pStyle w:val="ListParagraph"/>
        <w:numPr>
          <w:ilvl w:val="0"/>
          <w:numId w:val="2"/>
        </w:numPr>
        <w:spacing w:after="60" w:before="40"/>
      </w:pPr>
      <w:r>
        <w:rPr>
          <w:rFonts w:ascii="Arial" w:cs="Arial" w:eastAsia="Arial" w:hAnsi="Arial"/>
          <w:color w:val="1A1A2E"/>
          <w:sz w:val="20"/>
          <w:szCs w:val="20"/>
        </w:rPr>
        <w:t xml:space="preserve">Leadership development cohort programs for high-potential employees</w:t>
      </w:r>
    </w:p>
    <w:p>
      <w:r>
        <w:br w:type="page"/>
      </w:r>
    </w:p>
    <w:p>
      <w:pPr>
        <w:pStyle w:val="Heading1"/>
        <w:spacing w:after="160" w:before="360"/>
      </w:pPr>
      <w:r>
        <w:rPr>
          <w:rFonts w:ascii="Arial" w:cs="Arial" w:eastAsia="Arial" w:hAnsi="Arial"/>
          <w:b/>
          <w:bCs/>
          <w:color w:val="1B4F72"/>
          <w:sz w:val="34"/>
          <w:szCs w:val="34"/>
        </w:rPr>
        <w:t xml:space="preserve">8. Retirement Plans &amp; Stock Options</w:t>
      </w:r>
    </w:p>
    <w:p>
      <w:pPr>
        <w:spacing w:after="80" w:before="60" w:line="320"/>
      </w:pPr>
      <w:r>
        <w:rPr>
          <w:rFonts w:ascii="Arial" w:cs="Arial" w:eastAsia="Arial" w:hAnsi="Arial"/>
          <w:color w:val="1A1A2E"/>
          <w:sz w:val="20"/>
          <w:szCs w:val="20"/>
        </w:rPr>
        <w:t xml:space="preserve">The Company helps employees build long-term financial security through a competitive retirement savings plan and an equity participation program.</w:t>
      </w:r>
    </w:p>
    <w:p>
      <w:pPr>
        <w:spacing w:after="0" w:before="8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8.1 401(k) Retirement Savings Plan</w:t>
      </w:r>
    </w:p>
    <w:p>
      <w:pPr>
        <w:spacing w:after="80" w:before="60" w:line="320"/>
      </w:pPr>
      <w:r>
        <w:rPr>
          <w:rFonts w:ascii="Arial" w:cs="Arial" w:eastAsia="Arial" w:hAnsi="Arial"/>
          <w:color w:val="1A1A2E"/>
          <w:sz w:val="20"/>
          <w:szCs w:val="20"/>
        </w:rPr>
        <w:t xml:space="preserve">All eligible employees may participate in the Company's 401(k) Plan, administered by [Plan Administrator]. The plan offers both Traditional (pre-tax) and Roth (after-tax) contribution options.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Plan Feature</w:t>
            </w:r>
          </w:p>
        </w:tc>
        <w:tc>
          <w:tcPr>
            <w:tcW w:type="dxa" w:w="624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Employee Contribution Limit</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Up to IRS annual limit ($23,000 in 2024; $30,500 if age 50+)</w:t>
            </w:r>
          </w:p>
        </w:tc>
      </w:tr>
      <w:tr>
        <w:tc>
          <w:tcPr>
            <w:tcW w:type="dxa" w:w="312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bCs/>
                <w:color w:val="1A1A2E"/>
                <w:sz w:val="20"/>
                <w:szCs w:val="20"/>
              </w:rPr>
              <w:t xml:space="preserve">Company Match</w:t>
            </w:r>
          </w:p>
        </w:tc>
        <w:tc>
          <w:tcPr>
            <w:tcW w:type="dxa" w:w="624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val="false"/>
                <w:bCs w:val="false"/>
                <w:color w:val="1A1A2E"/>
                <w:sz w:val="20"/>
                <w:szCs w:val="20"/>
              </w:rPr>
              <w:t xml:space="preserve">100% match on first 3% of salary; 50% match on next 2% (up to 4% total)</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Vesting Schedule</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Company match vests over 3 years: 33% Year 1, 66% Year 2, 100% Year 3</w:t>
            </w:r>
          </w:p>
        </w:tc>
      </w:tr>
      <w:tr>
        <w:tc>
          <w:tcPr>
            <w:tcW w:type="dxa" w:w="312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bCs/>
                <w:color w:val="1A1A2E"/>
                <w:sz w:val="20"/>
                <w:szCs w:val="20"/>
              </w:rPr>
              <w:t xml:space="preserve">Investment Options</w:t>
            </w:r>
          </w:p>
        </w:tc>
        <w:tc>
          <w:tcPr>
            <w:tcW w:type="dxa" w:w="624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val="false"/>
                <w:bCs w:val="false"/>
                <w:color w:val="1A1A2E"/>
                <w:sz w:val="20"/>
                <w:szCs w:val="20"/>
              </w:rPr>
              <w:t xml:space="preserve">25+ diversified funds including index, target-date, and ESG options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Auto-Enrollment</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Employees are auto-enrolled at 3% contribution after 60-day waiting period</w:t>
            </w:r>
          </w:p>
        </w:tc>
      </w:tr>
      <w:tr>
        <w:tc>
          <w:tcPr>
            <w:tcW w:type="dxa" w:w="312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bCs/>
                <w:color w:val="1A1A2E"/>
                <w:sz w:val="20"/>
                <w:szCs w:val="20"/>
              </w:rPr>
              <w:t xml:space="preserve">Hardship Withdrawals</w:t>
            </w:r>
          </w:p>
        </w:tc>
        <w:tc>
          <w:tcPr>
            <w:tcW w:type="dxa" w:w="624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val="false"/>
                <w:bCs w:val="false"/>
                <w:color w:val="1A1A2E"/>
                <w:sz w:val="20"/>
                <w:szCs w:val="20"/>
              </w:rPr>
              <w:t xml:space="preserve">Available under IRS-qualifying hardship conditions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Loan Provision</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Employees may borrow up to 50% of vested balance or $50,000, whichever is less</w:t>
            </w:r>
          </w:p>
        </w:tc>
      </w:tr>
    </w:tbl>
    <w:p>
      <w:pPr>
        <w:spacing w:after="0" w:before="12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8.2 Stock Options (Equity Compensation)</w:t>
      </w:r>
    </w:p>
    <w:p>
      <w:pPr>
        <w:spacing w:after="80" w:before="60" w:line="320"/>
      </w:pPr>
      <w:r>
        <w:rPr>
          <w:rFonts w:ascii="Arial" w:cs="Arial" w:eastAsia="Arial" w:hAnsi="Arial"/>
          <w:color w:val="1A1A2E"/>
          <w:sz w:val="20"/>
          <w:szCs w:val="20"/>
        </w:rPr>
        <w:t xml:space="preserve">The Company offers equity compensation to eligible full-time employees as part of our commitment to shared ownership and long-term value creation.</w:t>
      </w:r>
    </w:p>
    <w:p>
      <w:pPr>
        <w:spacing w:after="0" w:before="80"/>
      </w:pPr>
      <w:r>
        <w:t xml:space="preserve"/>
      </w:r>
    </w:p>
    <w:p>
      <w:pPr>
        <w:pStyle w:val="Heading3"/>
        <w:spacing w:after="80" w:before="200"/>
      </w:pPr>
      <w:r>
        <w:rPr>
          <w:rFonts w:ascii="Arial" w:cs="Arial" w:eastAsia="Arial" w:hAnsi="Arial"/>
          <w:b/>
          <w:bCs/>
          <w:color w:val="154360"/>
          <w:sz w:val="22"/>
          <w:szCs w:val="22"/>
        </w:rPr>
        <w:t xml:space="preserve">Stock Option Grant Structure</w:t>
      </w:r>
    </w:p>
    <w:p>
      <w:pPr>
        <w:pStyle w:val="ListParagraph"/>
        <w:numPr>
          <w:ilvl w:val="0"/>
          <w:numId w:val="2"/>
        </w:numPr>
        <w:spacing w:after="60" w:before="40"/>
      </w:pPr>
      <w:r>
        <w:rPr>
          <w:rFonts w:ascii="Arial" w:cs="Arial" w:eastAsia="Arial" w:hAnsi="Arial"/>
          <w:color w:val="1A1A2E"/>
          <w:sz w:val="20"/>
          <w:szCs w:val="20"/>
        </w:rPr>
        <w:t xml:space="preserve">Eligibility: All full-time permanent employees upon completion of 90-day probation period.</w:t>
      </w:r>
    </w:p>
    <w:p>
      <w:pPr>
        <w:pStyle w:val="ListParagraph"/>
        <w:numPr>
          <w:ilvl w:val="0"/>
          <w:numId w:val="2"/>
        </w:numPr>
        <w:spacing w:after="60" w:before="40"/>
      </w:pPr>
      <w:r>
        <w:rPr>
          <w:rFonts w:ascii="Arial" w:cs="Arial" w:eastAsia="Arial" w:hAnsi="Arial"/>
          <w:color w:val="1A1A2E"/>
          <w:sz w:val="20"/>
          <w:szCs w:val="20"/>
        </w:rPr>
        <w:t xml:space="preserve">Grant Size: Based on role level and performance, ranging from 0.01% to 0.25% equity equivalent for individual contributors; larger grants for senior leadership.</w:t>
      </w:r>
    </w:p>
    <w:p>
      <w:pPr>
        <w:pStyle w:val="ListParagraph"/>
        <w:numPr>
          <w:ilvl w:val="0"/>
          <w:numId w:val="2"/>
        </w:numPr>
        <w:spacing w:after="60" w:before="40"/>
      </w:pPr>
      <w:r>
        <w:rPr>
          <w:rFonts w:ascii="Arial" w:cs="Arial" w:eastAsia="Arial" w:hAnsi="Arial"/>
          <w:color w:val="1A1A2E"/>
          <w:sz w:val="20"/>
          <w:szCs w:val="20"/>
        </w:rPr>
        <w:t xml:space="preserve">Option Type: Incentive Stock Options (ISOs) for employees; Non-Qualified Stock Options (NQSOs) for certain senior roles.</w:t>
      </w:r>
    </w:p>
    <w:p>
      <w:pPr>
        <w:pStyle w:val="ListParagraph"/>
        <w:numPr>
          <w:ilvl w:val="0"/>
          <w:numId w:val="2"/>
        </w:numPr>
        <w:spacing w:after="60" w:before="40"/>
      </w:pPr>
      <w:r>
        <w:rPr>
          <w:rFonts w:ascii="Arial" w:cs="Arial" w:eastAsia="Arial" w:hAnsi="Arial"/>
          <w:color w:val="1A1A2E"/>
          <w:sz w:val="20"/>
          <w:szCs w:val="20"/>
        </w:rPr>
        <w:t xml:space="preserve">Exercise Price: Set at Fair Market Value (FMV) on the grant date as determined by the Board.</w:t>
      </w:r>
    </w:p>
    <w:p>
      <w:pPr>
        <w:spacing w:after="0" w:before="80"/>
      </w:pPr>
      <w:r>
        <w:t xml:space="preserve"/>
      </w:r>
    </w:p>
    <w:p>
      <w:pPr>
        <w:pStyle w:val="Heading3"/>
        <w:spacing w:after="80" w:before="200"/>
      </w:pPr>
      <w:r>
        <w:rPr>
          <w:rFonts w:ascii="Arial" w:cs="Arial" w:eastAsia="Arial" w:hAnsi="Arial"/>
          <w:b/>
          <w:bCs/>
          <w:color w:val="154360"/>
          <w:sz w:val="22"/>
          <w:szCs w:val="22"/>
        </w:rPr>
        <w:t xml:space="preserve">Vesting Schedule</w:t>
      </w:r>
    </w:p>
    <w:p>
      <w:pPr>
        <w:pStyle w:val="ListParagraph"/>
        <w:numPr>
          <w:ilvl w:val="0"/>
          <w:numId w:val="2"/>
        </w:numPr>
        <w:spacing w:after="60" w:before="40"/>
      </w:pPr>
      <w:r>
        <w:rPr>
          <w:rFonts w:ascii="Arial" w:cs="Arial" w:eastAsia="Arial" w:hAnsi="Arial"/>
          <w:color w:val="1A1A2E"/>
          <w:sz w:val="20"/>
          <w:szCs w:val="20"/>
        </w:rPr>
        <w:t xml:space="preserve">Standard: 4-year vesting with a 1-year cliff (25% vests after Year 1; monthly thereafter)</w:t>
      </w:r>
    </w:p>
    <w:p>
      <w:pPr>
        <w:pStyle w:val="ListParagraph"/>
        <w:numPr>
          <w:ilvl w:val="0"/>
          <w:numId w:val="2"/>
        </w:numPr>
        <w:spacing w:after="60" w:before="40"/>
      </w:pPr>
      <w:r>
        <w:rPr>
          <w:rFonts w:ascii="Arial" w:cs="Arial" w:eastAsia="Arial" w:hAnsi="Arial"/>
          <w:color w:val="1A1A2E"/>
          <w:sz w:val="20"/>
          <w:szCs w:val="20"/>
        </w:rPr>
        <w:t xml:space="preserve">Accelerated Vesting: In the event of an acquisition or change of control, unvested options may partially or fully accelerate per the Plan Agreement.</w:t>
      </w:r>
    </w:p>
    <w:p>
      <w:pPr>
        <w:pStyle w:val="ListParagraph"/>
        <w:numPr>
          <w:ilvl w:val="0"/>
          <w:numId w:val="2"/>
        </w:numPr>
        <w:spacing w:after="60" w:before="40"/>
      </w:pPr>
      <w:r>
        <w:rPr>
          <w:rFonts w:ascii="Arial" w:cs="Arial" w:eastAsia="Arial" w:hAnsi="Arial"/>
          <w:color w:val="1A1A2E"/>
          <w:sz w:val="20"/>
          <w:szCs w:val="20"/>
        </w:rPr>
        <w:t xml:space="preserve">Post-Termination Exercise: 90 days following voluntary resignation; 12 months following involuntary termination (other than for cause).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1B4F72" w:sz="12"/>
              <w:bottom w:val="single" w:color="2E86C1" w:sz="4"/>
              <w:right w:val="none" w:color="FFFFFF" w:sz="0"/>
            </w:tcBorders>
            <w:shd w:fill="D6EAF8" w:val="clear"/>
            <w:tcMar>
              <w:top w:type="dxa" w:w="120"/>
              <w:left w:type="dxa" w:w="200"/>
              <w:bottom w:type="dxa" w:w="120"/>
              <w:right w:type="dxa" w:w="120"/>
            </w:tcMar>
          </w:tcPr>
          <w:p>
            <w:pPr>
              <w:spacing w:after="40" w:before="40"/>
            </w:pPr>
            <w:r>
              <w:rPr>
                <w:rFonts w:ascii="Arial" w:cs="Arial" w:eastAsia="Arial" w:hAnsi="Arial"/>
                <w:i/>
                <w:iCs/>
                <w:color w:val="154360"/>
                <w:sz w:val="19"/>
                <w:szCs w:val="19"/>
              </w:rPr>
              <w:t xml:space="preserve">Note: Stock options are subject to the terms and conditions of the Company's Equity Incentive Plan and applicable grant</w:t>
            </w:r>
          </w:p>
          <w:p>
            <w:pPr>
              <w:spacing w:after="40" w:before="40"/>
            </w:pPr>
            <w:r>
              <w:rPr>
                <w:rFonts w:ascii="Arial" w:cs="Arial" w:eastAsia="Arial" w:hAnsi="Arial"/>
                <w:i w:val="false"/>
                <w:iCs w:val="false"/>
                <w:color w:val="154360"/>
                <w:sz w:val="19"/>
                <w:szCs w:val="19"/>
              </w:rPr>
              <w:t xml:space="preserve">agreements. Employees are advised to consult a personal tax advisor before exercising options, as tax implications</w:t>
            </w:r>
          </w:p>
          <w:p>
            <w:pPr>
              <w:spacing w:after="40" w:before="40"/>
            </w:pPr>
            <w:r>
              <w:rPr>
                <w:rFonts w:ascii="Arial" w:cs="Arial" w:eastAsia="Arial" w:hAnsi="Arial"/>
                <w:i w:val="false"/>
                <w:iCs w:val="false"/>
                <w:color w:val="154360"/>
                <w:sz w:val="19"/>
                <w:szCs w:val="19"/>
              </w:rPr>
              <w:t xml:space="preserve">vary based on option type, holding period, and individual financial circumstances.</w:t>
            </w:r>
          </w:p>
        </w:tc>
      </w:tr>
    </w:tbl>
    <w:p>
      <w:r>
        <w:br w:type="page"/>
      </w:r>
    </w:p>
    <w:p>
      <w:pPr>
        <w:pStyle w:val="Heading1"/>
        <w:spacing w:after="160" w:before="360"/>
      </w:pPr>
      <w:r>
        <w:rPr>
          <w:rFonts w:ascii="Arial" w:cs="Arial" w:eastAsia="Arial" w:hAnsi="Arial"/>
          <w:b/>
          <w:bCs/>
          <w:color w:val="1B4F72"/>
          <w:sz w:val="34"/>
          <w:szCs w:val="34"/>
        </w:rPr>
        <w:t xml:space="preserve">9. Flexible Benefits Program</w:t>
      </w:r>
    </w:p>
    <w:p>
      <w:pPr>
        <w:spacing w:after="80" w:before="60" w:line="320"/>
      </w:pPr>
      <w:r>
        <w:rPr>
          <w:rFonts w:ascii="Arial" w:cs="Arial" w:eastAsia="Arial" w:hAnsi="Arial"/>
          <w:color w:val="1A1A2E"/>
          <w:sz w:val="20"/>
          <w:szCs w:val="20"/>
        </w:rPr>
        <w:t xml:space="preserve">The Company's Flexible Benefits Program allows employees to tailor a portion of their benefits package to their individual and family circumstances, maximizing the value of the overall package for each person.</w:t>
      </w:r>
    </w:p>
    <w:p>
      <w:pPr>
        <w:spacing w:after="0" w:before="8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9.1 Flexible Spending Accounts (FSAs)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Account Type</w:t>
            </w:r>
          </w:p>
        </w:tc>
        <w:tc>
          <w:tcPr>
            <w:tcW w:type="dxa" w:w="624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Healthcare FSA</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Up to $3,050/year (2024 IRS limit); pre-tax funds for qualified medical expenses</w:t>
            </w:r>
          </w:p>
        </w:tc>
      </w:tr>
      <w:tr>
        <w:tc>
          <w:tcPr>
            <w:tcW w:type="dxa" w:w="312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bCs/>
                <w:color w:val="1A1A2E"/>
                <w:sz w:val="20"/>
                <w:szCs w:val="20"/>
              </w:rPr>
              <w:t xml:space="preserve">Dependent Care FSA</w:t>
            </w:r>
          </w:p>
        </w:tc>
        <w:tc>
          <w:tcPr>
            <w:tcW w:type="dxa" w:w="624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val="false"/>
                <w:bCs w:val="false"/>
                <w:color w:val="1A1A2E"/>
                <w:sz w:val="20"/>
                <w:szCs w:val="20"/>
              </w:rPr>
              <w:t xml:space="preserve">Up to $5,000/year for childcare, eldercare, or other qualifying dependent expenses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Limited Purpose FSA</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Available to HSA-enrolled employees; covers dental and vision only</w:t>
            </w:r>
          </w:p>
        </w:tc>
      </w:tr>
      <w:tr>
        <w:tc>
          <w:tcPr>
            <w:tcW w:type="dxa" w:w="312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bCs/>
                <w:color w:val="1A1A2E"/>
                <w:sz w:val="20"/>
                <w:szCs w:val="20"/>
              </w:rPr>
              <w:t xml:space="preserve">Grace Period</w:t>
            </w:r>
          </w:p>
        </w:tc>
        <w:tc>
          <w:tcPr>
            <w:tcW w:type="dxa" w:w="624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val="false"/>
                <w:bCs w:val="false"/>
                <w:color w:val="1A1A2E"/>
                <w:sz w:val="20"/>
                <w:szCs w:val="20"/>
              </w:rPr>
              <w:t xml:space="preserve">2.5 months after plan year end; up to $610 rollover (Healthcare FSA)</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Eligible Expenses</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Medical copays, prescriptions, dental, vision, childcare — see full IRS list</w:t>
            </w:r>
          </w:p>
        </w:tc>
      </w:tr>
    </w:tbl>
    <w:p>
      <w:pPr>
        <w:spacing w:after="0" w:before="12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9.2 Health Savings Account (HSA)</w:t>
      </w:r>
    </w:p>
    <w:p>
      <w:pPr>
        <w:spacing w:after="80" w:before="60" w:line="320"/>
      </w:pPr>
      <w:r>
        <w:rPr>
          <w:rFonts w:ascii="Arial" w:cs="Arial" w:eastAsia="Arial" w:hAnsi="Arial"/>
          <w:color w:val="1A1A2E"/>
          <w:sz w:val="20"/>
          <w:szCs w:val="20"/>
        </w:rPr>
        <w:t xml:space="preserve">Employees enrolled in the Basic (High Deductible Health Plan) option are eligible for a Health Savings Account (HSA), offering triple tax advantages.</w:t>
      </w:r>
    </w:p>
    <w:p>
      <w:pPr>
        <w:spacing w:after="0" w:before="60"/>
      </w:pPr>
      <w:r>
        <w:t xml:space="preserve"/>
      </w:r>
    </w:p>
    <w:p>
      <w:pPr>
        <w:pStyle w:val="ListParagraph"/>
        <w:numPr>
          <w:ilvl w:val="0"/>
          <w:numId w:val="2"/>
        </w:numPr>
        <w:spacing w:after="60" w:before="40"/>
      </w:pPr>
      <w:r>
        <w:rPr>
          <w:rFonts w:ascii="Arial" w:cs="Arial" w:eastAsia="Arial" w:hAnsi="Arial"/>
          <w:color w:val="1A1A2E"/>
          <w:sz w:val="20"/>
          <w:szCs w:val="20"/>
        </w:rPr>
        <w:t xml:space="preserve">Employee Contribution Limit: $4,150 (individual), $8,300 (family) for 2024</w:t>
      </w:r>
    </w:p>
    <w:p>
      <w:pPr>
        <w:pStyle w:val="ListParagraph"/>
        <w:numPr>
          <w:ilvl w:val="0"/>
          <w:numId w:val="2"/>
        </w:numPr>
        <w:spacing w:after="60" w:before="40"/>
      </w:pPr>
      <w:r>
        <w:rPr>
          <w:rFonts w:ascii="Arial" w:cs="Arial" w:eastAsia="Arial" w:hAnsi="Arial"/>
          <w:color w:val="1A1A2E"/>
          <w:sz w:val="20"/>
          <w:szCs w:val="20"/>
        </w:rPr>
        <w:t xml:space="preserve">Company HSA Seed Contribution: $500 (individual) or $1,000 (family) annually</w:t>
      </w:r>
    </w:p>
    <w:p>
      <w:pPr>
        <w:pStyle w:val="ListParagraph"/>
        <w:numPr>
          <w:ilvl w:val="0"/>
          <w:numId w:val="2"/>
        </w:numPr>
        <w:spacing w:after="60" w:before="40"/>
      </w:pPr>
      <w:r>
        <w:rPr>
          <w:rFonts w:ascii="Arial" w:cs="Arial" w:eastAsia="Arial" w:hAnsi="Arial"/>
          <w:color w:val="1A1A2E"/>
          <w:sz w:val="20"/>
          <w:szCs w:val="20"/>
        </w:rPr>
        <w:t xml:space="preserve">Funds roll over indefinitely — there is no use-it-or-lose-it rule</w:t>
      </w:r>
    </w:p>
    <w:p>
      <w:pPr>
        <w:pStyle w:val="ListParagraph"/>
        <w:numPr>
          <w:ilvl w:val="0"/>
          <w:numId w:val="2"/>
        </w:numPr>
        <w:spacing w:after="60" w:before="40"/>
      </w:pPr>
      <w:r>
        <w:rPr>
          <w:rFonts w:ascii="Arial" w:cs="Arial" w:eastAsia="Arial" w:hAnsi="Arial"/>
          <w:color w:val="1A1A2E"/>
          <w:sz w:val="20"/>
          <w:szCs w:val="20"/>
        </w:rPr>
        <w:t xml:space="preserve">After age 65, funds can be withdrawn for any purpose without penalty (ordinary income tax applies)</w:t>
      </w:r>
    </w:p>
    <w:p>
      <w:pPr>
        <w:pStyle w:val="ListParagraph"/>
        <w:numPr>
          <w:ilvl w:val="0"/>
          <w:numId w:val="2"/>
        </w:numPr>
        <w:spacing w:after="60" w:before="40"/>
      </w:pPr>
      <w:r>
        <w:rPr>
          <w:rFonts w:ascii="Arial" w:cs="Arial" w:eastAsia="Arial" w:hAnsi="Arial"/>
          <w:color w:val="1A1A2E"/>
          <w:sz w:val="20"/>
          <w:szCs w:val="20"/>
        </w:rPr>
        <w:t xml:space="preserve">Investments available once balance exceeds $1,000</w:t>
      </w:r>
    </w:p>
    <w:p>
      <w:pPr>
        <w:spacing w:after="0" w:before="12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9.3 Commuter Benefits</w:t>
      </w:r>
    </w:p>
    <w:p>
      <w:pPr>
        <w:pStyle w:val="ListParagraph"/>
        <w:numPr>
          <w:ilvl w:val="0"/>
          <w:numId w:val="2"/>
        </w:numPr>
        <w:spacing w:after="60" w:before="40"/>
      </w:pPr>
      <w:r>
        <w:rPr>
          <w:rFonts w:ascii="Arial" w:cs="Arial" w:eastAsia="Arial" w:hAnsi="Arial"/>
          <w:color w:val="1A1A2E"/>
          <w:sz w:val="20"/>
          <w:szCs w:val="20"/>
        </w:rPr>
        <w:t xml:space="preserve">Pre-tax transit and parking benefits up to IRS limits ($315/month each for 2024)</w:t>
      </w:r>
    </w:p>
    <w:p>
      <w:pPr>
        <w:pStyle w:val="ListParagraph"/>
        <w:numPr>
          <w:ilvl w:val="0"/>
          <w:numId w:val="2"/>
        </w:numPr>
        <w:spacing w:after="60" w:before="40"/>
      </w:pPr>
      <w:r>
        <w:rPr>
          <w:rFonts w:ascii="Arial" w:cs="Arial" w:eastAsia="Arial" w:hAnsi="Arial"/>
          <w:color w:val="1A1A2E"/>
          <w:sz w:val="20"/>
          <w:szCs w:val="20"/>
        </w:rPr>
        <w:t xml:space="preserve">Bicycle commuting reimbursement: $30/month for qualified bicycle maintenance</w:t>
      </w:r>
    </w:p>
    <w:p>
      <w:pPr>
        <w:pStyle w:val="ListParagraph"/>
        <w:numPr>
          <w:ilvl w:val="0"/>
          <w:numId w:val="2"/>
        </w:numPr>
        <w:spacing w:after="60" w:before="40"/>
      </w:pPr>
      <w:r>
        <w:rPr>
          <w:rFonts w:ascii="Arial" w:cs="Arial" w:eastAsia="Arial" w:hAnsi="Arial"/>
          <w:color w:val="1A1A2E"/>
          <w:sz w:val="20"/>
          <w:szCs w:val="20"/>
        </w:rPr>
        <w:t xml:space="preserve">Remote employees: $50/month internet stipend in lieu of commuter benefit</w:t>
      </w:r>
    </w:p>
    <w:p>
      <w:pPr>
        <w:spacing w:after="0" w:before="12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9.4 Lifestyle Benefits</w:t>
      </w:r>
    </w:p>
    <w:p>
      <w:pPr>
        <w:spacing w:after="80" w:before="60" w:line="320"/>
      </w:pPr>
      <w:r>
        <w:rPr>
          <w:rFonts w:ascii="Arial" w:cs="Arial" w:eastAsia="Arial" w:hAnsi="Arial"/>
          <w:color w:val="1A1A2E"/>
          <w:sz w:val="20"/>
          <w:szCs w:val="20"/>
        </w:rPr>
        <w:t xml:space="preserve">Employees may use a portion of their annual Flexible Benefits allowance ($600/year) on the following lifestyle categories:</w:t>
      </w:r>
    </w:p>
    <w:p>
      <w:pPr>
        <w:pStyle w:val="ListParagraph"/>
        <w:numPr>
          <w:ilvl w:val="0"/>
          <w:numId w:val="2"/>
        </w:numPr>
        <w:spacing w:after="60" w:before="40"/>
      </w:pPr>
      <w:r>
        <w:rPr>
          <w:rFonts w:ascii="Arial" w:cs="Arial" w:eastAsia="Arial" w:hAnsi="Arial"/>
          <w:color w:val="1A1A2E"/>
          <w:sz w:val="20"/>
          <w:szCs w:val="20"/>
        </w:rPr>
        <w:t xml:space="preserve">Pet insurance premiums</w:t>
      </w:r>
    </w:p>
    <w:p>
      <w:pPr>
        <w:pStyle w:val="ListParagraph"/>
        <w:numPr>
          <w:ilvl w:val="0"/>
          <w:numId w:val="2"/>
        </w:numPr>
        <w:spacing w:after="60" w:before="40"/>
      </w:pPr>
      <w:r>
        <w:rPr>
          <w:rFonts w:ascii="Arial" w:cs="Arial" w:eastAsia="Arial" w:hAnsi="Arial"/>
          <w:color w:val="1A1A2E"/>
          <w:sz w:val="20"/>
          <w:szCs w:val="20"/>
        </w:rPr>
        <w:t xml:space="preserve">Financial planning and tax preparation services</w:t>
      </w:r>
    </w:p>
    <w:p>
      <w:pPr>
        <w:pStyle w:val="ListParagraph"/>
        <w:numPr>
          <w:ilvl w:val="0"/>
          <w:numId w:val="2"/>
        </w:numPr>
        <w:spacing w:after="60" w:before="40"/>
      </w:pPr>
      <w:r>
        <w:rPr>
          <w:rFonts w:ascii="Arial" w:cs="Arial" w:eastAsia="Arial" w:hAnsi="Arial"/>
          <w:color w:val="1A1A2E"/>
          <w:sz w:val="20"/>
          <w:szCs w:val="20"/>
        </w:rPr>
        <w:t xml:space="preserve">Student loan repayment assistance (up to $300/month, subject to tax treatment)</w:t>
      </w:r>
    </w:p>
    <w:p>
      <w:pPr>
        <w:pStyle w:val="ListParagraph"/>
        <w:numPr>
          <w:ilvl w:val="0"/>
          <w:numId w:val="2"/>
        </w:numPr>
        <w:spacing w:after="60" w:before="40"/>
      </w:pPr>
      <w:r>
        <w:rPr>
          <w:rFonts w:ascii="Arial" w:cs="Arial" w:eastAsia="Arial" w:hAnsi="Arial"/>
          <w:color w:val="1A1A2E"/>
          <w:sz w:val="20"/>
          <w:szCs w:val="20"/>
        </w:rPr>
        <w:t xml:space="preserve">Childcare and backup care subsidies</w:t>
      </w:r>
    </w:p>
    <w:p>
      <w:pPr>
        <w:pStyle w:val="ListParagraph"/>
        <w:numPr>
          <w:ilvl w:val="0"/>
          <w:numId w:val="2"/>
        </w:numPr>
        <w:spacing w:after="60" w:before="40"/>
      </w:pPr>
      <w:r>
        <w:rPr>
          <w:rFonts w:ascii="Arial" w:cs="Arial" w:eastAsia="Arial" w:hAnsi="Arial"/>
          <w:color w:val="1A1A2E"/>
          <w:sz w:val="20"/>
          <w:szCs w:val="20"/>
        </w:rPr>
        <w:t xml:space="preserve">Identity theft protection services</w:t>
      </w:r>
    </w:p>
    <w:p>
      <w:pPr>
        <w:pStyle w:val="ListParagraph"/>
        <w:numPr>
          <w:ilvl w:val="0"/>
          <w:numId w:val="2"/>
        </w:numPr>
        <w:spacing w:after="60" w:before="40"/>
      </w:pPr>
      <w:r>
        <w:rPr>
          <w:rFonts w:ascii="Arial" w:cs="Arial" w:eastAsia="Arial" w:hAnsi="Arial"/>
          <w:color w:val="1A1A2E"/>
          <w:sz w:val="20"/>
          <w:szCs w:val="20"/>
        </w:rPr>
        <w:t xml:space="preserve">Home office setup (for remote employees): desk, chair, monitor up to $500 (one-time, new hires only)</w:t>
      </w:r>
    </w:p>
    <w:p>
      <w:r>
        <w:br w:type="page"/>
      </w:r>
    </w:p>
    <w:p>
      <w:pPr>
        <w:pStyle w:val="Heading1"/>
        <w:spacing w:after="160" w:before="360"/>
      </w:pPr>
      <w:r>
        <w:rPr>
          <w:rFonts w:ascii="Arial" w:cs="Arial" w:eastAsia="Arial" w:hAnsi="Arial"/>
          <w:b/>
          <w:bCs/>
          <w:color w:val="1B4F72"/>
          <w:sz w:val="34"/>
          <w:szCs w:val="34"/>
        </w:rPr>
        <w:t xml:space="preserve">10. Frequently Asked Questions (FAQs)</w:t>
      </w:r>
    </w:p>
    <w:p>
      <w:pPr>
        <w:spacing w:after="80" w:before="60" w:line="320"/>
      </w:pPr>
      <w:r>
        <w:rPr>
          <w:rFonts w:ascii="Arial" w:cs="Arial" w:eastAsia="Arial" w:hAnsi="Arial"/>
          <w:color w:val="1A1A2E"/>
          <w:sz w:val="20"/>
          <w:szCs w:val="20"/>
        </w:rPr>
        <w:t xml:space="preserve">The following FAQs address the most common questions employees have about their benefits. If your question is not addressed here, please contact the HR Benefits team directly.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2" w:sz="14"/>
              <w:bottom w:val="none" w:color="FFFFFF" w:sz="0"/>
              <w:right w:val="none" w:color="FFFFFF" w:sz="0"/>
            </w:tcBorders>
            <w:shd w:fill="EBF5FB" w:val="clear"/>
            <w:tcMar>
              <w:top w:type="dxa" w:w="100"/>
              <w:left w:type="dxa" w:w="200"/>
              <w:bottom w:type="dxa" w:w="100"/>
              <w:right w:type="dxa" w:w="120"/>
            </w:tcMar>
          </w:tcPr>
          <w:p>
            <w:pPr>
              <w:spacing w:after="20" w:before="20"/>
            </w:pPr>
            <w:r>
              <w:rPr>
                <w:rFonts w:ascii="Arial" w:cs="Arial" w:eastAsia="Arial" w:hAnsi="Arial"/>
                <w:b/>
                <w:bCs/>
                <w:color w:val="1B4F72"/>
                <w:sz w:val="20"/>
                <w:szCs w:val="20"/>
              </w:rPr>
              <w:t xml:space="preserve">Q: When do my benefits start?</w:t>
            </w:r>
          </w:p>
          <w:p>
            <w:pPr>
              <w:spacing w:after="20" w:before="60"/>
            </w:pPr>
            <w:r>
              <w:rPr>
                <w:rFonts w:ascii="Arial" w:cs="Arial" w:eastAsia="Arial" w:hAnsi="Arial"/>
                <w:color w:val="1A1A2E"/>
                <w:sz w:val="20"/>
                <w:szCs w:val="20"/>
              </w:rPr>
              <w:t xml:space="preserve">A: Most benefits begin on the first of the month following your 30-day anniversary. Life insurance and EAP coverage begin on your first day. Your offer letter and new hire packet will specify exact effective dates for each benefit.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2" w:sz="14"/>
              <w:bottom w:val="none" w:color="FFFFFF" w:sz="0"/>
              <w:right w:val="none" w:color="FFFFFF" w:sz="0"/>
            </w:tcBorders>
            <w:shd w:fill="EBF5FB" w:val="clear"/>
            <w:tcMar>
              <w:top w:type="dxa" w:w="100"/>
              <w:left w:type="dxa" w:w="200"/>
              <w:bottom w:type="dxa" w:w="100"/>
              <w:right w:type="dxa" w:w="120"/>
            </w:tcMar>
          </w:tcPr>
          <w:p>
            <w:pPr>
              <w:spacing w:after="20" w:before="20"/>
            </w:pPr>
            <w:r>
              <w:rPr>
                <w:rFonts w:ascii="Arial" w:cs="Arial" w:eastAsia="Arial" w:hAnsi="Arial"/>
                <w:b/>
                <w:bCs/>
                <w:color w:val="1B4F72"/>
                <w:sz w:val="20"/>
                <w:szCs w:val="20"/>
              </w:rPr>
              <w:t xml:space="preserve">Q: Can I change my benefit elections mid-year?</w:t>
            </w:r>
          </w:p>
          <w:p>
            <w:pPr>
              <w:spacing w:after="20" w:before="60"/>
            </w:pPr>
            <w:r>
              <w:rPr>
                <w:rFonts w:ascii="Arial" w:cs="Arial" w:eastAsia="Arial" w:hAnsi="Arial"/>
                <w:color w:val="1A1A2E"/>
                <w:sz w:val="20"/>
                <w:szCs w:val="20"/>
              </w:rPr>
              <w:t xml:space="preserve">A: Generally, benefit elections are locked in during the annual open enrollment period. However, if you experience a qualifying life event (marriage, divorce, birth, adoption, or loss of other coverage), you have 30 days to make changes through the HR portal.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2" w:sz="14"/>
              <w:bottom w:val="none" w:color="FFFFFF" w:sz="0"/>
              <w:right w:val="none" w:color="FFFFFF" w:sz="0"/>
            </w:tcBorders>
            <w:shd w:fill="EBF5FB" w:val="clear"/>
            <w:tcMar>
              <w:top w:type="dxa" w:w="100"/>
              <w:left w:type="dxa" w:w="200"/>
              <w:bottom w:type="dxa" w:w="100"/>
              <w:right w:type="dxa" w:w="120"/>
            </w:tcMar>
          </w:tcPr>
          <w:p>
            <w:pPr>
              <w:spacing w:after="20" w:before="20"/>
            </w:pPr>
            <w:r>
              <w:rPr>
                <w:rFonts w:ascii="Arial" w:cs="Arial" w:eastAsia="Arial" w:hAnsi="Arial"/>
                <w:b/>
                <w:bCs/>
                <w:color w:val="1B4F72"/>
                <w:sz w:val="20"/>
                <w:szCs w:val="20"/>
              </w:rPr>
              <w:t xml:space="preserve">Q: Is my EAP use confidential from my manager and HR?</w:t>
            </w:r>
          </w:p>
          <w:p>
            <w:pPr>
              <w:spacing w:after="20" w:before="60"/>
            </w:pPr>
            <w:r>
              <w:rPr>
                <w:rFonts w:ascii="Arial" w:cs="Arial" w:eastAsia="Arial" w:hAnsi="Arial"/>
                <w:color w:val="1A1A2E"/>
                <w:sz w:val="20"/>
                <w:szCs w:val="20"/>
              </w:rPr>
              <w:t xml:space="preserve">A: Yes. EAP services are completely confidential. The Company only receives aggregate, anonymized utilization reports for program management purposes. No individual identifiable information is ever shared with management, HR, or other employees.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2" w:sz="14"/>
              <w:bottom w:val="none" w:color="FFFFFF" w:sz="0"/>
              <w:right w:val="none" w:color="FFFFFF" w:sz="0"/>
            </w:tcBorders>
            <w:shd w:fill="EBF5FB" w:val="clear"/>
            <w:tcMar>
              <w:top w:type="dxa" w:w="100"/>
              <w:left w:type="dxa" w:w="200"/>
              <w:bottom w:type="dxa" w:w="100"/>
              <w:right w:type="dxa" w:w="120"/>
            </w:tcMar>
          </w:tcPr>
          <w:p>
            <w:pPr>
              <w:spacing w:after="20" w:before="20"/>
            </w:pPr>
            <w:r>
              <w:rPr>
                <w:rFonts w:ascii="Arial" w:cs="Arial" w:eastAsia="Arial" w:hAnsi="Arial"/>
                <w:b/>
                <w:bCs/>
                <w:color w:val="1B4F72"/>
                <w:sz w:val="20"/>
                <w:szCs w:val="20"/>
              </w:rPr>
              <w:t xml:space="preserve">Q: What happens to my stock options if I leave the Company?</w:t>
            </w:r>
          </w:p>
          <w:p>
            <w:pPr>
              <w:spacing w:after="20" w:before="60"/>
            </w:pPr>
            <w:r>
              <w:rPr>
                <w:rFonts w:ascii="Arial" w:cs="Arial" w:eastAsia="Arial" w:hAnsi="Arial"/>
                <w:color w:val="1A1A2E"/>
                <w:sz w:val="20"/>
                <w:szCs w:val="20"/>
              </w:rPr>
              <w:t xml:space="preserve">A: Upon voluntary resignation, you have 90 days from your last day of employment to exercise any vested stock options. Upon involuntary termination (other than for cause), this window extends to 12 months. Unvested options are forfeited. Please review your individual grant agreement for full terms.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2" w:sz="14"/>
              <w:bottom w:val="none" w:color="FFFFFF" w:sz="0"/>
              <w:right w:val="none" w:color="FFFFFF" w:sz="0"/>
            </w:tcBorders>
            <w:shd w:fill="EBF5FB" w:val="clear"/>
            <w:tcMar>
              <w:top w:type="dxa" w:w="100"/>
              <w:left w:type="dxa" w:w="200"/>
              <w:bottom w:type="dxa" w:w="100"/>
              <w:right w:type="dxa" w:w="120"/>
            </w:tcMar>
          </w:tcPr>
          <w:p>
            <w:pPr>
              <w:spacing w:after="20" w:before="20"/>
            </w:pPr>
            <w:r>
              <w:rPr>
                <w:rFonts w:ascii="Arial" w:cs="Arial" w:eastAsia="Arial" w:hAnsi="Arial"/>
                <w:b/>
                <w:bCs/>
                <w:color w:val="1B4F72"/>
                <w:sz w:val="20"/>
                <w:szCs w:val="20"/>
              </w:rPr>
              <w:t xml:space="preserve">Q: Can I enroll my domestic partner in health coverage?</w:t>
            </w:r>
          </w:p>
          <w:p>
            <w:pPr>
              <w:spacing w:after="20" w:before="60"/>
            </w:pPr>
            <w:r>
              <w:rPr>
                <w:rFonts w:ascii="Arial" w:cs="Arial" w:eastAsia="Arial" w:hAnsi="Arial"/>
                <w:color w:val="1A1A2E"/>
                <w:sz w:val="20"/>
                <w:szCs w:val="20"/>
              </w:rPr>
              <w:t xml:space="preserve">A: Yes. Eligible domestic partners may be enrolled in health, dental, and vision coverage. The Company covers premiums for domestic partners on the same basis as spouses. Note that unlike spousal coverage, the fair market value of employer-paid premiums for domestic partners is considered imputed income subject to federal income tax.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2" w:sz="14"/>
              <w:bottom w:val="none" w:color="FFFFFF" w:sz="0"/>
              <w:right w:val="none" w:color="FFFFFF" w:sz="0"/>
            </w:tcBorders>
            <w:shd w:fill="EBF5FB" w:val="clear"/>
            <w:tcMar>
              <w:top w:type="dxa" w:w="100"/>
              <w:left w:type="dxa" w:w="200"/>
              <w:bottom w:type="dxa" w:w="100"/>
              <w:right w:type="dxa" w:w="120"/>
            </w:tcMar>
          </w:tcPr>
          <w:p>
            <w:pPr>
              <w:spacing w:after="20" w:before="20"/>
            </w:pPr>
            <w:r>
              <w:rPr>
                <w:rFonts w:ascii="Arial" w:cs="Arial" w:eastAsia="Arial" w:hAnsi="Arial"/>
                <w:b/>
                <w:bCs/>
                <w:color w:val="1B4F72"/>
                <w:sz w:val="20"/>
                <w:szCs w:val="20"/>
              </w:rPr>
              <w:t xml:space="preserve">Q: How do I access my Learning &amp; Development budget?</w:t>
            </w:r>
          </w:p>
          <w:p>
            <w:pPr>
              <w:spacing w:after="20" w:before="60"/>
            </w:pPr>
            <w:r>
              <w:rPr>
                <w:rFonts w:ascii="Arial" w:cs="Arial" w:eastAsia="Arial" w:hAnsi="Arial"/>
                <w:color w:val="1A1A2E"/>
                <w:sz w:val="20"/>
                <w:szCs w:val="20"/>
              </w:rPr>
              <w:t xml:space="preserve">A: Submit a Learning Request Form via the HR portal. For expenses under $500, post-purchase reimbursement is available with receipt submission. For expenses $500 and above, pre-approval is required. Approved requests are typically processed within 5 business days, and reimbursements appear in payroll within two pay cycles.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2" w:sz="14"/>
              <w:bottom w:val="none" w:color="FFFFFF" w:sz="0"/>
              <w:right w:val="none" w:color="FFFFFF" w:sz="0"/>
            </w:tcBorders>
            <w:shd w:fill="EBF5FB" w:val="clear"/>
            <w:tcMar>
              <w:top w:type="dxa" w:w="100"/>
              <w:left w:type="dxa" w:w="200"/>
              <w:bottom w:type="dxa" w:w="100"/>
              <w:right w:type="dxa" w:w="120"/>
            </w:tcMar>
          </w:tcPr>
          <w:p>
            <w:pPr>
              <w:spacing w:after="20" w:before="20"/>
            </w:pPr>
            <w:r>
              <w:rPr>
                <w:rFonts w:ascii="Arial" w:cs="Arial" w:eastAsia="Arial" w:hAnsi="Arial"/>
                <w:b/>
                <w:bCs/>
                <w:color w:val="1B4F72"/>
                <w:sz w:val="20"/>
                <w:szCs w:val="20"/>
              </w:rPr>
              <w:t xml:space="preserve">Q: What is the 401(k) vesting schedule?</w:t>
            </w:r>
          </w:p>
          <w:p>
            <w:pPr>
              <w:spacing w:after="20" w:before="60"/>
            </w:pPr>
            <w:r>
              <w:rPr>
                <w:rFonts w:ascii="Arial" w:cs="Arial" w:eastAsia="Arial" w:hAnsi="Arial"/>
                <w:color w:val="1A1A2E"/>
                <w:sz w:val="20"/>
                <w:szCs w:val="20"/>
              </w:rPr>
              <w:t xml:space="preserve">A: The Company's matching contributions vest over 3 years: 33% after Year 1, 66% after Year 2, and 100% after Year 3. Your own contributions are always 100% vested immediately. If you leave the Company before full vesting, you forfeit the unvested portion of Company match contributions.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2" w:sz="14"/>
              <w:bottom w:val="none" w:color="FFFFFF" w:sz="0"/>
              <w:right w:val="none" w:color="FFFFFF" w:sz="0"/>
            </w:tcBorders>
            <w:shd w:fill="EBF5FB" w:val="clear"/>
            <w:tcMar>
              <w:top w:type="dxa" w:w="100"/>
              <w:left w:type="dxa" w:w="200"/>
              <w:bottom w:type="dxa" w:w="100"/>
              <w:right w:type="dxa" w:w="120"/>
            </w:tcMar>
          </w:tcPr>
          <w:p>
            <w:pPr>
              <w:spacing w:after="20" w:before="20"/>
            </w:pPr>
            <w:r>
              <w:rPr>
                <w:rFonts w:ascii="Arial" w:cs="Arial" w:eastAsia="Arial" w:hAnsi="Arial"/>
                <w:b/>
                <w:bCs/>
                <w:color w:val="1B4F72"/>
                <w:sz w:val="20"/>
                <w:szCs w:val="20"/>
              </w:rPr>
              <w:t xml:space="preserve">Q: Are part-time employees eligible for benefits?</w:t>
            </w:r>
          </w:p>
          <w:p>
            <w:pPr>
              <w:spacing w:after="20" w:before="60"/>
            </w:pPr>
            <w:r>
              <w:rPr>
                <w:rFonts w:ascii="Arial" w:cs="Arial" w:eastAsia="Arial" w:hAnsi="Arial"/>
                <w:color w:val="1A1A2E"/>
                <w:sz w:val="20"/>
                <w:szCs w:val="20"/>
              </w:rPr>
              <w:t xml:space="preserve">A: Part-time employees working more than 20 hours per week are eligible for health insurance (partial contribution), life insurance, wellness benefits, fitness benefits, EAP, and mental health support. The eligibility table in Section 2 provides a full breakdown by benefit type and employment category.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2" w:sz="14"/>
              <w:bottom w:val="none" w:color="FFFFFF" w:sz="0"/>
              <w:right w:val="none" w:color="FFFFFF" w:sz="0"/>
            </w:tcBorders>
            <w:shd w:fill="EBF5FB" w:val="clear"/>
            <w:tcMar>
              <w:top w:type="dxa" w:w="100"/>
              <w:left w:type="dxa" w:w="200"/>
              <w:bottom w:type="dxa" w:w="100"/>
              <w:right w:type="dxa" w:w="120"/>
            </w:tcMar>
          </w:tcPr>
          <w:p>
            <w:pPr>
              <w:spacing w:after="20" w:before="20"/>
            </w:pPr>
            <w:r>
              <w:rPr>
                <w:rFonts w:ascii="Arial" w:cs="Arial" w:eastAsia="Arial" w:hAnsi="Arial"/>
                <w:b/>
                <w:bCs/>
                <w:color w:val="1B4F72"/>
                <w:sz w:val="20"/>
                <w:szCs w:val="20"/>
              </w:rPr>
              <w:t xml:space="preserve">Q: How do mental health days work?</w:t>
            </w:r>
          </w:p>
          <w:p>
            <w:pPr>
              <w:spacing w:after="20" w:before="60"/>
            </w:pPr>
            <w:r>
              <w:rPr>
                <w:rFonts w:ascii="Arial" w:cs="Arial" w:eastAsia="Arial" w:hAnsi="Arial"/>
                <w:color w:val="1A1A2E"/>
                <w:sz w:val="20"/>
                <w:szCs w:val="20"/>
              </w:rPr>
              <w:t xml:space="preserve">A: Employees receive up to 3 mental health days per calendar year, separate from PTO. To take a mental health day, simply notify your manager the same morning (or in advance if possible) following standard time-off notification procedures. No medical documentation or detailed explanation is required.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2" w:sz="14"/>
              <w:bottom w:val="none" w:color="FFFFFF" w:sz="0"/>
              <w:right w:val="none" w:color="FFFFFF" w:sz="0"/>
            </w:tcBorders>
            <w:shd w:fill="EBF5FB" w:val="clear"/>
            <w:tcMar>
              <w:top w:type="dxa" w:w="100"/>
              <w:left w:type="dxa" w:w="200"/>
              <w:bottom w:type="dxa" w:w="100"/>
              <w:right w:type="dxa" w:w="120"/>
            </w:tcMar>
          </w:tcPr>
          <w:p>
            <w:pPr>
              <w:spacing w:after="20" w:before="20"/>
            </w:pPr>
            <w:r>
              <w:rPr>
                <w:rFonts w:ascii="Arial" w:cs="Arial" w:eastAsia="Arial" w:hAnsi="Arial"/>
                <w:b/>
                <w:bCs/>
                <w:color w:val="1B4F72"/>
                <w:sz w:val="20"/>
                <w:szCs w:val="20"/>
              </w:rPr>
              <w:t xml:space="preserve">Q: Who do I contact if I have a benefits question?</w:t>
            </w:r>
          </w:p>
          <w:p>
            <w:pPr>
              <w:spacing w:after="20" w:before="60"/>
            </w:pPr>
            <w:r>
              <w:rPr>
                <w:rFonts w:ascii="Arial" w:cs="Arial" w:eastAsia="Arial" w:hAnsi="Arial"/>
                <w:color w:val="1A1A2E"/>
                <w:sz w:val="20"/>
                <w:szCs w:val="20"/>
              </w:rPr>
              <w:t xml:space="preserve">A: For most benefits questions, contact HR at benefits@company.com or call the HR Benefits Hotline at 1-800-XXX-XXXX (available Mon–Fri, 8am–6pm local time). For EAP services, call the confidential EAP line at 1-800-XXX-XXXX (24/7). For 401(k) and investment questions, contact the Plan Administrator directly through your online account portal.</w:t>
            </w:r>
          </w:p>
        </w:tc>
      </w:tr>
    </w:tbl>
    <w:p>
      <w:pPr>
        <w:spacing w:after="0" w:before="80"/>
      </w:pPr>
      <w:r>
        <w:t xml:space="preserve"/>
      </w:r>
    </w:p>
    <w:p>
      <w:r>
        <w:br w:type="page"/>
      </w:r>
    </w:p>
    <w:p>
      <w:pPr>
        <w:pStyle w:val="Heading1"/>
        <w:spacing w:after="160" w:before="360"/>
      </w:pPr>
      <w:r>
        <w:rPr>
          <w:rFonts w:ascii="Arial" w:cs="Arial" w:eastAsia="Arial" w:hAnsi="Arial"/>
          <w:b/>
          <w:bCs/>
          <w:color w:val="1B4F72"/>
          <w:sz w:val="34"/>
          <w:szCs w:val="34"/>
        </w:rPr>
        <w:t xml:space="preserve">11. Administration, Compliance &amp; Contact</w:t>
      </w:r>
    </w:p>
    <w:p>
      <w:pPr>
        <w:spacing w:after="0" w:before="6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11.1 Policy Administration</w:t>
      </w:r>
    </w:p>
    <w:p>
      <w:pPr>
        <w:spacing w:after="80" w:before="60" w:line="320"/>
      </w:pPr>
      <w:r>
        <w:rPr>
          <w:rFonts w:ascii="Arial" w:cs="Arial" w:eastAsia="Arial" w:hAnsi="Arial"/>
          <w:color w:val="1A1A2E"/>
          <w:sz w:val="20"/>
          <w:szCs w:val="20"/>
        </w:rPr>
        <w:t xml:space="preserve">This policy is administered by the Human Resources Department. HR is responsible for communicating benefit information, processing enrollments, managing vendor relationships, and ensuring compliance with applicable laws and regulations.</w:t>
      </w:r>
    </w:p>
    <w:p>
      <w:pPr>
        <w:spacing w:after="0" w:before="8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11.2 Regulatory Compliance</w:t>
      </w:r>
    </w:p>
    <w:p>
      <w:pPr>
        <w:pStyle w:val="ListParagraph"/>
        <w:numPr>
          <w:ilvl w:val="0"/>
          <w:numId w:val="2"/>
        </w:numPr>
        <w:spacing w:after="60" w:before="40"/>
      </w:pPr>
      <w:r>
        <w:rPr>
          <w:rFonts w:ascii="Arial" w:cs="Arial" w:eastAsia="Arial" w:hAnsi="Arial"/>
          <w:color w:val="1A1A2E"/>
          <w:sz w:val="20"/>
          <w:szCs w:val="20"/>
        </w:rPr>
        <w:t xml:space="preserve">This benefits program is designed to comply with ERISA, HIPAA, MHPAEA, ACA, COBRA, and all applicable federal, state, and local employment laws.</w:t>
      </w:r>
    </w:p>
    <w:p>
      <w:pPr>
        <w:pStyle w:val="ListParagraph"/>
        <w:numPr>
          <w:ilvl w:val="0"/>
          <w:numId w:val="2"/>
        </w:numPr>
        <w:spacing w:after="60" w:before="40"/>
      </w:pPr>
      <w:r>
        <w:rPr>
          <w:rFonts w:ascii="Arial" w:cs="Arial" w:eastAsia="Arial" w:hAnsi="Arial"/>
          <w:color w:val="1A1A2E"/>
          <w:sz w:val="20"/>
          <w:szCs w:val="20"/>
        </w:rPr>
        <w:t xml:space="preserve">Summary Plan Descriptions (SPDs) for all benefit plans are available on the HR portal and upon written request.</w:t>
      </w:r>
    </w:p>
    <w:p>
      <w:pPr>
        <w:pStyle w:val="ListParagraph"/>
        <w:numPr>
          <w:ilvl w:val="0"/>
          <w:numId w:val="2"/>
        </w:numPr>
        <w:spacing w:after="60" w:before="40"/>
      </w:pPr>
      <w:r>
        <w:rPr>
          <w:rFonts w:ascii="Arial" w:cs="Arial" w:eastAsia="Arial" w:hAnsi="Arial"/>
          <w:color w:val="1A1A2E"/>
          <w:sz w:val="20"/>
          <w:szCs w:val="20"/>
        </w:rPr>
        <w:t xml:space="preserve">COBRA continuation coverage notices are provided to eligible individuals within 44 days of a qualifying event.</w:t>
      </w:r>
    </w:p>
    <w:p>
      <w:pPr>
        <w:pStyle w:val="ListParagraph"/>
        <w:numPr>
          <w:ilvl w:val="0"/>
          <w:numId w:val="2"/>
        </w:numPr>
        <w:spacing w:after="60" w:before="40"/>
      </w:pPr>
      <w:r>
        <w:rPr>
          <w:rFonts w:ascii="Arial" w:cs="Arial" w:eastAsia="Arial" w:hAnsi="Arial"/>
          <w:color w:val="1A1A2E"/>
          <w:sz w:val="20"/>
          <w:szCs w:val="20"/>
        </w:rPr>
        <w:t xml:space="preserve">The Company conducts an annual benefits compliance audit and updates plan documents accordingly.</w:t>
      </w:r>
    </w:p>
    <w:p>
      <w:pPr>
        <w:spacing w:after="0" w:before="8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11.3 Policy Updates</w:t>
      </w:r>
    </w:p>
    <w:p>
      <w:pPr>
        <w:spacing w:after="80" w:before="60" w:line="320"/>
      </w:pPr>
      <w:r>
        <w:rPr>
          <w:rFonts w:ascii="Arial" w:cs="Arial" w:eastAsia="Arial" w:hAnsi="Arial"/>
          <w:color w:val="1A1A2E"/>
          <w:sz w:val="20"/>
          <w:szCs w:val="20"/>
        </w:rPr>
        <w:t xml:space="preserve">This policy will be reviewed annually and updated as needed to reflect changes in law, Company strategy, or workforce needs. Material changes will be communicated to employees with a minimum of 30 days' notice before becoming effective, except where required by law on shorter notice.</w:t>
      </w:r>
    </w:p>
    <w:p>
      <w:pPr>
        <w:spacing w:after="0" w:before="80"/>
      </w:pPr>
      <w:r>
        <w:t xml:space="preserve"/>
      </w:r>
    </w:p>
    <w:p>
      <w:pPr>
        <w:pStyle w:val="Heading2"/>
        <w:pBdr>
          <w:bottom w:val="single" w:color="2E86C1" w:sz="4" w:space="4"/>
        </w:pBdr>
        <w:spacing w:after="120" w:before="280"/>
      </w:pPr>
      <w:r>
        <w:rPr>
          <w:rFonts w:ascii="Arial" w:cs="Arial" w:eastAsia="Arial" w:hAnsi="Arial"/>
          <w:b/>
          <w:bCs/>
          <w:color w:val="2E86C1"/>
          <w:sz w:val="26"/>
          <w:szCs w:val="26"/>
        </w:rPr>
        <w:t xml:space="preserve">11.4 Contact Information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Contact</w:t>
            </w:r>
          </w:p>
        </w:tc>
        <w:tc>
          <w:tcPr>
            <w:tcW w:type="dxa" w:w="624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HR Benefits Team (General)</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benefits@company.com | Ext. 4000</w:t>
            </w:r>
          </w:p>
        </w:tc>
      </w:tr>
      <w:tr>
        <w:tc>
          <w:tcPr>
            <w:tcW w:type="dxa" w:w="312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bCs/>
                <w:color w:val="1A1A2E"/>
                <w:sz w:val="20"/>
                <w:szCs w:val="20"/>
              </w:rPr>
              <w:t xml:space="preserve">HR Benefits Hotline</w:t>
            </w:r>
          </w:p>
        </w:tc>
        <w:tc>
          <w:tcPr>
            <w:tcW w:type="dxa" w:w="624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val="false"/>
                <w:bCs w:val="false"/>
                <w:color w:val="1A1A2E"/>
                <w:sz w:val="20"/>
                <w:szCs w:val="20"/>
              </w:rPr>
              <w:t xml:space="preserve">1-800-XXX-XXXX (Mon–Fri, 8am–6pm)</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EAP (Confidential, 24/7)</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1-800-XXX-XXXX</w:t>
            </w:r>
          </w:p>
        </w:tc>
      </w:tr>
      <w:tr>
        <w:tc>
          <w:tcPr>
            <w:tcW w:type="dxa" w:w="312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bCs/>
                <w:color w:val="1A1A2E"/>
                <w:sz w:val="20"/>
                <w:szCs w:val="20"/>
              </w:rPr>
              <w:t xml:space="preserve">401(k) Plan Administrator</w:t>
            </w:r>
          </w:p>
        </w:tc>
        <w:tc>
          <w:tcPr>
            <w:tcW w:type="dxa" w:w="624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val="false"/>
                <w:bCs w:val="false"/>
                <w:color w:val="1A1A2E"/>
                <w:sz w:val="20"/>
                <w:szCs w:val="20"/>
              </w:rPr>
              <w:t xml:space="preserve">plan-admin@company.com | 1-800-XXX-XXXX</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Stock &amp; Equity Questions</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equity@company.com</w:t>
            </w:r>
          </w:p>
        </w:tc>
      </w:tr>
      <w:tr>
        <w:tc>
          <w:tcPr>
            <w:tcW w:type="dxa" w:w="312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bCs/>
                <w:color w:val="1A1A2E"/>
                <w:sz w:val="20"/>
                <w:szCs w:val="20"/>
              </w:rPr>
              <w:t xml:space="preserve">Learning &amp; Development</w:t>
            </w:r>
          </w:p>
        </w:tc>
        <w:tc>
          <w:tcPr>
            <w:tcW w:type="dxa" w:w="6240"/>
            <w:tcBorders>
              <w:top w:val="single" w:color="AED6F1" w:sz="1"/>
              <w:left w:val="single" w:color="AED6F1" w:sz="1"/>
              <w:bottom w:val="single" w:color="AED6F1" w:sz="1"/>
              <w:right w:val="single" w:color="AED6F1" w:sz="1"/>
            </w:tcBorders>
            <w:shd w:fill="F4F9FC" w:val="clear"/>
            <w:tcMar>
              <w:top w:type="dxa" w:w="80"/>
              <w:left w:type="dxa" w:w="120"/>
              <w:bottom w:type="dxa" w:w="80"/>
              <w:right w:type="dxa" w:w="120"/>
            </w:tcMar>
          </w:tcPr>
          <w:p>
            <w:r>
              <w:rPr>
                <w:rFonts w:ascii="Arial" w:cs="Arial" w:eastAsia="Arial" w:hAnsi="Arial"/>
                <w:b w:val="false"/>
                <w:bCs w:val="false"/>
                <w:color w:val="1A1A2E"/>
                <w:sz w:val="20"/>
                <w:szCs w:val="20"/>
              </w:rPr>
              <w:t xml:space="preserve">learning@company.com</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HR Portal (Self-Service)</w:t>
            </w:r>
          </w:p>
        </w:tc>
        <w:tc>
          <w:tcPr>
            <w:tcW w:type="dxa" w:w="62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https://hr.company.com</w:t>
            </w:r>
          </w:p>
        </w:tc>
      </w:tr>
    </w:tbl>
    <w:p>
      <w:pPr>
        <w:spacing w:after="0" w:before="120"/>
      </w:pPr>
      <w:r>
        <w:t xml:space="preserve"/>
      </w:r>
    </w:p>
    <w:p>
      <w:pPr>
        <w:pBdr>
          <w:bottom w:val="single" w:color="AED6F1" w:sz="6" w:space="4"/>
        </w:pBdr>
        <w:spacing w:after="120" w:before="120"/>
      </w:pPr>
      <w:r>
        <w:t xml:space="preserve"/>
      </w:r>
    </w:p>
    <w:p>
      <w:pPr>
        <w:spacing w:after="0" w:before="80"/>
      </w:pPr>
      <w:r>
        <w:t xml:space="preserve"/>
      </w:r>
    </w:p>
    <w:p>
      <w:pPr>
        <w:spacing w:after="60" w:before="60"/>
        <w:jc w:val="center"/>
      </w:pPr>
      <w:r>
        <w:rPr>
          <w:rFonts w:ascii="Arial" w:cs="Arial" w:eastAsia="Arial" w:hAnsi="Arial"/>
          <w:i/>
          <w:iCs/>
          <w:color w:val="5D6D7E"/>
          <w:sz w:val="18"/>
          <w:szCs w:val="18"/>
        </w:rPr>
        <w:t xml:space="preserve">This policy document is effective January 1, 2025. All prior versions are superseded.</w:t>
      </w:r>
    </w:p>
    <w:p>
      <w:pPr>
        <w:spacing w:after="60" w:before="20"/>
        <w:jc w:val="center"/>
      </w:pPr>
      <w:r>
        <w:rPr>
          <w:rFonts w:ascii="Arial" w:cs="Arial" w:eastAsia="Arial" w:hAnsi="Arial"/>
          <w:i/>
          <w:iCs/>
          <w:color w:val="5D6D7E"/>
          <w:sz w:val="18"/>
          <w:szCs w:val="18"/>
        </w:rPr>
        <w:t xml:space="preserve">© 2025 [Company Name]. All Rights Reserved. Human Resources Department.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space="4"/>
      </w:pBdr>
      <w:tabs>
        <w:tab w:val="right" w:pos="9026"/>
      </w:tabs>
      <w:spacing w:before="80"/>
    </w:pPr>
    <w:r>
      <w:rPr>
        <w:rFonts w:ascii="Arial" w:cs="Arial" w:eastAsia="Arial" w:hAnsi="Arial"/>
        <w:color w:val="5D6D7E"/>
        <w:sz w:val="16"/>
        <w:szCs w:val="16"/>
      </w:rPr>
      <w:t xml:space="preserve">Human Resources Department</w:t>
    </w:r>
    <w:r>
      <w:rPr>
        <w:rFonts w:ascii="Arial" w:cs="Arial" w:eastAsia="Arial" w:hAnsi="Arial"/>
        <w:sz w:val="16"/>
        <w:szCs w:val="16"/>
      </w:rPr>
      <w:t xml:space="preserve">	</w:t>
    </w:r>
    <w:r>
      <w:rPr>
        <w:rFonts w:ascii="Arial" w:cs="Arial" w:eastAsia="Arial" w:hAnsi="Arial"/>
        <w:color w:val="5D6D7E"/>
        <w:sz w:val="16"/>
        <w:szCs w:val="16"/>
      </w:rPr>
      <w:t xml:space="preserve">Page </w:t>
    </w:r>
    <w:fldSimple w:instr="PAGE">
      <w:r>
        <w:rPr>
          <w:rFonts w:ascii="Arial" w:cs="Arial" w:eastAsia="Arial" w:hAnsi="Arial"/>
          <w:color w:val="5D6D7E"/>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tabs>
        <w:tab w:val="right" w:pos="9026"/>
      </w:tabs>
      <w:spacing w:after="80"/>
    </w:pPr>
    <w:r>
      <w:rPr>
        <w:rFonts w:ascii="Arial" w:cs="Arial" w:eastAsia="Arial" w:hAnsi="Arial"/>
        <w:b/>
        <w:bCs/>
        <w:color w:val="1B4F72"/>
        <w:sz w:val="18"/>
        <w:szCs w:val="18"/>
      </w:rPr>
      <w:t xml:space="preserve">Employee Benefits Policy</w:t>
    </w:r>
    <w:r>
      <w:rPr>
        <w:rFonts w:ascii="Arial" w:cs="Arial" w:eastAsia="Arial" w:hAnsi="Arial"/>
        <w:sz w:val="18"/>
        <w:szCs w:val="18"/>
      </w:rPr>
      <w:t xml:space="preserve">	</w:t>
    </w:r>
    <w:r>
      <w:rPr>
        <w:rFonts w:ascii="Arial" w:cs="Arial" w:eastAsia="Arial" w:hAnsi="Arial"/>
        <w:i/>
        <w:iCs/>
        <w:color w:val="5D6D7E"/>
        <w:sz w:val="18"/>
        <w:szCs w:val="18"/>
      </w:rPr>
      <w:t xml:space="preserve">Version 2.1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72"/>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543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2026-06-05T11:57:41.730Z</dcterms:created>
  <dcterms:modified xsi:type="dcterms:W3CDTF">2026-06-05T11:57:41.730Z</dcterms:modified>
</cp:coreProperties>
</file>

<file path=docProps/custom.xml><?xml version="1.0" encoding="utf-8"?>
<Properties xmlns="http://schemas.openxmlformats.org/officeDocument/2006/custom-properties" xmlns:vt="http://schemas.openxmlformats.org/officeDocument/2006/docPropsVTypes"/>
</file>