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60" w:before="0"/>
        <w:jc w:val="center"/>
      </w:pPr>
      <w:r>
        <w:rPr>
          <w:rFonts w:ascii="Arial" w:cs="Arial" w:eastAsia="Arial" w:hAnsi="Arial"/>
          <w:b/>
          <w:bCs/>
          <w:color w:val="0D2B55"/>
          <w:sz w:val="68"/>
          <w:szCs w:val="68"/>
        </w:rPr>
        <w:t xml:space="preserve">ENTERPRISE HR COMPLIANCE</w:t>
      </w:r>
    </w:p>
    <w:p>
      <w:pPr>
        <w:spacing w:after="60" w:before="0"/>
        <w:jc w:val="center"/>
      </w:pPr>
      <w:r>
        <w:rPr>
          <w:rFonts w:ascii="Arial" w:cs="Arial" w:eastAsia="Arial" w:hAnsi="Arial"/>
          <w:b/>
          <w:bCs/>
          <w:color w:val="1A4A8A"/>
          <w:sz w:val="68"/>
          <w:szCs w:val="68"/>
        </w:rPr>
        <w:t xml:space="preserve">&amp; SECURITY POLICY</w:t>
      </w:r>
    </w:p>
    <w:p>
      <w:pPr>
        <w:spacing w:after="30" w:before="0"/>
      </w:pPr>
    </w:p>
    <w:p>
      <w:pPr>
        <w:pBdr>
          <w:bottom w:val="single" w:color="1A4A8A" w:sz="10" w:space="2"/>
        </w:pBdr>
        <w:spacing w:after="0" w:before="0"/>
        <w:jc w:val="center"/>
      </w:pPr>
    </w:p>
    <w:p>
      <w:pPr>
        <w:spacing w:after="30" w:before="0"/>
      </w:pPr>
    </w:p>
    <w:p>
      <w:pPr>
        <w:spacing w:after="40" w:before="20"/>
        <w:jc w:val="center"/>
      </w:pPr>
      <w:r>
        <w:rPr>
          <w:rFonts w:ascii="Arial" w:cs="Arial" w:eastAsia="Arial" w:hAnsi="Arial"/>
          <w:i/>
          <w:iCs/>
          <w:color w:val="1A4A8A"/>
          <w:sz w:val="22"/>
          <w:szCs w:val="22"/>
        </w:rPr>
        <w:t xml:space="preserve">Protecting Employee Data  ·  Ensuring Regulatory Compliance  ·  Governing Information Security</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Document Classification</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CONFIDENTIAL — INTERNAL</w:t>
            </w:r>
          </w:p>
        </w:tc>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Policy Owner</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Chief People Officer &amp; CISO</w:t>
            </w:r>
          </w:p>
        </w:tc>
      </w:tr>
      <w:tr>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Version</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3.1</w:t>
            </w:r>
          </w:p>
        </w:tc>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Effective Date</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January 1, 2025</w:t>
            </w:r>
          </w:p>
        </w:tc>
      </w:tr>
      <w:tr>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Review Cycle</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Annual (or upon regulatory change)</w:t>
            </w:r>
          </w:p>
        </w:tc>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Jurisdiction</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Global — aligned to GDPR, DPDPA, CCPA</w:t>
            </w:r>
          </w:p>
        </w:tc>
      </w:tr>
      <w:tr>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Approved By</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Board of Directors</w:t>
            </w:r>
          </w:p>
        </w:tc>
        <w:tc>
          <w:tcPr>
            <w:tcW w:type="dxa" w:w="234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bCs/>
                <w:color w:val="0D2B55"/>
                <w:sz w:val="19"/>
                <w:szCs w:val="19"/>
              </w:rPr>
              <w:t xml:space="preserve">Next Review Date</w:t>
            </w:r>
          </w:p>
        </w:tc>
        <w:tc>
          <w:tcPr>
            <w:tcW w:type="dxa" w:w="234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December 31, 2025</w:t>
            </w:r>
          </w:p>
        </w:tc>
      </w:tr>
    </w:tbl>
    <w:p>
      <w:r>
        <w:br w:type="page"/>
      </w:r>
    </w:p>
    <w:p>
      <w:pPr>
        <w:pStyle w:val="Heading1"/>
        <w:spacing w:after="160" w:before="360"/>
      </w:pPr>
      <w:r>
        <w:rPr>
          <w:rFonts w:ascii="Arial" w:cs="Arial" w:eastAsia="Arial" w:hAnsi="Arial"/>
          <w:b/>
          <w:bCs/>
          <w:color w:val="1A4A8A"/>
          <w:sz w:val="34"/>
          <w:szCs w:val="34"/>
        </w:rPr>
        <w:t xml:space="preserve">1.  </w:t>
      </w:r>
      <w:r>
        <w:rPr>
          <w:rFonts w:ascii="Arial" w:cs="Arial" w:eastAsia="Arial" w:hAnsi="Arial"/>
          <w:b/>
          <w:bCs/>
          <w:color w:val="0D2B55"/>
          <w:sz w:val="34"/>
          <w:szCs w:val="34"/>
        </w:rPr>
        <w:t xml:space="preserve">Introduction &amp; Policy Scope</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This Enterprise HR Compliance and Security Policy establishes binding standards for the collection, storage, processing, sharing, and disposal of all employee data and confidential HR information within the organization and its subsidiaries. It is designed to ensure full compliance with applicable data protection laws, mitigate information security risks, and protect the rights and dignity of all employees.</w:t>
      </w:r>
    </w:p>
    <w:p>
      <w:pPr>
        <w:spacing w:after="60" w:before="0"/>
      </w:pPr>
    </w:p>
    <w:p>
      <w:pPr>
        <w:spacing w:after="100" w:before="60"/>
      </w:pPr>
      <w:r>
        <w:rPr>
          <w:rFonts w:ascii="Arial" w:cs="Arial" w:eastAsia="Arial" w:hAnsi="Arial"/>
          <w:color w:val="1C2733"/>
          <w:sz w:val="21"/>
          <w:szCs w:val="21"/>
        </w:rPr>
        <w:t xml:space="preserve">This policy applies to all individuals who access or process employee data, including full-time employees, contractors, temporary staff, interns, third-party vendors, and board members across all jurisdictions in which the organization operates.</w:t>
      </w:r>
    </w:p>
    <w:p>
      <w:pPr>
        <w:spacing w:after="80" w:before="0"/>
      </w:pPr>
    </w:p>
    <w:p>
      <w:pPr>
        <w:pStyle w:val="Heading2"/>
        <w:spacing w:after="100" w:before="240"/>
      </w:pPr>
      <w:r>
        <w:rPr>
          <w:rFonts w:ascii="Arial" w:cs="Arial" w:eastAsia="Arial" w:hAnsi="Arial"/>
          <w:b/>
          <w:bCs/>
          <w:color w:val="1A4A8A"/>
          <w:sz w:val="24"/>
          <w:szCs w:val="24"/>
        </w:rPr>
        <w:t xml:space="preserve">1.1  Governing Regulatory Framework</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Regulation / Law</w:t>
            </w:r>
          </w:p>
        </w:tc>
        <w:tc>
          <w:tcPr>
            <w:tcW w:type="dxa" w:w="61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Applicability</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GDPR (EU) 2016/679</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All employees and data subjects in the European Economic Area</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UK GDPR / Data Protection Act 2018</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UK-based employees and operations</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DPDPA 2023 (India)</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India-based employees and data processing activities</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CCPA / CPRA (California)</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in California, USA</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POPIA (South Africa)</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South African operations and staff</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ISO/IEC 27001:2022</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Information security management baseline</w:t>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SOC 2 Type II</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Controls applicable to SaaS and cloud-hosted HR systems</w:t>
            </w:r>
          </w:p>
        </w:tc>
      </w:tr>
    </w:tbl>
    <w:p>
      <w:pPr>
        <w:spacing w:after="100" w:before="0"/>
      </w:pPr>
    </w:p>
    <w:p>
      <w:pPr>
        <w:pStyle w:val="Heading2"/>
        <w:spacing w:after="100" w:before="240"/>
      </w:pPr>
      <w:r>
        <w:rPr>
          <w:rFonts w:ascii="Arial" w:cs="Arial" w:eastAsia="Arial" w:hAnsi="Arial"/>
          <w:b/>
          <w:bCs/>
          <w:color w:val="1A4A8A"/>
          <w:sz w:val="24"/>
          <w:szCs w:val="24"/>
        </w:rPr>
        <w:t xml:space="preserve">1.2  Policy Objectives</w:t>
      </w:r>
    </w:p>
    <w:p>
      <w:pPr>
        <w:pStyle w:val="ListParagraph"/>
        <w:numPr>
          <w:ilvl w:val="0"/>
          <w:numId w:val="2"/>
        </w:numPr>
        <w:spacing w:after="60" w:before="40"/>
      </w:pPr>
      <w:r>
        <w:rPr>
          <w:rFonts w:ascii="Arial" w:cs="Arial" w:eastAsia="Arial" w:hAnsi="Arial"/>
          <w:color w:val="1C2733"/>
          <w:sz w:val="21"/>
          <w:szCs w:val="21"/>
        </w:rPr>
        <w:t xml:space="preserve">Protect the privacy and confidentiality of all personal and sensitive employee data.</w:t>
      </w:r>
    </w:p>
    <w:p>
      <w:pPr>
        <w:pStyle w:val="ListParagraph"/>
        <w:numPr>
          <w:ilvl w:val="0"/>
          <w:numId w:val="2"/>
        </w:numPr>
        <w:spacing w:after="60" w:before="40"/>
      </w:pPr>
      <w:r>
        <w:rPr>
          <w:rFonts w:ascii="Arial" w:cs="Arial" w:eastAsia="Arial" w:hAnsi="Arial"/>
          <w:color w:val="1C2733"/>
          <w:sz w:val="21"/>
          <w:szCs w:val="21"/>
        </w:rPr>
        <w:t xml:space="preserve">Define access control standards to prevent unauthorized disclosure.</w:t>
      </w:r>
    </w:p>
    <w:p>
      <w:pPr>
        <w:pStyle w:val="ListParagraph"/>
        <w:numPr>
          <w:ilvl w:val="0"/>
          <w:numId w:val="2"/>
        </w:numPr>
        <w:spacing w:after="60" w:before="40"/>
      </w:pPr>
      <w:r>
        <w:rPr>
          <w:rFonts w:ascii="Arial" w:cs="Arial" w:eastAsia="Arial" w:hAnsi="Arial"/>
          <w:color w:val="1C2733"/>
          <w:sz w:val="21"/>
          <w:szCs w:val="21"/>
        </w:rPr>
        <w:t xml:space="preserve">Establish clear data retention and deletion schedules.</w:t>
      </w:r>
    </w:p>
    <w:p>
      <w:pPr>
        <w:pStyle w:val="ListParagraph"/>
        <w:numPr>
          <w:ilvl w:val="0"/>
          <w:numId w:val="2"/>
        </w:numPr>
        <w:spacing w:after="60" w:before="40"/>
      </w:pPr>
      <w:r>
        <w:rPr>
          <w:rFonts w:ascii="Arial" w:cs="Arial" w:eastAsia="Arial" w:hAnsi="Arial"/>
          <w:color w:val="1C2733"/>
          <w:sz w:val="21"/>
          <w:szCs w:val="21"/>
        </w:rPr>
        <w:t xml:space="preserve">Mandate incident reporting procedures for data breaches and security events.</w:t>
      </w:r>
    </w:p>
    <w:p>
      <w:pPr>
        <w:pStyle w:val="ListParagraph"/>
        <w:numPr>
          <w:ilvl w:val="0"/>
          <w:numId w:val="2"/>
        </w:numPr>
        <w:spacing w:after="60" w:before="40"/>
      </w:pPr>
      <w:r>
        <w:rPr>
          <w:rFonts w:ascii="Arial" w:cs="Arial" w:eastAsia="Arial" w:hAnsi="Arial"/>
          <w:color w:val="1C2733"/>
          <w:sz w:val="21"/>
          <w:szCs w:val="21"/>
        </w:rPr>
        <w:t xml:space="preserve">Ensure ongoing regulatory compliance through audit and review mechanisms.</w:t>
      </w:r>
    </w:p>
    <w:p>
      <w:pPr>
        <w:pStyle w:val="ListParagraph"/>
        <w:numPr>
          <w:ilvl w:val="0"/>
          <w:numId w:val="2"/>
        </w:numPr>
        <w:spacing w:after="60" w:before="40"/>
      </w:pPr>
      <w:r>
        <w:rPr>
          <w:rFonts w:ascii="Arial" w:cs="Arial" w:eastAsia="Arial" w:hAnsi="Arial"/>
          <w:color w:val="1C2733"/>
          <w:sz w:val="21"/>
          <w:szCs w:val="21"/>
        </w:rPr>
        <w:t xml:space="preserve">Define consequences for policy violations with graduated corrective actions.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1"/>
              <w:left w:val="single" w:color="1A4A8A" w:sz="16"/>
              <w:bottom w:val="single" w:color="1A4A8A" w:sz="1"/>
              <w:right w:val="single" w:color="1A4A8A" w:sz="1"/>
            </w:tcBorders>
            <w:shd w:fill="EAF0FB" w:val="clear"/>
            <w:tcMar>
              <w:top w:type="dxa" w:w="120"/>
              <w:left w:type="dxa" w:w="200"/>
              <w:bottom w:type="dxa" w:w="120"/>
              <w:right w:type="dxa" w:w="200"/>
            </w:tcMar>
          </w:tcPr>
          <w:p>
            <w:pPr>
              <w:spacing w:after="0" w:before="0"/>
            </w:pPr>
            <w:r>
              <w:rPr>
                <w:rFonts w:ascii="Arial" w:cs="Arial" w:eastAsia="Arial" w:hAnsi="Arial"/>
                <w:sz w:val="21"/>
                <w:szCs w:val="21"/>
              </w:rPr>
              <w:t xml:space="preserve">ℹ  </w:t>
            </w:r>
            <w:r>
              <w:rPr>
                <w:rFonts w:ascii="Arial" w:cs="Arial" w:eastAsia="Arial" w:hAnsi="Arial"/>
                <w:b/>
                <w:bCs/>
                <w:color w:val="1A4A8A"/>
                <w:sz w:val="21"/>
                <w:szCs w:val="21"/>
              </w:rPr>
              <w:t xml:space="preserve">NOTE: </w:t>
            </w:r>
            <w:r>
              <w:rPr>
                <w:rFonts w:ascii="Arial" w:cs="Arial" w:eastAsia="Arial" w:hAnsi="Arial"/>
                <w:color w:val="1C2733"/>
                <w:sz w:val="21"/>
                <w:szCs w:val="21"/>
              </w:rPr>
              <w:t xml:space="preserve">This policy supersedes all prior HR data privacy and information security policies. In the event of conflict with local law, the stricter standard applies.</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2.  </w:t>
      </w:r>
      <w:r>
        <w:rPr>
          <w:rFonts w:ascii="Arial" w:cs="Arial" w:eastAsia="Arial" w:hAnsi="Arial"/>
          <w:b/>
          <w:bCs/>
          <w:color w:val="0D2B55"/>
          <w:sz w:val="34"/>
          <w:szCs w:val="34"/>
        </w:rPr>
        <w:t xml:space="preserve">Personally Identifiable Information (PII) Handling</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Personally Identifiable Information (PII) is any data that can directly or indirectly identify an individual. The organization classifies employee PII into three tiers, each governed by progressively stricter handling standards.</w:t>
      </w:r>
    </w:p>
    <w:p>
      <w:pPr>
        <w:spacing w:after="80" w:before="0"/>
      </w:pPr>
    </w:p>
    <w:p>
      <w:pPr>
        <w:pStyle w:val="Heading2"/>
        <w:spacing w:after="100" w:before="240"/>
      </w:pPr>
      <w:r>
        <w:rPr>
          <w:rFonts w:ascii="Arial" w:cs="Arial" w:eastAsia="Arial" w:hAnsi="Arial"/>
          <w:b/>
          <w:bCs/>
          <w:color w:val="1A4A8A"/>
          <w:sz w:val="24"/>
          <w:szCs w:val="24"/>
        </w:rPr>
        <w:t xml:space="preserve">2.1  PII Classification Tiers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44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Examples</w:t>
            </w:r>
          </w:p>
        </w:tc>
        <w:tc>
          <w:tcPr>
            <w:tcW w:type="dxa" w:w="29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Handling Standard</w:t>
            </w:r>
          </w:p>
        </w:tc>
      </w:tr>
      <w:tr>
        <w:tc>
          <w:tcPr>
            <w:tcW w:type="dxa" w:w="2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Tier 1 — Public</w:t>
            </w:r>
          </w:p>
        </w:tc>
        <w:tc>
          <w:tcPr>
            <w:tcW w:type="dxa" w:w="4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Job title, work email, department, office location</w:t>
            </w:r>
          </w:p>
        </w:tc>
        <w:tc>
          <w:tcPr>
            <w:tcW w:type="dxa" w:w="2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Standard access — minimal restriction</w:t>
            </w:r>
          </w:p>
        </w:tc>
      </w:tr>
      <w:tr>
        <w:tc>
          <w:tcPr>
            <w:tcW w:type="dxa" w:w="2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Tier 2 — Internal</w:t>
            </w:r>
          </w:p>
        </w:tc>
        <w:tc>
          <w:tcPr>
            <w:tcW w:type="dxa" w:w="4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Salary, performance ratings, employment history, leave records</w:t>
            </w:r>
          </w:p>
        </w:tc>
        <w:tc>
          <w:tcPr>
            <w:tcW w:type="dxa" w:w="2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Role-based access — HR and manager only</w:t>
            </w:r>
          </w:p>
        </w:tc>
      </w:tr>
      <w:tr>
        <w:tc>
          <w:tcPr>
            <w:tcW w:type="dxa" w:w="2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Tier 3 — Sensitive</w:t>
            </w:r>
          </w:p>
        </w:tc>
        <w:tc>
          <w:tcPr>
            <w:tcW w:type="dxa" w:w="4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Biometrics, health data, national ID, religion, union membership, disciplinary records</w:t>
            </w:r>
          </w:p>
        </w:tc>
        <w:tc>
          <w:tcPr>
            <w:tcW w:type="dxa" w:w="2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Strict access — CISO + DPO approval required</w:t>
            </w:r>
          </w:p>
        </w:tc>
      </w:tr>
    </w:tbl>
    <w:p>
      <w:pPr>
        <w:spacing w:after="80" w:before="0"/>
      </w:pPr>
    </w:p>
    <w:p>
      <w:pPr>
        <w:pStyle w:val="Heading2"/>
        <w:spacing w:after="100" w:before="240"/>
      </w:pPr>
      <w:r>
        <w:rPr>
          <w:rFonts w:ascii="Arial" w:cs="Arial" w:eastAsia="Arial" w:hAnsi="Arial"/>
          <w:b/>
          <w:bCs/>
          <w:color w:val="1A4A8A"/>
          <w:sz w:val="24"/>
          <w:szCs w:val="24"/>
        </w:rPr>
        <w:t xml:space="preserve">2.2  Lawful Basis for Processing PII</w:t>
      </w:r>
    </w:p>
    <w:p>
      <w:pPr>
        <w:spacing w:after="100" w:before="60"/>
      </w:pPr>
      <w:r>
        <w:rPr>
          <w:rFonts w:ascii="Arial" w:cs="Arial" w:eastAsia="Arial" w:hAnsi="Arial"/>
          <w:color w:val="1C2733"/>
          <w:sz w:val="21"/>
          <w:szCs w:val="21"/>
        </w:rPr>
        <w:t xml:space="preserve">All PII processing must be conducted under a lawful basis as defined by applicable data protection law. The primary lawful bases applicable to HR processing are:</w:t>
      </w:r>
    </w:p>
    <w:p>
      <w:pPr>
        <w:pStyle w:val="ListParagraph"/>
        <w:numPr>
          <w:ilvl w:val="0"/>
          <w:numId w:val="2"/>
        </w:numPr>
        <w:spacing w:after="60" w:before="40"/>
      </w:pPr>
      <w:r>
        <w:rPr>
          <w:rFonts w:ascii="Arial" w:cs="Arial" w:eastAsia="Arial" w:hAnsi="Arial"/>
          <w:color w:val="1C2733"/>
          <w:sz w:val="21"/>
          <w:szCs w:val="21"/>
        </w:rPr>
        <w:t xml:space="preserve">Contractual necessity — processing required to fulfil the employment contract.</w:t>
      </w:r>
    </w:p>
    <w:p>
      <w:pPr>
        <w:pStyle w:val="ListParagraph"/>
        <w:numPr>
          <w:ilvl w:val="0"/>
          <w:numId w:val="2"/>
        </w:numPr>
        <w:spacing w:after="60" w:before="40"/>
      </w:pPr>
      <w:r>
        <w:rPr>
          <w:rFonts w:ascii="Arial" w:cs="Arial" w:eastAsia="Arial" w:hAnsi="Arial"/>
          <w:color w:val="1C2733"/>
          <w:sz w:val="21"/>
          <w:szCs w:val="21"/>
        </w:rPr>
        <w:t xml:space="preserve">Legal obligation — processing mandated by applicable law (e.g., tax, social security).</w:t>
      </w:r>
    </w:p>
    <w:p>
      <w:pPr>
        <w:pStyle w:val="ListParagraph"/>
        <w:numPr>
          <w:ilvl w:val="0"/>
          <w:numId w:val="2"/>
        </w:numPr>
        <w:spacing w:after="60" w:before="40"/>
      </w:pPr>
      <w:r>
        <w:rPr>
          <w:rFonts w:ascii="Arial" w:cs="Arial" w:eastAsia="Arial" w:hAnsi="Arial"/>
          <w:color w:val="1C2733"/>
          <w:sz w:val="21"/>
          <w:szCs w:val="21"/>
        </w:rPr>
        <w:t xml:space="preserve">Legitimate interests — processing for genuine operational HR purposes with documented balancing test.</w:t>
      </w:r>
    </w:p>
    <w:p>
      <w:pPr>
        <w:pStyle w:val="ListParagraph"/>
        <w:numPr>
          <w:ilvl w:val="0"/>
          <w:numId w:val="2"/>
        </w:numPr>
        <w:spacing w:after="60" w:before="40"/>
      </w:pPr>
      <w:r>
        <w:rPr>
          <w:rFonts w:ascii="Arial" w:cs="Arial" w:eastAsia="Arial" w:hAnsi="Arial"/>
          <w:color w:val="1C2733"/>
          <w:sz w:val="21"/>
          <w:szCs w:val="21"/>
        </w:rPr>
        <w:t xml:space="preserve">Consent — used only where no other lawful basis applies; consent must be freely given, specific, informed, and withdrawable.</w:t>
      </w:r>
    </w:p>
    <w:p>
      <w:pPr>
        <w:spacing w:after="80" w:before="0"/>
      </w:pPr>
    </w:p>
    <w:p>
      <w:pPr>
        <w:pStyle w:val="Heading2"/>
        <w:spacing w:after="100" w:before="240"/>
      </w:pPr>
      <w:r>
        <w:rPr>
          <w:rFonts w:ascii="Arial" w:cs="Arial" w:eastAsia="Arial" w:hAnsi="Arial"/>
          <w:b/>
          <w:bCs/>
          <w:color w:val="1A4A8A"/>
          <w:sz w:val="24"/>
          <w:szCs w:val="24"/>
        </w:rPr>
        <w:t xml:space="preserve">2.3  PII Handling Rules</w:t>
      </w:r>
    </w:p>
    <w:p>
      <w:pPr>
        <w:pStyle w:val="ListParagraph"/>
        <w:numPr>
          <w:ilvl w:val="0"/>
          <w:numId w:val="2"/>
        </w:numPr>
        <w:spacing w:after="60" w:before="40"/>
      </w:pPr>
      <w:r>
        <w:rPr>
          <w:rFonts w:ascii="Arial" w:cs="Arial" w:eastAsia="Arial" w:hAnsi="Arial"/>
          <w:color w:val="1C2733"/>
          <w:sz w:val="21"/>
          <w:szCs w:val="21"/>
        </w:rPr>
        <w:t xml:space="preserve">PII must only be collected for specified, explicit, and legitimate purposes (purpose limitation).</w:t>
      </w:r>
    </w:p>
    <w:p>
      <w:pPr>
        <w:pStyle w:val="ListParagraph"/>
        <w:numPr>
          <w:ilvl w:val="0"/>
          <w:numId w:val="2"/>
        </w:numPr>
        <w:spacing w:after="60" w:before="40"/>
      </w:pPr>
      <w:r>
        <w:rPr>
          <w:rFonts w:ascii="Arial" w:cs="Arial" w:eastAsia="Arial" w:hAnsi="Arial"/>
          <w:color w:val="1C2733"/>
          <w:sz w:val="21"/>
          <w:szCs w:val="21"/>
        </w:rPr>
        <w:t xml:space="preserve">Data collected must be adequate, relevant, and limited to what is necessary (data minimisation).</w:t>
      </w:r>
    </w:p>
    <w:p>
      <w:pPr>
        <w:pStyle w:val="ListParagraph"/>
        <w:numPr>
          <w:ilvl w:val="0"/>
          <w:numId w:val="2"/>
        </w:numPr>
        <w:spacing w:after="60" w:before="40"/>
      </w:pPr>
      <w:r>
        <w:rPr>
          <w:rFonts w:ascii="Arial" w:cs="Arial" w:eastAsia="Arial" w:hAnsi="Arial"/>
          <w:color w:val="1C2733"/>
          <w:sz w:val="21"/>
          <w:szCs w:val="21"/>
        </w:rPr>
        <w:t xml:space="preserve">PII must be accurate and kept up to date; employees may request correction at any time.</w:t>
      </w:r>
    </w:p>
    <w:p>
      <w:pPr>
        <w:pStyle w:val="ListParagraph"/>
        <w:numPr>
          <w:ilvl w:val="0"/>
          <w:numId w:val="2"/>
        </w:numPr>
        <w:spacing w:after="60" w:before="40"/>
      </w:pPr>
      <w:r>
        <w:rPr>
          <w:rFonts w:ascii="Arial" w:cs="Arial" w:eastAsia="Arial" w:hAnsi="Arial"/>
          <w:color w:val="1C2733"/>
          <w:sz w:val="21"/>
          <w:szCs w:val="21"/>
        </w:rPr>
        <w:t xml:space="preserve">PII must not be transferred to third parties without a valid Data Processing Agreement (DPA).</w:t>
      </w:r>
    </w:p>
    <w:p>
      <w:pPr>
        <w:pStyle w:val="ListParagraph"/>
        <w:numPr>
          <w:ilvl w:val="0"/>
          <w:numId w:val="2"/>
        </w:numPr>
        <w:spacing w:after="60" w:before="40"/>
      </w:pPr>
      <w:r>
        <w:rPr>
          <w:rFonts w:ascii="Arial" w:cs="Arial" w:eastAsia="Arial" w:hAnsi="Arial"/>
          <w:color w:val="1C2733"/>
          <w:sz w:val="21"/>
          <w:szCs w:val="21"/>
        </w:rPr>
        <w:t xml:space="preserve">Hard copies containing PII must be stored in locked cabinets and shredded when no longer required.</w:t>
      </w:r>
    </w:p>
    <w:p>
      <w:pPr>
        <w:pStyle w:val="ListParagraph"/>
        <w:numPr>
          <w:ilvl w:val="0"/>
          <w:numId w:val="2"/>
        </w:numPr>
        <w:spacing w:after="60" w:before="40"/>
      </w:pPr>
      <w:r>
        <w:rPr>
          <w:rFonts w:ascii="Arial" w:cs="Arial" w:eastAsia="Arial" w:hAnsi="Arial"/>
          <w:color w:val="1C2733"/>
          <w:sz w:val="21"/>
          <w:szCs w:val="21"/>
        </w:rPr>
        <w:t xml:space="preserve">Electronic PII must be encrypted in transit (TLS 1.2+) and at rest (AES-256).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DF3F2" w:val="clear"/>
            <w:tcMar>
              <w:top w:type="dxa" w:w="120"/>
              <w:left w:type="dxa" w:w="200"/>
              <w:bottom w:type="dxa" w:w="120"/>
              <w:right w:type="dxa" w:w="200"/>
            </w:tcMar>
          </w:tcPr>
          <w:p>
            <w:pPr>
              <w:spacing w:after="0" w:before="0"/>
            </w:pPr>
            <w:r>
              <w:rPr>
                <w:rFonts w:ascii="Arial" w:cs="Arial" w:eastAsia="Arial" w:hAnsi="Arial"/>
                <w:sz w:val="21"/>
                <w:szCs w:val="21"/>
              </w:rPr>
              <w:t xml:space="preserve">⚠  </w:t>
            </w:r>
            <w:r>
              <w:rPr>
                <w:rFonts w:ascii="Arial" w:cs="Arial" w:eastAsia="Arial" w:hAnsi="Arial"/>
                <w:b/>
                <w:bCs/>
                <w:color w:val="C0392B"/>
                <w:sz w:val="21"/>
                <w:szCs w:val="21"/>
              </w:rPr>
              <w:t xml:space="preserve">WARNING: </w:t>
            </w:r>
            <w:r>
              <w:rPr>
                <w:rFonts w:ascii="Arial" w:cs="Arial" w:eastAsia="Arial" w:hAnsi="Arial"/>
                <w:color w:val="1C2733"/>
                <w:sz w:val="21"/>
                <w:szCs w:val="21"/>
              </w:rPr>
              <w:t xml:space="preserve">Sending employee PII via personal email, WhatsApp, or unapproved cloud storage is strictly prohibited and constitutes a reportable data breach.</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3.  </w:t>
      </w:r>
      <w:r>
        <w:rPr>
          <w:rFonts w:ascii="Arial" w:cs="Arial" w:eastAsia="Arial" w:hAnsi="Arial"/>
          <w:b/>
          <w:bCs/>
          <w:color w:val="0D2B55"/>
          <w:sz w:val="34"/>
          <w:szCs w:val="34"/>
        </w:rPr>
        <w:t xml:space="preserve">Employee Data Privacy</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The organization is committed to respecting the privacy rights of all employees. This section defines the rights afforded to employees as data subjects and the obligations of the organization in upholding those rights.</w:t>
      </w:r>
    </w:p>
    <w:p>
      <w:pPr>
        <w:spacing w:after="80" w:before="0"/>
      </w:pPr>
    </w:p>
    <w:p>
      <w:pPr>
        <w:pStyle w:val="Heading2"/>
        <w:spacing w:after="100" w:before="240"/>
      </w:pPr>
      <w:r>
        <w:rPr>
          <w:rFonts w:ascii="Arial" w:cs="Arial" w:eastAsia="Arial" w:hAnsi="Arial"/>
          <w:b/>
          <w:bCs/>
          <w:color w:val="1A4A8A"/>
          <w:sz w:val="24"/>
          <w:szCs w:val="24"/>
        </w:rPr>
        <w:t xml:space="preserve">3.1  Employee Privacy Rights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Right</w:t>
            </w:r>
          </w:p>
        </w:tc>
        <w:tc>
          <w:tcPr>
            <w:tcW w:type="dxa" w:w="65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Description &amp; Timeline</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to Access</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may request a copy of all personal data held. Response within 30 days.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to Rectification</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may request correction of inaccurate data. Response within 15 days.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to Erasure</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may request deletion where no legal obligation to retain exists.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to Restriction</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may request processing restriction during dispute resolution.</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to Portability</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may request data in a machine-readable format (JSON/CSV).</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to Object</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Employees may object to processing based on legitimate interests.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Right Not to be Profiled</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Automated profiling decisions that materially affect employees require human review.</w:t>
            </w:r>
          </w:p>
        </w:tc>
      </w:tr>
    </w:tbl>
    <w:p>
      <w:pPr>
        <w:spacing w:after="80" w:before="0"/>
      </w:pPr>
    </w:p>
    <w:p>
      <w:pPr>
        <w:pStyle w:val="Heading2"/>
        <w:spacing w:after="100" w:before="240"/>
      </w:pPr>
      <w:r>
        <w:rPr>
          <w:rFonts w:ascii="Arial" w:cs="Arial" w:eastAsia="Arial" w:hAnsi="Arial"/>
          <w:b/>
          <w:bCs/>
          <w:color w:val="1A4A8A"/>
          <w:sz w:val="24"/>
          <w:szCs w:val="24"/>
        </w:rPr>
        <w:t xml:space="preserve">3.2  Privacy by Design Requirements</w:t>
      </w:r>
    </w:p>
    <w:p>
      <w:pPr>
        <w:spacing w:after="100" w:before="60"/>
      </w:pPr>
      <w:r>
        <w:rPr>
          <w:rFonts w:ascii="Arial" w:cs="Arial" w:eastAsia="Arial" w:hAnsi="Arial"/>
          <w:color w:val="1C2733"/>
          <w:sz w:val="21"/>
          <w:szCs w:val="21"/>
        </w:rPr>
        <w:t xml:space="preserve">HR systems, processes, and tools must embed privacy protections from inception. When procuring new HR technology or designing new data workflows, the following must be completed before go-live:</w:t>
      </w:r>
    </w:p>
    <w:p>
      <w:pPr>
        <w:pStyle w:val="ListParagraph"/>
        <w:numPr>
          <w:ilvl w:val="0"/>
          <w:numId w:val="2"/>
        </w:numPr>
        <w:spacing w:after="60" w:before="40"/>
      </w:pPr>
      <w:r>
        <w:rPr>
          <w:rFonts w:ascii="Arial" w:cs="Arial" w:eastAsia="Arial" w:hAnsi="Arial"/>
          <w:color w:val="1C2733"/>
          <w:sz w:val="21"/>
          <w:szCs w:val="21"/>
        </w:rPr>
        <w:t xml:space="preserve">Data Protection Impact Assessment (DPIA) for any high-risk processing activity.</w:t>
      </w:r>
    </w:p>
    <w:p>
      <w:pPr>
        <w:pStyle w:val="ListParagraph"/>
        <w:numPr>
          <w:ilvl w:val="0"/>
          <w:numId w:val="2"/>
        </w:numPr>
        <w:spacing w:after="60" w:before="40"/>
      </w:pPr>
      <w:r>
        <w:rPr>
          <w:rFonts w:ascii="Arial" w:cs="Arial" w:eastAsia="Arial" w:hAnsi="Arial"/>
          <w:color w:val="1C2733"/>
          <w:sz w:val="21"/>
          <w:szCs w:val="21"/>
        </w:rPr>
        <w:t xml:space="preserve">Vendor security assessment and signed Data Processing Agreement.</w:t>
      </w:r>
    </w:p>
    <w:p>
      <w:pPr>
        <w:pStyle w:val="ListParagraph"/>
        <w:numPr>
          <w:ilvl w:val="0"/>
          <w:numId w:val="2"/>
        </w:numPr>
        <w:spacing w:after="60" w:before="40"/>
      </w:pPr>
      <w:r>
        <w:rPr>
          <w:rFonts w:ascii="Arial" w:cs="Arial" w:eastAsia="Arial" w:hAnsi="Arial"/>
          <w:color w:val="1C2733"/>
          <w:sz w:val="21"/>
          <w:szCs w:val="21"/>
        </w:rPr>
        <w:t xml:space="preserve">Minimum viable data collection review — confirm that only necessary fields are captured.</w:t>
      </w:r>
    </w:p>
    <w:p>
      <w:pPr>
        <w:pStyle w:val="ListParagraph"/>
        <w:numPr>
          <w:ilvl w:val="0"/>
          <w:numId w:val="2"/>
        </w:numPr>
        <w:spacing w:after="60" w:before="40"/>
      </w:pPr>
      <w:r>
        <w:rPr>
          <w:rFonts w:ascii="Arial" w:cs="Arial" w:eastAsia="Arial" w:hAnsi="Arial"/>
          <w:color w:val="1C2733"/>
          <w:sz w:val="21"/>
          <w:szCs w:val="21"/>
        </w:rPr>
        <w:t xml:space="preserve">Consent or lawful basis documentation filed with the Data Protection Officer (DPO).</w:t>
      </w:r>
    </w:p>
    <w:p>
      <w:pPr>
        <w:spacing w:after="80" w:before="0"/>
      </w:pPr>
    </w:p>
    <w:p>
      <w:pPr>
        <w:pStyle w:val="Heading2"/>
        <w:spacing w:after="100" w:before="240"/>
      </w:pPr>
      <w:r>
        <w:rPr>
          <w:rFonts w:ascii="Arial" w:cs="Arial" w:eastAsia="Arial" w:hAnsi="Arial"/>
          <w:b/>
          <w:bCs/>
          <w:color w:val="1A4A8A"/>
          <w:sz w:val="24"/>
          <w:szCs w:val="24"/>
        </w:rPr>
        <w:t xml:space="preserve">3.3  Employee Monitoring &amp; Surveillance</w:t>
      </w:r>
    </w:p>
    <w:p>
      <w:pPr>
        <w:spacing w:after="100" w:before="60"/>
      </w:pPr>
      <w:r>
        <w:rPr>
          <w:rFonts w:ascii="Arial" w:cs="Arial" w:eastAsia="Arial" w:hAnsi="Arial"/>
          <w:color w:val="1C2733"/>
          <w:sz w:val="21"/>
          <w:szCs w:val="21"/>
        </w:rPr>
        <w:t xml:space="preserve">Any monitoring of employee activity — including email scanning, device monitoring, location tracking, or productivity software — must satisfy all of the following conditions:</w:t>
      </w:r>
    </w:p>
    <w:p>
      <w:pPr>
        <w:pStyle w:val="ListParagraph"/>
        <w:numPr>
          <w:ilvl w:val="0"/>
          <w:numId w:val="2"/>
        </w:numPr>
        <w:spacing w:after="60" w:before="40"/>
      </w:pPr>
      <w:r>
        <w:rPr>
          <w:rFonts w:ascii="Arial" w:cs="Arial" w:eastAsia="Arial" w:hAnsi="Arial"/>
          <w:color w:val="1C2733"/>
          <w:sz w:val="21"/>
          <w:szCs w:val="21"/>
        </w:rPr>
        <w:t xml:space="preserve">A legitimate business purpose is documented and proportionate.</w:t>
      </w:r>
    </w:p>
    <w:p>
      <w:pPr>
        <w:pStyle w:val="ListParagraph"/>
        <w:numPr>
          <w:ilvl w:val="0"/>
          <w:numId w:val="2"/>
        </w:numPr>
        <w:spacing w:after="60" w:before="40"/>
      </w:pPr>
      <w:r>
        <w:rPr>
          <w:rFonts w:ascii="Arial" w:cs="Arial" w:eastAsia="Arial" w:hAnsi="Arial"/>
          <w:color w:val="1C2733"/>
          <w:sz w:val="21"/>
          <w:szCs w:val="21"/>
        </w:rPr>
        <w:t xml:space="preserve">Employees are informed of the monitoring scope, purpose, and legal basis in advance.</w:t>
      </w:r>
    </w:p>
    <w:p>
      <w:pPr>
        <w:pStyle w:val="ListParagraph"/>
        <w:numPr>
          <w:ilvl w:val="0"/>
          <w:numId w:val="2"/>
        </w:numPr>
        <w:spacing w:after="60" w:before="40"/>
      </w:pPr>
      <w:r>
        <w:rPr>
          <w:rFonts w:ascii="Arial" w:cs="Arial" w:eastAsia="Arial" w:hAnsi="Arial"/>
          <w:color w:val="1C2733"/>
          <w:sz w:val="21"/>
          <w:szCs w:val="21"/>
        </w:rPr>
        <w:t xml:space="preserve">DPO review and sign-off is obtained before monitoring commences.</w:t>
      </w:r>
    </w:p>
    <w:p>
      <w:pPr>
        <w:pStyle w:val="ListParagraph"/>
        <w:numPr>
          <w:ilvl w:val="0"/>
          <w:numId w:val="2"/>
        </w:numPr>
        <w:spacing w:after="60" w:before="40"/>
      </w:pPr>
      <w:r>
        <w:rPr>
          <w:rFonts w:ascii="Arial" w:cs="Arial" w:eastAsia="Arial" w:hAnsi="Arial"/>
          <w:color w:val="1C2733"/>
          <w:sz w:val="21"/>
          <w:szCs w:val="21"/>
        </w:rPr>
        <w:t xml:space="preserve">Monitoring data is retained no longer than 90 days unless subject to active investigation.</w:t>
      </w:r>
    </w:p>
    <w:p>
      <w:pPr>
        <w:spacing w:after="120" w:before="0"/>
      </w:pPr>
    </w:p>
    <w:p>
      <w:r>
        <w:br w:type="page"/>
      </w:r>
    </w:p>
    <w:p>
      <w:pPr>
        <w:pStyle w:val="Heading1"/>
        <w:spacing w:after="160" w:before="360"/>
      </w:pPr>
      <w:r>
        <w:rPr>
          <w:rFonts w:ascii="Arial" w:cs="Arial" w:eastAsia="Arial" w:hAnsi="Arial"/>
          <w:b/>
          <w:bCs/>
          <w:color w:val="1A4A8A"/>
          <w:sz w:val="34"/>
          <w:szCs w:val="34"/>
        </w:rPr>
        <w:t xml:space="preserve">4.  </w:t>
      </w:r>
      <w:r>
        <w:rPr>
          <w:rFonts w:ascii="Arial" w:cs="Arial" w:eastAsia="Arial" w:hAnsi="Arial"/>
          <w:b/>
          <w:bCs/>
          <w:color w:val="0D2B55"/>
          <w:sz w:val="34"/>
          <w:szCs w:val="34"/>
        </w:rPr>
        <w:t xml:space="preserve">GDPR Compliance</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For all processing activities involving EU/UK data subjects, the organization operates as a Data Controller under the General Data Protection Regulation (EU) 2016/679 and UK GDPR. This section outlines the specific compliance obligations that apply to HR data processing across the employee lifecycle.</w:t>
      </w:r>
    </w:p>
    <w:p>
      <w:pPr>
        <w:spacing w:after="80" w:before="0"/>
      </w:pPr>
    </w:p>
    <w:p>
      <w:pPr>
        <w:pStyle w:val="Heading2"/>
        <w:spacing w:after="100" w:before="240"/>
      </w:pPr>
      <w:r>
        <w:rPr>
          <w:rFonts w:ascii="Arial" w:cs="Arial" w:eastAsia="Arial" w:hAnsi="Arial"/>
          <w:b/>
          <w:bCs/>
          <w:color w:val="1A4A8A"/>
          <w:sz w:val="24"/>
          <w:szCs w:val="24"/>
        </w:rPr>
        <w:t xml:space="preserve">4.1  Record of Processing Activities (RoPA)</w:t>
      </w:r>
    </w:p>
    <w:p>
      <w:pPr>
        <w:spacing w:after="100" w:before="60"/>
      </w:pPr>
      <w:r>
        <w:rPr>
          <w:rFonts w:ascii="Arial" w:cs="Arial" w:eastAsia="Arial" w:hAnsi="Arial"/>
          <w:color w:val="1C2733"/>
          <w:sz w:val="21"/>
          <w:szCs w:val="21"/>
        </w:rPr>
        <w:t xml:space="preserve">The HR function must maintain an up-to-date Record of Processing Activities as required under GDPR Article 30. The RoPA must document:</w:t>
      </w:r>
    </w:p>
    <w:p>
      <w:pPr>
        <w:pStyle w:val="ListParagraph"/>
        <w:numPr>
          <w:ilvl w:val="0"/>
          <w:numId w:val="2"/>
        </w:numPr>
        <w:spacing w:after="60" w:before="40"/>
      </w:pPr>
      <w:r>
        <w:rPr>
          <w:rFonts w:ascii="Arial" w:cs="Arial" w:eastAsia="Arial" w:hAnsi="Arial"/>
          <w:color w:val="1C2733"/>
          <w:sz w:val="21"/>
          <w:szCs w:val="21"/>
        </w:rPr>
        <w:t xml:space="preserve">Name and contact details of the controller and DPO.</w:t>
      </w:r>
    </w:p>
    <w:p>
      <w:pPr>
        <w:pStyle w:val="ListParagraph"/>
        <w:numPr>
          <w:ilvl w:val="0"/>
          <w:numId w:val="2"/>
        </w:numPr>
        <w:spacing w:after="60" w:before="40"/>
      </w:pPr>
      <w:r>
        <w:rPr>
          <w:rFonts w:ascii="Arial" w:cs="Arial" w:eastAsia="Arial" w:hAnsi="Arial"/>
          <w:color w:val="1C2733"/>
          <w:sz w:val="21"/>
          <w:szCs w:val="21"/>
        </w:rPr>
        <w:t xml:space="preserve">Purposes and legal basis for each HR processing activity.</w:t>
      </w:r>
    </w:p>
    <w:p>
      <w:pPr>
        <w:pStyle w:val="ListParagraph"/>
        <w:numPr>
          <w:ilvl w:val="0"/>
          <w:numId w:val="2"/>
        </w:numPr>
        <w:spacing w:after="60" w:before="40"/>
      </w:pPr>
      <w:r>
        <w:rPr>
          <w:rFonts w:ascii="Arial" w:cs="Arial" w:eastAsia="Arial" w:hAnsi="Arial"/>
          <w:color w:val="1C2733"/>
          <w:sz w:val="21"/>
          <w:szCs w:val="21"/>
        </w:rPr>
        <w:t xml:space="preserve">Categories of data subjects and personal data processed.</w:t>
      </w:r>
    </w:p>
    <w:p>
      <w:pPr>
        <w:pStyle w:val="ListParagraph"/>
        <w:numPr>
          <w:ilvl w:val="0"/>
          <w:numId w:val="2"/>
        </w:numPr>
        <w:spacing w:after="60" w:before="40"/>
      </w:pPr>
      <w:r>
        <w:rPr>
          <w:rFonts w:ascii="Arial" w:cs="Arial" w:eastAsia="Arial" w:hAnsi="Arial"/>
          <w:color w:val="1C2733"/>
          <w:sz w:val="21"/>
          <w:szCs w:val="21"/>
        </w:rPr>
        <w:t xml:space="preserve">Recipients and third-country transfers (with safeguard mechanism noted).</w:t>
      </w:r>
    </w:p>
    <w:p>
      <w:pPr>
        <w:pStyle w:val="ListParagraph"/>
        <w:numPr>
          <w:ilvl w:val="0"/>
          <w:numId w:val="2"/>
        </w:numPr>
        <w:spacing w:after="60" w:before="40"/>
      </w:pPr>
      <w:r>
        <w:rPr>
          <w:rFonts w:ascii="Arial" w:cs="Arial" w:eastAsia="Arial" w:hAnsi="Arial"/>
          <w:color w:val="1C2733"/>
          <w:sz w:val="21"/>
          <w:szCs w:val="21"/>
        </w:rPr>
        <w:t xml:space="preserve">Retention periods and deletion schedule.</w:t>
      </w:r>
    </w:p>
    <w:p>
      <w:pPr>
        <w:spacing w:after="80" w:before="0"/>
      </w:pPr>
    </w:p>
    <w:p>
      <w:pPr>
        <w:pStyle w:val="Heading2"/>
        <w:spacing w:after="100" w:before="240"/>
      </w:pPr>
      <w:r>
        <w:rPr>
          <w:rFonts w:ascii="Arial" w:cs="Arial" w:eastAsia="Arial" w:hAnsi="Arial"/>
          <w:b/>
          <w:bCs/>
          <w:color w:val="1A4A8A"/>
          <w:sz w:val="24"/>
          <w:szCs w:val="24"/>
        </w:rPr>
        <w:t xml:space="preserve">4.2  Cross-Border Data Transfers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Transfer Mechanism</w:t>
            </w:r>
          </w:p>
        </w:tc>
        <w:tc>
          <w:tcPr>
            <w:tcW w:type="dxa" w:w="36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When Used</w:t>
            </w:r>
          </w:p>
        </w:tc>
        <w:tc>
          <w:tcPr>
            <w:tcW w:type="dxa" w:w="31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Documentation Required</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Standard Contractual Clauses (SCCs)</w:t>
            </w:r>
          </w:p>
        </w:tc>
        <w:tc>
          <w:tcPr>
            <w:tcW w:type="dxa" w:w="36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Transfer to non-EEA vendors or subsidiaries</w:t>
            </w:r>
          </w:p>
        </w:tc>
        <w:tc>
          <w:tcPr>
            <w:tcW w:type="dxa" w:w="3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Signed SCC module + Transfer Impact Assessment</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Adequacy Decision</w:t>
            </w:r>
          </w:p>
        </w:tc>
        <w:tc>
          <w:tcPr>
            <w:tcW w:type="dxa" w:w="36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Transfer to countries with EU adequacy ruling</w:t>
            </w:r>
          </w:p>
        </w:tc>
        <w:tc>
          <w:tcPr>
            <w:tcW w:type="dxa" w:w="3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Confirm country status on EC list</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Binding Corporate Rules (BCRs)</w:t>
            </w:r>
          </w:p>
        </w:tc>
        <w:tc>
          <w:tcPr>
            <w:tcW w:type="dxa" w:w="36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Intra-group transfers within multinational</w:t>
            </w:r>
          </w:p>
        </w:tc>
        <w:tc>
          <w:tcPr>
            <w:tcW w:type="dxa" w:w="3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Approved BCR policy on file</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Explicit Consent</w:t>
            </w:r>
          </w:p>
        </w:tc>
        <w:tc>
          <w:tcPr>
            <w:tcW w:type="dxa" w:w="36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Only as last resort; employee must be fully informed</w:t>
            </w:r>
          </w:p>
        </w:tc>
        <w:tc>
          <w:tcPr>
            <w:tcW w:type="dxa" w:w="3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Signed consent form + withdrawal mechanism</w:t>
            </w:r>
          </w:p>
        </w:tc>
      </w:tr>
    </w:tbl>
    <w:p>
      <w:pPr>
        <w:spacing w:after="80" w:before="0"/>
      </w:pPr>
    </w:p>
    <w:p>
      <w:pPr>
        <w:pStyle w:val="Heading2"/>
        <w:spacing w:after="100" w:before="240"/>
      </w:pPr>
      <w:r>
        <w:rPr>
          <w:rFonts w:ascii="Arial" w:cs="Arial" w:eastAsia="Arial" w:hAnsi="Arial"/>
          <w:b/>
          <w:bCs/>
          <w:color w:val="1A4A8A"/>
          <w:sz w:val="24"/>
          <w:szCs w:val="24"/>
        </w:rPr>
        <w:t xml:space="preserve">4.3  GDPR Key Obligations Summary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Obligation</w:t>
            </w:r>
          </w:p>
        </w:tc>
        <w:tc>
          <w:tcPr>
            <w:tcW w:type="dxa" w:w="63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Requirement</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Privacy Notice</w:t>
            </w:r>
          </w:p>
        </w:tc>
        <w:tc>
          <w:tcPr>
            <w:tcW w:type="dxa" w:w="63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Provide at point of data collection; update within 30 days of material change</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DPO Appointment</w:t>
            </w:r>
          </w:p>
        </w:tc>
        <w:tc>
          <w:tcPr>
            <w:tcW w:type="dxa" w:w="63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Mandatory where large-scale processing of special categories occurs</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Consent Records</w:t>
            </w:r>
          </w:p>
        </w:tc>
        <w:tc>
          <w:tcPr>
            <w:tcW w:type="dxa" w:w="63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Retain for the full duration of the processing activity + 3 years</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DPIA</w:t>
            </w:r>
          </w:p>
        </w:tc>
        <w:tc>
          <w:tcPr>
            <w:tcW w:type="dxa" w:w="63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Required before high-risk processing; review annually or on material change</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Breach Notification</w:t>
            </w:r>
          </w:p>
        </w:tc>
        <w:tc>
          <w:tcPr>
            <w:tcW w:type="dxa" w:w="63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Report to supervisory authority within 72 hours of awareness</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Data Subject Requests</w:t>
            </w:r>
          </w:p>
        </w:tc>
        <w:tc>
          <w:tcPr>
            <w:tcW w:type="dxa" w:w="63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Respond within 30 days; extendable by 60 days with written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6"/>
              <w:bottom w:val="single" w:color="D35400" w:sz="1"/>
              <w:right w:val="single" w:color="D35400" w:sz="1"/>
            </w:tcBorders>
            <w:shd w:fill="FFF8EC" w:val="clear"/>
            <w:tcMar>
              <w:top w:type="dxa" w:w="120"/>
              <w:left w:type="dxa" w:w="200"/>
              <w:bottom w:type="dxa" w:w="120"/>
              <w:right w:type="dxa" w:w="200"/>
            </w:tcMar>
          </w:tcPr>
          <w:p>
            <w:pPr>
              <w:spacing w:after="0" w:before="0"/>
            </w:pPr>
            <w:r>
              <w:rPr>
                <w:rFonts w:ascii="Arial" w:cs="Arial" w:eastAsia="Arial" w:hAnsi="Arial"/>
                <w:sz w:val="21"/>
                <w:szCs w:val="21"/>
              </w:rPr>
              <w:t xml:space="preserve">⚖  </w:t>
            </w:r>
            <w:r>
              <w:rPr>
                <w:rFonts w:ascii="Arial" w:cs="Arial" w:eastAsia="Arial" w:hAnsi="Arial"/>
                <w:b/>
                <w:bCs/>
                <w:color w:val="D35400"/>
                <w:sz w:val="21"/>
                <w:szCs w:val="21"/>
              </w:rPr>
              <w:t xml:space="preserve">LEGAL BASIS: </w:t>
            </w:r>
            <w:r>
              <w:rPr>
                <w:rFonts w:ascii="Arial" w:cs="Arial" w:eastAsia="Arial" w:hAnsi="Arial"/>
                <w:color w:val="1C2733"/>
                <w:sz w:val="21"/>
                <w:szCs w:val="21"/>
              </w:rPr>
              <w:t xml:space="preserve">The organization's appointed Data Protection Officer can be contacted at dpo@company.com. The DPO operates independently and reports directly to the Board.</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5.  </w:t>
      </w:r>
      <w:r>
        <w:rPr>
          <w:rFonts w:ascii="Arial" w:cs="Arial" w:eastAsia="Arial" w:hAnsi="Arial"/>
          <w:b/>
          <w:bCs/>
          <w:color w:val="0D2B55"/>
          <w:sz w:val="34"/>
          <w:szCs w:val="34"/>
        </w:rPr>
        <w:t xml:space="preserve">Access Control Policy</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Access to HR systems and employee data is governed by the principle of least privilege. No individual shall have access to data beyond what is strictly necessary for their designated role. All access is authenticated, logged, and periodically reviewed.</w:t>
      </w:r>
    </w:p>
    <w:p>
      <w:pPr>
        <w:spacing w:after="80" w:before="0"/>
      </w:pPr>
    </w:p>
    <w:p>
      <w:pPr>
        <w:pStyle w:val="Heading2"/>
        <w:spacing w:after="100" w:before="240"/>
      </w:pPr>
      <w:r>
        <w:rPr>
          <w:rFonts w:ascii="Arial" w:cs="Arial" w:eastAsia="Arial" w:hAnsi="Arial"/>
          <w:b/>
          <w:bCs/>
          <w:color w:val="1A4A8A"/>
          <w:sz w:val="24"/>
          <w:szCs w:val="24"/>
        </w:rPr>
        <w:t xml:space="preserve">5.1  Role-Based Access Control (RBAC) Matrix</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Data Category</w:t>
            </w:r>
          </w:p>
        </w:tc>
        <w:tc>
          <w:tcPr>
            <w:tcW w:type="dxa" w:w="20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HR Admin</w:t>
            </w:r>
          </w:p>
        </w:tc>
        <w:tc>
          <w:tcPr>
            <w:tcW w:type="dxa" w:w="20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Line Manager</w:t>
            </w:r>
          </w:p>
        </w:tc>
        <w:tc>
          <w:tcPr>
            <w:tcW w:type="dxa" w:w="256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Employee (Self)</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Personal &amp; Contact Details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Read-Only (direct reports)</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 + Edit Own</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Compensation &amp; Payroll</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 Own Only</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Performance Reviews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Own Team Only</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 Own Only</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Disciplinary Records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 Own Only</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Attendance &amp; Leave</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Own Team Only</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 + Submit Own</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Medical / Health Data</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Restricted (DPO approval)</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Read Own Only</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Background Check Results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Salary Benchmarking Data</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Full Access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c>
          <w:tcPr>
            <w:tcW w:type="dxa" w:w="25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No Access</w:t>
            </w:r>
          </w:p>
        </w:tc>
      </w:tr>
    </w:tbl>
    <w:p>
      <w:pPr>
        <w:spacing w:after="80" w:before="0"/>
      </w:pPr>
    </w:p>
    <w:p>
      <w:pPr>
        <w:pStyle w:val="Heading2"/>
        <w:spacing w:after="100" w:before="240"/>
      </w:pPr>
      <w:r>
        <w:rPr>
          <w:rFonts w:ascii="Arial" w:cs="Arial" w:eastAsia="Arial" w:hAnsi="Arial"/>
          <w:b/>
          <w:bCs/>
          <w:color w:val="1A4A8A"/>
          <w:sz w:val="24"/>
          <w:szCs w:val="24"/>
        </w:rPr>
        <w:t xml:space="preserve">5.2  Authentication Requirements</w:t>
      </w:r>
    </w:p>
    <w:p>
      <w:pPr>
        <w:pStyle w:val="ListParagraph"/>
        <w:numPr>
          <w:ilvl w:val="0"/>
          <w:numId w:val="2"/>
        </w:numPr>
        <w:spacing w:after="60" w:before="40"/>
      </w:pPr>
      <w:r>
        <w:rPr>
          <w:rFonts w:ascii="Arial" w:cs="Arial" w:eastAsia="Arial" w:hAnsi="Arial"/>
          <w:color w:val="1C2733"/>
          <w:sz w:val="21"/>
          <w:szCs w:val="21"/>
        </w:rPr>
        <w:t xml:space="preserve">All HR system logins require Multi-Factor Authentication (MFA) without exception.</w:t>
      </w:r>
    </w:p>
    <w:p>
      <w:pPr>
        <w:pStyle w:val="ListParagraph"/>
        <w:numPr>
          <w:ilvl w:val="0"/>
          <w:numId w:val="2"/>
        </w:numPr>
        <w:spacing w:after="60" w:before="40"/>
      </w:pPr>
      <w:r>
        <w:rPr>
          <w:rFonts w:ascii="Arial" w:cs="Arial" w:eastAsia="Arial" w:hAnsi="Arial"/>
          <w:color w:val="1C2733"/>
          <w:sz w:val="21"/>
          <w:szCs w:val="21"/>
        </w:rPr>
        <w:t xml:space="preserve">Passwords must be at least 14 characters, combining uppercase, lowercase, numbers, and symbols.</w:t>
      </w:r>
    </w:p>
    <w:p>
      <w:pPr>
        <w:pStyle w:val="ListParagraph"/>
        <w:numPr>
          <w:ilvl w:val="0"/>
          <w:numId w:val="2"/>
        </w:numPr>
        <w:spacing w:after="60" w:before="40"/>
      </w:pPr>
      <w:r>
        <w:rPr>
          <w:rFonts w:ascii="Arial" w:cs="Arial" w:eastAsia="Arial" w:hAnsi="Arial"/>
          <w:color w:val="1C2733"/>
          <w:sz w:val="21"/>
          <w:szCs w:val="21"/>
        </w:rPr>
        <w:t xml:space="preserve">Password reuse across last 12 passwords is prohibited.</w:t>
      </w:r>
    </w:p>
    <w:p>
      <w:pPr>
        <w:pStyle w:val="ListParagraph"/>
        <w:numPr>
          <w:ilvl w:val="0"/>
          <w:numId w:val="2"/>
        </w:numPr>
        <w:spacing w:after="60" w:before="40"/>
      </w:pPr>
      <w:r>
        <w:rPr>
          <w:rFonts w:ascii="Arial" w:cs="Arial" w:eastAsia="Arial" w:hAnsi="Arial"/>
          <w:color w:val="1C2733"/>
          <w:sz w:val="21"/>
          <w:szCs w:val="21"/>
        </w:rPr>
        <w:t xml:space="preserve">Privileged accounts (HR Admin, HRIS Super-User) must use hardware security keys (FIDO2/WebAuthn).</w:t>
      </w:r>
    </w:p>
    <w:p>
      <w:pPr>
        <w:pStyle w:val="ListParagraph"/>
        <w:numPr>
          <w:ilvl w:val="0"/>
          <w:numId w:val="2"/>
        </w:numPr>
        <w:spacing w:after="60" w:before="40"/>
      </w:pPr>
      <w:r>
        <w:rPr>
          <w:rFonts w:ascii="Arial" w:cs="Arial" w:eastAsia="Arial" w:hAnsi="Arial"/>
          <w:color w:val="1C2733"/>
          <w:sz w:val="21"/>
          <w:szCs w:val="21"/>
        </w:rPr>
        <w:t xml:space="preserve">Sessions must auto-lock after 10 minutes of inactivity on all HR platforms.</w:t>
      </w:r>
    </w:p>
    <w:p>
      <w:pPr>
        <w:spacing w:after="80" w:before="0"/>
      </w:pPr>
    </w:p>
    <w:p>
      <w:pPr>
        <w:pStyle w:val="Heading2"/>
        <w:spacing w:after="100" w:before="240"/>
      </w:pPr>
      <w:r>
        <w:rPr>
          <w:rFonts w:ascii="Arial" w:cs="Arial" w:eastAsia="Arial" w:hAnsi="Arial"/>
          <w:b/>
          <w:bCs/>
          <w:color w:val="1A4A8A"/>
          <w:sz w:val="24"/>
          <w:szCs w:val="24"/>
        </w:rPr>
        <w:t xml:space="preserve">5.3  Access Provisioning &amp; Deprovisioning</w:t>
      </w:r>
    </w:p>
    <w:p>
      <w:pPr>
        <w:spacing w:after="100" w:before="60"/>
      </w:pPr>
      <w:r>
        <w:rPr>
          <w:rFonts w:ascii="Arial" w:cs="Arial" w:eastAsia="Arial" w:hAnsi="Arial"/>
          <w:color w:val="1C2733"/>
          <w:sz w:val="21"/>
          <w:szCs w:val="21"/>
        </w:rPr>
        <w:t xml:space="preserve">Access provisioning must follow the Joiner-Mover-Leaver (JML) process:</w:t>
      </w:r>
    </w:p>
    <w:p>
      <w:pPr>
        <w:pStyle w:val="ListParagraph"/>
        <w:numPr>
          <w:ilvl w:val="0"/>
          <w:numId w:val="2"/>
        </w:numPr>
        <w:spacing w:after="60" w:before="40"/>
      </w:pPr>
      <w:r>
        <w:rPr>
          <w:rFonts w:ascii="Arial" w:cs="Arial" w:eastAsia="Arial" w:hAnsi="Arial"/>
          <w:color w:val="1C2733"/>
          <w:sz w:val="21"/>
          <w:szCs w:val="21"/>
        </w:rPr>
        <w:t xml:space="preserve">Joiners: Access provisioned within 24 hours of system confirmation; documented in ITSM ticket.</w:t>
      </w:r>
    </w:p>
    <w:p>
      <w:pPr>
        <w:pStyle w:val="ListParagraph"/>
        <w:numPr>
          <w:ilvl w:val="0"/>
          <w:numId w:val="2"/>
        </w:numPr>
        <w:spacing w:after="60" w:before="40"/>
      </w:pPr>
      <w:r>
        <w:rPr>
          <w:rFonts w:ascii="Arial" w:cs="Arial" w:eastAsia="Arial" w:hAnsi="Arial"/>
          <w:color w:val="1C2733"/>
          <w:sz w:val="21"/>
          <w:szCs w:val="21"/>
        </w:rPr>
        <w:t xml:space="preserve">Movers: Role change triggers automated access review; prior role access revoked within 48 hours.</w:t>
      </w:r>
    </w:p>
    <w:p>
      <w:pPr>
        <w:pStyle w:val="ListParagraph"/>
        <w:numPr>
          <w:ilvl w:val="0"/>
          <w:numId w:val="2"/>
        </w:numPr>
        <w:spacing w:after="60" w:before="40"/>
      </w:pPr>
      <w:r>
        <w:rPr>
          <w:rFonts w:ascii="Arial" w:cs="Arial" w:eastAsia="Arial" w:hAnsi="Arial"/>
          <w:color w:val="1C2733"/>
          <w:sz w:val="21"/>
          <w:szCs w:val="21"/>
        </w:rPr>
        <w:t xml:space="preserve">Leavers: All access revoked within 4 hours of separation; audit log extracted and retained for 7 years.</w:t>
      </w:r>
    </w:p>
    <w:p>
      <w:pPr>
        <w:spacing w:after="80" w:before="0"/>
      </w:pPr>
    </w:p>
    <w:p>
      <w:pPr>
        <w:pStyle w:val="Heading2"/>
        <w:spacing w:after="100" w:before="240"/>
      </w:pPr>
      <w:r>
        <w:rPr>
          <w:rFonts w:ascii="Arial" w:cs="Arial" w:eastAsia="Arial" w:hAnsi="Arial"/>
          <w:b/>
          <w:bCs/>
          <w:color w:val="1A4A8A"/>
          <w:sz w:val="24"/>
          <w:szCs w:val="24"/>
        </w:rPr>
        <w:t xml:space="preserve">5.4  Privileged Access Management (PAM)</w:t>
      </w:r>
    </w:p>
    <w:p>
      <w:pPr>
        <w:spacing w:after="100" w:before="60"/>
      </w:pPr>
      <w:r>
        <w:rPr>
          <w:rFonts w:ascii="Arial" w:cs="Arial" w:eastAsia="Arial" w:hAnsi="Arial"/>
          <w:color w:val="1C2733"/>
          <w:sz w:val="21"/>
          <w:szCs w:val="21"/>
        </w:rPr>
        <w:t xml:space="preserve">Privileged access to HR databases, payroll systems, and bulk employee data exports requires: (a) written manager approval, (b) DPO awareness, (c) session recording enabled, and (d) time-limited access tokens (maximum 8-hour sessions). All privileged sessions are logged in the PAM system and reviewed monthly by the CISO.</w:t>
      </w:r>
    </w:p>
    <w:p>
      <w:pPr>
        <w:spacing w:after="120" w:before="0"/>
      </w:pPr>
    </w:p>
    <w:p>
      <w:r>
        <w:br w:type="page"/>
      </w:r>
    </w:p>
    <w:p>
      <w:pPr>
        <w:pStyle w:val="Heading1"/>
        <w:spacing w:after="160" w:before="360"/>
      </w:pPr>
      <w:r>
        <w:rPr>
          <w:rFonts w:ascii="Arial" w:cs="Arial" w:eastAsia="Arial" w:hAnsi="Arial"/>
          <w:b/>
          <w:bCs/>
          <w:color w:val="1A4A8A"/>
          <w:sz w:val="34"/>
          <w:szCs w:val="34"/>
        </w:rPr>
        <w:t xml:space="preserve">6.  </w:t>
      </w:r>
      <w:r>
        <w:rPr>
          <w:rFonts w:ascii="Arial" w:cs="Arial" w:eastAsia="Arial" w:hAnsi="Arial"/>
          <w:b/>
          <w:bCs/>
          <w:color w:val="0D2B55"/>
          <w:sz w:val="34"/>
          <w:szCs w:val="34"/>
        </w:rPr>
        <w:t xml:space="preserve">Data Retention &amp; Disposal Policy</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Employee data must be retained for the minimum period required by law or legitimate business need, and securely disposed of thereafter. Retention is categorized by data type and jurisdiction, with the strictest applicable standard taking precedence.</w:t>
      </w:r>
    </w:p>
    <w:p>
      <w:pPr>
        <w:spacing w:after="80" w:before="0"/>
      </w:pPr>
    </w:p>
    <w:p>
      <w:pPr>
        <w:pStyle w:val="Heading2"/>
        <w:spacing w:after="100" w:before="240"/>
      </w:pPr>
      <w:r>
        <w:rPr>
          <w:rFonts w:ascii="Arial" w:cs="Arial" w:eastAsia="Arial" w:hAnsi="Arial"/>
          <w:b/>
          <w:bCs/>
          <w:color w:val="1A4A8A"/>
          <w:sz w:val="24"/>
          <w:szCs w:val="24"/>
        </w:rPr>
        <w:t xml:space="preserve">6.1  Retention Schedule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Data Category</w:t>
            </w:r>
          </w:p>
        </w:tc>
        <w:tc>
          <w:tcPr>
            <w:tcW w:type="dxa" w:w="20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Retention Period</w:t>
            </w:r>
          </w:p>
        </w:tc>
        <w:tc>
          <w:tcPr>
            <w:tcW w:type="dxa" w:w="26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Legal Basis</w:t>
            </w:r>
          </w:p>
        </w:tc>
        <w:tc>
          <w:tcPr>
            <w:tcW w:type="dxa" w:w="216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Disposal Method</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Employment Contract &amp; Offer Letter</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Duration + 7 years</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Contract / Legal obligation</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Certified secure deletion</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Payroll &amp; Compensation Records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7 years post-termination</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Tax law (India: IT Act; UK: HMRC)</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Certified secure deletion</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Performance Appraisal Records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5 years post-termination</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Legitimate interests</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Certified secure deletion</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Disciplinary &amp; Grievance Records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6 years post-resolution</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Legal obligation / Legitimate interests</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Certified secure deletion</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Recruitment &amp; Application Data</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2 years (unsuccessful candidates)</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GDPR Recital 39 / Legitimate interests</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Automated deletion + audit log</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Health &amp; Medical Records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Duration + 10 years</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Health &amp; Safety law</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Physical shredding + digital wipe</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Background Check Results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Duration + 3 years</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Legitimate interests + BCR</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Certified secure deletion</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Training Records &amp; Certifications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Duration + 5 years</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Regulatory compliance</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Certified secure deletion</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CCTV / Physical Access Logs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90 days (unless incident)</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Legitimate interests</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Automated overwrite</w:t>
            </w:r>
          </w:p>
        </w:tc>
      </w:tr>
      <w:tr>
        <w:tc>
          <w:tcPr>
            <w:tcW w:type="dxa" w:w="26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IT Access &amp; Audit Logs</w:t>
            </w:r>
          </w:p>
        </w:tc>
        <w:tc>
          <w:tcPr>
            <w:tcW w:type="dxa" w:w="20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7 years</w:t>
            </w:r>
          </w:p>
        </w:tc>
        <w:tc>
          <w:tcPr>
            <w:tcW w:type="dxa" w:w="26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ISO 27001 / SOC 2 requirement</w:t>
            </w:r>
          </w:p>
        </w:tc>
        <w:tc>
          <w:tcPr>
            <w:tcW w:type="dxa" w:w="21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Encrypted archival then deletion</w:t>
            </w:r>
          </w:p>
        </w:tc>
      </w:tr>
    </w:tbl>
    <w:p>
      <w:pPr>
        <w:spacing w:after="80" w:before="0"/>
      </w:pPr>
    </w:p>
    <w:p>
      <w:pPr>
        <w:pStyle w:val="Heading2"/>
        <w:spacing w:after="100" w:before="240"/>
      </w:pPr>
      <w:r>
        <w:rPr>
          <w:rFonts w:ascii="Arial" w:cs="Arial" w:eastAsia="Arial" w:hAnsi="Arial"/>
          <w:b/>
          <w:bCs/>
          <w:color w:val="1A4A8A"/>
          <w:sz w:val="24"/>
          <w:szCs w:val="24"/>
        </w:rPr>
        <w:t xml:space="preserve">6.2  Disposal Standards</w:t>
      </w:r>
    </w:p>
    <w:p>
      <w:pPr>
        <w:pStyle w:val="ListParagraph"/>
        <w:numPr>
          <w:ilvl w:val="0"/>
          <w:numId w:val="2"/>
        </w:numPr>
        <w:spacing w:after="60" w:before="40"/>
      </w:pPr>
      <w:r>
        <w:rPr>
          <w:rFonts w:ascii="Arial" w:cs="Arial" w:eastAsia="Arial" w:hAnsi="Arial"/>
          <w:color w:val="1C2733"/>
          <w:sz w:val="21"/>
          <w:szCs w:val="21"/>
        </w:rPr>
        <w:t xml:space="preserve">Electronic data: Cryptographic erasure (key destruction) or DoD 5220.22-M 7-pass overwrite.</w:t>
      </w:r>
    </w:p>
    <w:p>
      <w:pPr>
        <w:pStyle w:val="ListParagraph"/>
        <w:numPr>
          <w:ilvl w:val="0"/>
          <w:numId w:val="2"/>
        </w:numPr>
        <w:spacing w:after="60" w:before="40"/>
      </w:pPr>
      <w:r>
        <w:rPr>
          <w:rFonts w:ascii="Arial" w:cs="Arial" w:eastAsia="Arial" w:hAnsi="Arial"/>
          <w:color w:val="1C2733"/>
          <w:sz w:val="21"/>
          <w:szCs w:val="21"/>
        </w:rPr>
        <w:t xml:space="preserve">Hard drives and storage media: Physical destruction (shredding) via certified vendor.</w:t>
      </w:r>
    </w:p>
    <w:p>
      <w:pPr>
        <w:pStyle w:val="ListParagraph"/>
        <w:numPr>
          <w:ilvl w:val="0"/>
          <w:numId w:val="2"/>
        </w:numPr>
        <w:spacing w:after="60" w:before="40"/>
      </w:pPr>
      <w:r>
        <w:rPr>
          <w:rFonts w:ascii="Arial" w:cs="Arial" w:eastAsia="Arial" w:hAnsi="Arial"/>
          <w:color w:val="1C2733"/>
          <w:sz w:val="21"/>
          <w:szCs w:val="21"/>
        </w:rPr>
        <w:t xml:space="preserve">Paper records: Cross-cut shredding to DIN 66399 Level P-4 or higher.</w:t>
      </w:r>
    </w:p>
    <w:p>
      <w:pPr>
        <w:pStyle w:val="ListParagraph"/>
        <w:numPr>
          <w:ilvl w:val="0"/>
          <w:numId w:val="2"/>
        </w:numPr>
        <w:spacing w:after="60" w:before="40"/>
      </w:pPr>
      <w:r>
        <w:rPr>
          <w:rFonts w:ascii="Arial" w:cs="Arial" w:eastAsia="Arial" w:hAnsi="Arial"/>
          <w:color w:val="1C2733"/>
          <w:sz w:val="21"/>
          <w:szCs w:val="21"/>
        </w:rPr>
        <w:t xml:space="preserve">Cloud-hosted data: Vendor-confirmed deletion with certificate of destruction.</w:t>
      </w:r>
    </w:p>
    <w:p>
      <w:pPr>
        <w:pStyle w:val="ListParagraph"/>
        <w:numPr>
          <w:ilvl w:val="0"/>
          <w:numId w:val="2"/>
        </w:numPr>
        <w:spacing w:after="60" w:before="40"/>
      </w:pPr>
      <w:r>
        <w:rPr>
          <w:rFonts w:ascii="Arial" w:cs="Arial" w:eastAsia="Arial" w:hAnsi="Arial"/>
          <w:color w:val="1C2733"/>
          <w:sz w:val="21"/>
          <w:szCs w:val="21"/>
        </w:rPr>
        <w:t xml:space="preserve">All disposal events must be logged in the Data Disposal Register maintained by the DPO.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1"/>
              <w:left w:val="single" w:color="1A4A8A" w:sz="16"/>
              <w:bottom w:val="single" w:color="1A4A8A" w:sz="1"/>
              <w:right w:val="single" w:color="1A4A8A" w:sz="1"/>
            </w:tcBorders>
            <w:shd w:fill="EAF0FB" w:val="clear"/>
            <w:tcMar>
              <w:top w:type="dxa" w:w="120"/>
              <w:left w:type="dxa" w:w="200"/>
              <w:bottom w:type="dxa" w:w="120"/>
              <w:right w:type="dxa" w:w="200"/>
            </w:tcMar>
          </w:tcPr>
          <w:p>
            <w:pPr>
              <w:spacing w:after="0" w:before="0"/>
            </w:pPr>
            <w:r>
              <w:rPr>
                <w:rFonts w:ascii="Arial" w:cs="Arial" w:eastAsia="Arial" w:hAnsi="Arial"/>
                <w:sz w:val="21"/>
                <w:szCs w:val="21"/>
              </w:rPr>
              <w:t xml:space="preserve">ℹ  </w:t>
            </w:r>
            <w:r>
              <w:rPr>
                <w:rFonts w:ascii="Arial" w:cs="Arial" w:eastAsia="Arial" w:hAnsi="Arial"/>
                <w:b/>
                <w:bCs/>
                <w:color w:val="1A4A8A"/>
                <w:sz w:val="21"/>
                <w:szCs w:val="21"/>
              </w:rPr>
              <w:t xml:space="preserve">NOTE: </w:t>
            </w:r>
            <w:r>
              <w:rPr>
                <w:rFonts w:ascii="Arial" w:cs="Arial" w:eastAsia="Arial" w:hAnsi="Arial"/>
                <w:color w:val="1C2733"/>
                <w:sz w:val="21"/>
                <w:szCs w:val="21"/>
              </w:rPr>
              <w:t xml:space="preserve">Legal hold procedures override standard retention schedules. If litigation, investigation, or regulatory inquiry is anticipated, the Legal team issues a litigation hold notice and retention is suspended until the hold is lifted.</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7.  </w:t>
      </w:r>
      <w:r>
        <w:rPr>
          <w:rFonts w:ascii="Arial" w:cs="Arial" w:eastAsia="Arial" w:hAnsi="Arial"/>
          <w:b/>
          <w:bCs/>
          <w:color w:val="0D2B55"/>
          <w:sz w:val="34"/>
          <w:szCs w:val="34"/>
        </w:rPr>
        <w:t xml:space="preserve">Incident Reporting &amp; Breach Management</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All employees have a mandatory obligation to report suspected or confirmed data security incidents immediately. Early reporting is critical to limiting harm and meeting statutory notification obligations, particularly GDPR's 72-hour breach reporting window.</w:t>
      </w:r>
    </w:p>
    <w:p>
      <w:pPr>
        <w:spacing w:after="80" w:before="0"/>
      </w:pPr>
    </w:p>
    <w:p>
      <w:pPr>
        <w:pStyle w:val="Heading2"/>
        <w:spacing w:after="100" w:before="240"/>
      </w:pPr>
      <w:r>
        <w:rPr>
          <w:rFonts w:ascii="Arial" w:cs="Arial" w:eastAsia="Arial" w:hAnsi="Arial"/>
          <w:b/>
          <w:bCs/>
          <w:color w:val="1A4A8A"/>
          <w:sz w:val="24"/>
          <w:szCs w:val="24"/>
        </w:rPr>
        <w:t xml:space="preserve">7.1  What Must Be Reported</w:t>
      </w:r>
    </w:p>
    <w:p>
      <w:pPr>
        <w:pStyle w:val="ListParagraph"/>
        <w:numPr>
          <w:ilvl w:val="0"/>
          <w:numId w:val="2"/>
        </w:numPr>
        <w:spacing w:after="60" w:before="40"/>
      </w:pPr>
      <w:r>
        <w:rPr>
          <w:rFonts w:ascii="Arial" w:cs="Arial" w:eastAsia="Arial" w:hAnsi="Arial"/>
          <w:color w:val="1C2733"/>
          <w:sz w:val="21"/>
          <w:szCs w:val="21"/>
        </w:rPr>
        <w:t xml:space="preserve">Unauthorized access to employee records (physical or electronic).</w:t>
      </w:r>
    </w:p>
    <w:p>
      <w:pPr>
        <w:pStyle w:val="ListParagraph"/>
        <w:numPr>
          <w:ilvl w:val="0"/>
          <w:numId w:val="2"/>
        </w:numPr>
        <w:spacing w:after="60" w:before="40"/>
      </w:pPr>
      <w:r>
        <w:rPr>
          <w:rFonts w:ascii="Arial" w:cs="Arial" w:eastAsia="Arial" w:hAnsi="Arial"/>
          <w:color w:val="1C2733"/>
          <w:sz w:val="21"/>
          <w:szCs w:val="21"/>
        </w:rPr>
        <w:t xml:space="preserve">Loss or theft of a device containing unencrypted HR data.</w:t>
      </w:r>
    </w:p>
    <w:p>
      <w:pPr>
        <w:pStyle w:val="ListParagraph"/>
        <w:numPr>
          <w:ilvl w:val="0"/>
          <w:numId w:val="2"/>
        </w:numPr>
        <w:spacing w:after="60" w:before="40"/>
      </w:pPr>
      <w:r>
        <w:rPr>
          <w:rFonts w:ascii="Arial" w:cs="Arial" w:eastAsia="Arial" w:hAnsi="Arial"/>
          <w:color w:val="1C2733"/>
          <w:sz w:val="21"/>
          <w:szCs w:val="21"/>
        </w:rPr>
        <w:t xml:space="preserve">Accidental disclosure of employee PII to an unauthorized recipient.</w:t>
      </w:r>
    </w:p>
    <w:p>
      <w:pPr>
        <w:pStyle w:val="ListParagraph"/>
        <w:numPr>
          <w:ilvl w:val="0"/>
          <w:numId w:val="2"/>
        </w:numPr>
        <w:spacing w:after="60" w:before="40"/>
      </w:pPr>
      <w:r>
        <w:rPr>
          <w:rFonts w:ascii="Arial" w:cs="Arial" w:eastAsia="Arial" w:hAnsi="Arial"/>
          <w:color w:val="1C2733"/>
          <w:sz w:val="21"/>
          <w:szCs w:val="21"/>
        </w:rPr>
        <w:t xml:space="preserve">Ransomware, phishing, or malware incident affecting HR systems.</w:t>
      </w:r>
    </w:p>
    <w:p>
      <w:pPr>
        <w:pStyle w:val="ListParagraph"/>
        <w:numPr>
          <w:ilvl w:val="0"/>
          <w:numId w:val="2"/>
        </w:numPr>
        <w:spacing w:after="60" w:before="40"/>
      </w:pPr>
      <w:r>
        <w:rPr>
          <w:rFonts w:ascii="Arial" w:cs="Arial" w:eastAsia="Arial" w:hAnsi="Arial"/>
          <w:color w:val="1C2733"/>
          <w:sz w:val="21"/>
          <w:szCs w:val="21"/>
        </w:rPr>
        <w:t xml:space="preserve">Insider threat activity — deliberate data exfiltration or sabotage.</w:t>
      </w:r>
    </w:p>
    <w:p>
      <w:pPr>
        <w:pStyle w:val="ListParagraph"/>
        <w:numPr>
          <w:ilvl w:val="0"/>
          <w:numId w:val="2"/>
        </w:numPr>
        <w:spacing w:after="60" w:before="40"/>
      </w:pPr>
      <w:r>
        <w:rPr>
          <w:rFonts w:ascii="Arial" w:cs="Arial" w:eastAsia="Arial" w:hAnsi="Arial"/>
          <w:color w:val="1C2733"/>
          <w:sz w:val="21"/>
          <w:szCs w:val="21"/>
        </w:rPr>
        <w:t xml:space="preserve">Vendor notified breach affecting HR data processed on the organization's behalf.</w:t>
      </w:r>
    </w:p>
    <w:p>
      <w:pPr>
        <w:spacing w:after="80" w:before="0"/>
      </w:pPr>
    </w:p>
    <w:p>
      <w:pPr>
        <w:pStyle w:val="Heading2"/>
        <w:spacing w:after="100" w:before="240"/>
      </w:pPr>
      <w:r>
        <w:rPr>
          <w:rFonts w:ascii="Arial" w:cs="Arial" w:eastAsia="Arial" w:hAnsi="Arial"/>
          <w:b/>
          <w:bCs/>
          <w:color w:val="1A4A8A"/>
          <w:sz w:val="24"/>
          <w:szCs w:val="24"/>
        </w:rPr>
        <w:t xml:space="preserve">7.2  Incident Response Timeline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Timeframe</w:t>
            </w:r>
          </w:p>
        </w:tc>
        <w:tc>
          <w:tcPr>
            <w:tcW w:type="dxa" w:w="71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Required Action</w:t>
            </w:r>
          </w:p>
        </w:tc>
      </w:tr>
      <w:tr>
        <w:tc>
          <w:tcPr>
            <w:tcW w:type="dxa" w:w="2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0 – 1 Hour</w:t>
            </w:r>
          </w:p>
        </w:tc>
        <w:tc>
          <w:tcPr>
            <w:tcW w:type="dxa" w:w="7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Report to line manager and IT Security Helpdesk via security@company.com or +XX-XXX-XXXX.</w:t>
            </w:r>
          </w:p>
        </w:tc>
      </w:tr>
      <w:tr>
        <w:tc>
          <w:tcPr>
            <w:tcW w:type="dxa" w:w="2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1 – 4 Hours</w:t>
            </w:r>
          </w:p>
        </w:tc>
        <w:tc>
          <w:tcPr>
            <w:tcW w:type="dxa" w:w="7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CISO and DPO notified. Initial triage completed. Containment actions initiated.</w:t>
            </w:r>
          </w:p>
        </w:tc>
      </w:tr>
      <w:tr>
        <w:tc>
          <w:tcPr>
            <w:tcW w:type="dxa" w:w="2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4 – 24 Hours</w:t>
            </w:r>
          </w:p>
        </w:tc>
        <w:tc>
          <w:tcPr>
            <w:tcW w:type="dxa" w:w="7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Incident severity classified (P1–P4). Forensic evidence preservation begins. HR leadership briefed.</w:t>
            </w:r>
          </w:p>
        </w:tc>
      </w:tr>
      <w:tr>
        <w:tc>
          <w:tcPr>
            <w:tcW w:type="dxa" w:w="2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24 – 48 Hours</w:t>
            </w:r>
          </w:p>
        </w:tc>
        <w:tc>
          <w:tcPr>
            <w:tcW w:type="dxa" w:w="7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Root cause analysis underway. Affected data subjects identified. Regulatory assessment initiated.</w:t>
            </w:r>
          </w:p>
        </w:tc>
      </w:tr>
      <w:tr>
        <w:tc>
          <w:tcPr>
            <w:tcW w:type="dxa" w:w="2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48 – 72 Hours</w:t>
            </w:r>
          </w:p>
        </w:tc>
        <w:tc>
          <w:tcPr>
            <w:tcW w:type="dxa" w:w="7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Regulatory notification filed (if required). Affected individuals notified if high risk to rights.</w:t>
            </w:r>
          </w:p>
        </w:tc>
      </w:tr>
      <w:tr>
        <w:tc>
          <w:tcPr>
            <w:tcW w:type="dxa" w:w="2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Post-72 Hours</w:t>
            </w:r>
          </w:p>
        </w:tc>
        <w:tc>
          <w:tcPr>
            <w:tcW w:type="dxa" w:w="7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Full incident report prepared. Remediation plan approved. Lessons learned documented.</w:t>
            </w:r>
          </w:p>
        </w:tc>
      </w:tr>
    </w:tbl>
    <w:p>
      <w:pPr>
        <w:spacing w:after="80" w:before="0"/>
      </w:pPr>
    </w:p>
    <w:p>
      <w:pPr>
        <w:pStyle w:val="Heading2"/>
        <w:spacing w:after="100" w:before="240"/>
      </w:pPr>
      <w:r>
        <w:rPr>
          <w:rFonts w:ascii="Arial" w:cs="Arial" w:eastAsia="Arial" w:hAnsi="Arial"/>
          <w:b/>
          <w:bCs/>
          <w:color w:val="1A4A8A"/>
          <w:sz w:val="24"/>
          <w:szCs w:val="24"/>
        </w:rPr>
        <w:t xml:space="preserve">7.3  Incident Severity Classification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2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Criteria</w:t>
            </w:r>
          </w:p>
        </w:tc>
        <w:tc>
          <w:tcPr>
            <w:tcW w:type="dxa" w:w="240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Notification</w:t>
            </w:r>
          </w:p>
        </w:tc>
        <w:tc>
          <w:tcPr>
            <w:tcW w:type="dxa" w:w="1960"/>
            <w:tcBorders>
              <w:top w:val="single" w:color="CDD5DF" w:sz="1"/>
              <w:left w:val="single" w:color="CDD5DF" w:sz="1"/>
              <w:bottom w:val="single" w:color="CDD5DF" w:sz="1"/>
              <w:right w:val="single" w:color="CDD5DF" w:sz="1"/>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SLA</w:t>
            </w:r>
          </w:p>
        </w:tc>
      </w:tr>
      <w:tr>
        <w:tc>
          <w:tcPr>
            <w:tcW w:type="dxa" w:w="1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P1 — Critical</w:t>
            </w:r>
          </w:p>
        </w:tc>
        <w:tc>
          <w:tcPr>
            <w:tcW w:type="dxa" w:w="32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Mass data exfiltration, ransomware, systemic breach</w:t>
            </w:r>
          </w:p>
        </w:tc>
        <w:tc>
          <w:tcPr>
            <w:tcW w:type="dxa" w:w="24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CEO, Board, Regulators</w:t>
            </w:r>
          </w:p>
        </w:tc>
        <w:tc>
          <w:tcPr>
            <w:tcW w:type="dxa" w:w="19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Immediate</w:t>
            </w:r>
          </w:p>
        </w:tc>
      </w:tr>
      <w:tr>
        <w:tc>
          <w:tcPr>
            <w:tcW w:type="dxa" w:w="1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P2 — High</w:t>
            </w:r>
          </w:p>
        </w:tc>
        <w:tc>
          <w:tcPr>
            <w:tcW w:type="dxa" w:w="32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PII of 50+ employees exposed, suspected insider threat</w:t>
            </w:r>
          </w:p>
        </w:tc>
        <w:tc>
          <w:tcPr>
            <w:tcW w:type="dxa" w:w="24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CISO, DPO, CPO</w:t>
            </w:r>
          </w:p>
        </w:tc>
        <w:tc>
          <w:tcPr>
            <w:tcW w:type="dxa" w:w="19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4 hours</w:t>
            </w:r>
          </w:p>
        </w:tc>
      </w:tr>
      <w:tr>
        <w:tc>
          <w:tcPr>
            <w:tcW w:type="dxa" w:w="1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P3 — Medium</w:t>
            </w:r>
          </w:p>
        </w:tc>
        <w:tc>
          <w:tcPr>
            <w:tcW w:type="dxa" w:w="32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Single employee record exposed, lost encrypted device</w:t>
            </w:r>
          </w:p>
        </w:tc>
        <w:tc>
          <w:tcPr>
            <w:tcW w:type="dxa" w:w="24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CISO, HR Lead</w:t>
            </w:r>
          </w:p>
        </w:tc>
        <w:tc>
          <w:tcPr>
            <w:tcW w:type="dxa" w:w="19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24 hours</w:t>
            </w:r>
          </w:p>
        </w:tc>
      </w:tr>
      <w:tr>
        <w:tc>
          <w:tcPr>
            <w:tcW w:type="dxa" w:w="1800"/>
            <w:tcBorders>
              <w:top w:val="single" w:color="CDD5DF" w:sz="1"/>
              <w:left w:val="single" w:color="CDD5DF" w:sz="1"/>
              <w:bottom w:val="single" w:color="CDD5DF" w:sz="1"/>
              <w:right w:val="single" w:color="CDD5DF" w:sz="1"/>
            </w:tcBorders>
            <w:shd w:fill="F3F5F8" w:val="clear"/>
            <w:tcMar>
              <w:top w:type="dxa" w:w="80"/>
              <w:left w:type="dxa" w:w="120"/>
              <w:bottom w:type="dxa" w:w="80"/>
              <w:right w:type="dxa" w:w="120"/>
            </w:tcMar>
          </w:tcPr>
          <w:p>
            <w:r>
              <w:rPr>
                <w:rFonts w:ascii="Arial" w:cs="Arial" w:eastAsia="Arial" w:hAnsi="Arial"/>
                <w:b w:val="false"/>
                <w:bCs w:val="false"/>
                <w:color w:val="1C2733"/>
                <w:sz w:val="19"/>
                <w:szCs w:val="19"/>
              </w:rPr>
              <w:t xml:space="preserve">P4 — Low</w:t>
            </w:r>
          </w:p>
        </w:tc>
        <w:tc>
          <w:tcPr>
            <w:tcW w:type="dxa" w:w="32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Near-miss, policy violation with no data exposed</w:t>
            </w:r>
          </w:p>
        </w:tc>
        <w:tc>
          <w:tcPr>
            <w:tcW w:type="dxa" w:w="240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IT Security team</w:t>
            </w:r>
          </w:p>
        </w:tc>
        <w:tc>
          <w:tcPr>
            <w:tcW w:type="dxa" w:w="1960"/>
            <w:tcBorders>
              <w:top w:val="single" w:color="CDD5DF" w:sz="1"/>
              <w:left w:val="single" w:color="CDD5DF" w:sz="1"/>
              <w:bottom w:val="single" w:color="CDD5DF" w:sz="1"/>
              <w:right w:val="single" w:color="CDD5DF" w:sz="1"/>
            </w:tcBorders>
            <w:shd w:fill="FFFFFF" w:val="clear"/>
            <w:tcMar>
              <w:top w:type="dxa" w:w="80"/>
              <w:left w:type="dxa" w:w="120"/>
              <w:bottom w:type="dxa" w:w="80"/>
              <w:right w:type="dxa" w:w="120"/>
            </w:tcMar>
          </w:tcPr>
          <w:p>
            <w:r>
              <w:rPr>
                <w:rFonts w:ascii="Arial" w:cs="Arial" w:eastAsia="Arial" w:hAnsi="Arial"/>
                <w:b w:val="false"/>
                <w:bCs w:val="false"/>
                <w:color w:val="1C2733"/>
                <w:sz w:val="19"/>
                <w:szCs w:val="19"/>
              </w:rPr>
              <w:t xml:space="preserve">72 hours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DF3F2" w:val="clear"/>
            <w:tcMar>
              <w:top w:type="dxa" w:w="120"/>
              <w:left w:type="dxa" w:w="200"/>
              <w:bottom w:type="dxa" w:w="120"/>
              <w:right w:type="dxa" w:w="200"/>
            </w:tcMar>
          </w:tcPr>
          <w:p>
            <w:pPr>
              <w:spacing w:after="0" w:before="0"/>
            </w:pPr>
            <w:r>
              <w:rPr>
                <w:rFonts w:ascii="Arial" w:cs="Arial" w:eastAsia="Arial" w:hAnsi="Arial"/>
                <w:sz w:val="21"/>
                <w:szCs w:val="21"/>
              </w:rPr>
              <w:t xml:space="preserve">⚠  </w:t>
            </w:r>
            <w:r>
              <w:rPr>
                <w:rFonts w:ascii="Arial" w:cs="Arial" w:eastAsia="Arial" w:hAnsi="Arial"/>
                <w:b/>
                <w:bCs/>
                <w:color w:val="C0392B"/>
                <w:sz w:val="21"/>
                <w:szCs w:val="21"/>
              </w:rPr>
              <w:t xml:space="preserve">WARNING: </w:t>
            </w:r>
            <w:r>
              <w:rPr>
                <w:rFonts w:ascii="Arial" w:cs="Arial" w:eastAsia="Arial" w:hAnsi="Arial"/>
                <w:color w:val="1C2733"/>
                <w:sz w:val="21"/>
                <w:szCs w:val="21"/>
              </w:rPr>
              <w:t xml:space="preserve">Failure to report a known data breach is a disciplinary offence. Deliberate concealment of a security incident may result in immediate termination and referral to law enforcement.</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8.  </w:t>
      </w:r>
      <w:r>
        <w:rPr>
          <w:rFonts w:ascii="Arial" w:cs="Arial" w:eastAsia="Arial" w:hAnsi="Arial"/>
          <w:b/>
          <w:bCs/>
          <w:color w:val="0D2B55"/>
          <w:sz w:val="34"/>
          <w:szCs w:val="34"/>
        </w:rPr>
        <w:t xml:space="preserve">Information Security Standards</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The organization's HR information security programme aligns with ISO/IEC 27001:2022 and NIST CSF 2.0 frameworks. All HR data assets must be catalogued, risk-assessed, and protected in accordance with the controls described in this section.</w:t>
      </w:r>
    </w:p>
    <w:p>
      <w:pPr>
        <w:spacing w:after="80" w:before="0"/>
      </w:pPr>
    </w:p>
    <w:p>
      <w:pPr>
        <w:pStyle w:val="Heading2"/>
        <w:spacing w:after="100" w:before="240"/>
      </w:pPr>
      <w:r>
        <w:rPr>
          <w:rFonts w:ascii="Arial" w:cs="Arial" w:eastAsia="Arial" w:hAnsi="Arial"/>
          <w:b/>
          <w:bCs/>
          <w:color w:val="1A4A8A"/>
          <w:sz w:val="24"/>
          <w:szCs w:val="24"/>
        </w:rPr>
        <w:t xml:space="preserve">8.1  Technical Security Controls</w:t>
      </w:r>
    </w:p>
    <w:p>
      <w:pPr>
        <w:pStyle w:val="ListParagraph"/>
        <w:numPr>
          <w:ilvl w:val="0"/>
          <w:numId w:val="2"/>
        </w:numPr>
        <w:spacing w:after="60" w:before="40"/>
      </w:pPr>
      <w:r>
        <w:rPr>
          <w:rFonts w:ascii="Arial" w:cs="Arial" w:eastAsia="Arial" w:hAnsi="Arial"/>
          <w:color w:val="1C2733"/>
          <w:sz w:val="21"/>
          <w:szCs w:val="21"/>
        </w:rPr>
        <w:t xml:space="preserve">Encryption: AES-256 for data at rest; TLS 1.3 for all data in transit across HR systems.</w:t>
      </w:r>
    </w:p>
    <w:p>
      <w:pPr>
        <w:pStyle w:val="ListParagraph"/>
        <w:numPr>
          <w:ilvl w:val="0"/>
          <w:numId w:val="2"/>
        </w:numPr>
        <w:spacing w:after="60" w:before="40"/>
      </w:pPr>
      <w:r>
        <w:rPr>
          <w:rFonts w:ascii="Arial" w:cs="Arial" w:eastAsia="Arial" w:hAnsi="Arial"/>
          <w:color w:val="1C2733"/>
          <w:sz w:val="21"/>
          <w:szCs w:val="21"/>
        </w:rPr>
        <w:t xml:space="preserve">Endpoint Protection: All devices accessing HR systems must have approved EDR/MDM solution enrolled.</w:t>
      </w:r>
    </w:p>
    <w:p>
      <w:pPr>
        <w:pStyle w:val="ListParagraph"/>
        <w:numPr>
          <w:ilvl w:val="0"/>
          <w:numId w:val="2"/>
        </w:numPr>
        <w:spacing w:after="60" w:before="40"/>
      </w:pPr>
      <w:r>
        <w:rPr>
          <w:rFonts w:ascii="Arial" w:cs="Arial" w:eastAsia="Arial" w:hAnsi="Arial"/>
          <w:color w:val="1C2733"/>
          <w:sz w:val="21"/>
          <w:szCs w:val="21"/>
        </w:rPr>
        <w:t xml:space="preserve">Network Security: HR systems must be isolated in a dedicated VLAN with WAF and IDS/IPS controls.</w:t>
      </w:r>
    </w:p>
    <w:p>
      <w:pPr>
        <w:pStyle w:val="ListParagraph"/>
        <w:numPr>
          <w:ilvl w:val="0"/>
          <w:numId w:val="2"/>
        </w:numPr>
        <w:spacing w:after="60" w:before="40"/>
      </w:pPr>
      <w:r>
        <w:rPr>
          <w:rFonts w:ascii="Arial" w:cs="Arial" w:eastAsia="Arial" w:hAnsi="Arial"/>
          <w:color w:val="1C2733"/>
          <w:sz w:val="21"/>
          <w:szCs w:val="21"/>
        </w:rPr>
        <w:t xml:space="preserve">Vulnerability Management: HR system components must be patched within 14 days of critical CVE publication.</w:t>
      </w:r>
    </w:p>
    <w:p>
      <w:pPr>
        <w:pStyle w:val="ListParagraph"/>
        <w:numPr>
          <w:ilvl w:val="0"/>
          <w:numId w:val="2"/>
        </w:numPr>
        <w:spacing w:after="60" w:before="40"/>
      </w:pPr>
      <w:r>
        <w:rPr>
          <w:rFonts w:ascii="Arial" w:cs="Arial" w:eastAsia="Arial" w:hAnsi="Arial"/>
          <w:color w:val="1C2733"/>
          <w:sz w:val="21"/>
          <w:szCs w:val="21"/>
        </w:rPr>
        <w:t xml:space="preserve">Penetration Testing: HR systems must undergo external penetration testing annually and after major releases.</w:t>
      </w:r>
    </w:p>
    <w:p>
      <w:pPr>
        <w:pStyle w:val="ListParagraph"/>
        <w:numPr>
          <w:ilvl w:val="0"/>
          <w:numId w:val="2"/>
        </w:numPr>
        <w:spacing w:after="60" w:before="40"/>
      </w:pPr>
      <w:r>
        <w:rPr>
          <w:rFonts w:ascii="Arial" w:cs="Arial" w:eastAsia="Arial" w:hAnsi="Arial"/>
          <w:color w:val="1C2733"/>
          <w:sz w:val="21"/>
          <w:szCs w:val="21"/>
        </w:rPr>
        <w:t xml:space="preserve">Backup: Daily encrypted backups with off-site or multi-region replication; restore tested quarterly.</w:t>
      </w:r>
    </w:p>
    <w:p>
      <w:pPr>
        <w:spacing w:after="80" w:before="0"/>
      </w:pPr>
    </w:p>
    <w:p>
      <w:pPr>
        <w:pStyle w:val="Heading2"/>
        <w:spacing w:after="100" w:before="240"/>
      </w:pPr>
      <w:r>
        <w:rPr>
          <w:rFonts w:ascii="Arial" w:cs="Arial" w:eastAsia="Arial" w:hAnsi="Arial"/>
          <w:b/>
          <w:bCs/>
          <w:color w:val="1A4A8A"/>
          <w:sz w:val="24"/>
          <w:szCs w:val="24"/>
        </w:rPr>
        <w:t xml:space="preserve">8.2  Email &amp; Communication Security</w:t>
      </w:r>
    </w:p>
    <w:p>
      <w:pPr>
        <w:pStyle w:val="ListParagraph"/>
        <w:numPr>
          <w:ilvl w:val="0"/>
          <w:numId w:val="2"/>
        </w:numPr>
        <w:spacing w:after="60" w:before="40"/>
      </w:pPr>
      <w:r>
        <w:rPr>
          <w:rFonts w:ascii="Arial" w:cs="Arial" w:eastAsia="Arial" w:hAnsi="Arial"/>
          <w:color w:val="1C2733"/>
          <w:sz w:val="21"/>
          <w:szCs w:val="21"/>
        </w:rPr>
        <w:t xml:space="preserve">Bulk employee data must never be sent by email. Use the secure HR portal file-transfer function.</w:t>
      </w:r>
    </w:p>
    <w:p>
      <w:pPr>
        <w:pStyle w:val="ListParagraph"/>
        <w:numPr>
          <w:ilvl w:val="0"/>
          <w:numId w:val="2"/>
        </w:numPr>
        <w:spacing w:after="60" w:before="40"/>
      </w:pPr>
      <w:r>
        <w:rPr>
          <w:rFonts w:ascii="Arial" w:cs="Arial" w:eastAsia="Arial" w:hAnsi="Arial"/>
          <w:color w:val="1C2733"/>
          <w:sz w:val="21"/>
          <w:szCs w:val="21"/>
        </w:rPr>
        <w:t xml:space="preserve">All outbound email containing PII must be encrypted using S/MIME or equivalent.</w:t>
      </w:r>
    </w:p>
    <w:p>
      <w:pPr>
        <w:pStyle w:val="ListParagraph"/>
        <w:numPr>
          <w:ilvl w:val="0"/>
          <w:numId w:val="2"/>
        </w:numPr>
        <w:spacing w:after="60" w:before="40"/>
      </w:pPr>
      <w:r>
        <w:rPr>
          <w:rFonts w:ascii="Arial" w:cs="Arial" w:eastAsia="Arial" w:hAnsi="Arial"/>
          <w:color w:val="1C2733"/>
          <w:sz w:val="21"/>
          <w:szCs w:val="21"/>
        </w:rPr>
        <w:t xml:space="preserve">HR staff must use @company.com email exclusively; personal email accounts must not be used for work purposes.</w:t>
      </w:r>
    </w:p>
    <w:p>
      <w:pPr>
        <w:pStyle w:val="ListParagraph"/>
        <w:numPr>
          <w:ilvl w:val="0"/>
          <w:numId w:val="2"/>
        </w:numPr>
        <w:spacing w:after="60" w:before="40"/>
      </w:pPr>
      <w:r>
        <w:rPr>
          <w:rFonts w:ascii="Arial" w:cs="Arial" w:eastAsia="Arial" w:hAnsi="Arial"/>
          <w:color w:val="1C2733"/>
          <w:sz w:val="21"/>
          <w:szCs w:val="21"/>
        </w:rPr>
        <w:t xml:space="preserve">Email DLP rules are enforced system-wide to detect and block accidental PII transmission.</w:t>
      </w:r>
    </w:p>
    <w:p>
      <w:pPr>
        <w:spacing w:after="80" w:before="0"/>
      </w:pPr>
    </w:p>
    <w:p>
      <w:pPr>
        <w:pStyle w:val="Heading2"/>
        <w:spacing w:after="100" w:before="240"/>
      </w:pPr>
      <w:r>
        <w:rPr>
          <w:rFonts w:ascii="Arial" w:cs="Arial" w:eastAsia="Arial" w:hAnsi="Arial"/>
          <w:b/>
          <w:bCs/>
          <w:color w:val="1A4A8A"/>
          <w:sz w:val="24"/>
          <w:szCs w:val="24"/>
        </w:rPr>
        <w:t xml:space="preserve">8.3  Third-Party and Vendor Security</w:t>
      </w:r>
    </w:p>
    <w:p>
      <w:pPr>
        <w:spacing w:after="100" w:before="60"/>
      </w:pPr>
      <w:r>
        <w:rPr>
          <w:rFonts w:ascii="Arial" w:cs="Arial" w:eastAsia="Arial" w:hAnsi="Arial"/>
          <w:color w:val="1C2733"/>
          <w:sz w:val="21"/>
          <w:szCs w:val="21"/>
        </w:rPr>
        <w:t xml:space="preserve">All third-party vendors and SaaS platforms with access to HR data must meet the following requirements before onboarding and on an annual renewal basis:</w:t>
      </w:r>
    </w:p>
    <w:p>
      <w:pPr>
        <w:pStyle w:val="ListParagraph"/>
        <w:numPr>
          <w:ilvl w:val="0"/>
          <w:numId w:val="2"/>
        </w:numPr>
        <w:spacing w:after="60" w:before="40"/>
      </w:pPr>
      <w:r>
        <w:rPr>
          <w:rFonts w:ascii="Arial" w:cs="Arial" w:eastAsia="Arial" w:hAnsi="Arial"/>
          <w:color w:val="1C2733"/>
          <w:sz w:val="21"/>
          <w:szCs w:val="21"/>
        </w:rPr>
        <w:t xml:space="preserve">Complete and pass the vendor security questionnaire (aligned to SIG Lite 2024).</w:t>
      </w:r>
    </w:p>
    <w:p>
      <w:pPr>
        <w:pStyle w:val="ListParagraph"/>
        <w:numPr>
          <w:ilvl w:val="0"/>
          <w:numId w:val="2"/>
        </w:numPr>
        <w:spacing w:after="60" w:before="40"/>
      </w:pPr>
      <w:r>
        <w:rPr>
          <w:rFonts w:ascii="Arial" w:cs="Arial" w:eastAsia="Arial" w:hAnsi="Arial"/>
          <w:color w:val="1C2733"/>
          <w:sz w:val="21"/>
          <w:szCs w:val="21"/>
        </w:rPr>
        <w:t xml:space="preserve">Provide a current ISO 27001 certificate or SOC 2 Type II report (not older than 12 months).</w:t>
      </w:r>
    </w:p>
    <w:p>
      <w:pPr>
        <w:pStyle w:val="ListParagraph"/>
        <w:numPr>
          <w:ilvl w:val="0"/>
          <w:numId w:val="2"/>
        </w:numPr>
        <w:spacing w:after="60" w:before="40"/>
      </w:pPr>
      <w:r>
        <w:rPr>
          <w:rFonts w:ascii="Arial" w:cs="Arial" w:eastAsia="Arial" w:hAnsi="Arial"/>
          <w:color w:val="1C2733"/>
          <w:sz w:val="21"/>
          <w:szCs w:val="21"/>
        </w:rPr>
        <w:t xml:space="preserve">Execute a signed Data Processing Agreement (DPA) covering sub-processor obligations.</w:t>
      </w:r>
    </w:p>
    <w:p>
      <w:pPr>
        <w:pStyle w:val="ListParagraph"/>
        <w:numPr>
          <w:ilvl w:val="0"/>
          <w:numId w:val="2"/>
        </w:numPr>
        <w:spacing w:after="60" w:before="40"/>
      </w:pPr>
      <w:r>
        <w:rPr>
          <w:rFonts w:ascii="Arial" w:cs="Arial" w:eastAsia="Arial" w:hAnsi="Arial"/>
          <w:color w:val="1C2733"/>
          <w:sz w:val="21"/>
          <w:szCs w:val="21"/>
        </w:rPr>
        <w:t xml:space="preserve">Notify the organization within 24 hours of any security event affecting organization data.</w:t>
      </w:r>
    </w:p>
    <w:p>
      <w:pPr>
        <w:spacing w:after="80" w:before="0"/>
      </w:pPr>
    </w:p>
    <w:p>
      <w:pPr>
        <w:pStyle w:val="Heading2"/>
        <w:spacing w:after="100" w:before="240"/>
      </w:pPr>
      <w:r>
        <w:rPr>
          <w:rFonts w:ascii="Arial" w:cs="Arial" w:eastAsia="Arial" w:hAnsi="Arial"/>
          <w:b/>
          <w:bCs/>
          <w:color w:val="1A4A8A"/>
          <w:sz w:val="24"/>
          <w:szCs w:val="24"/>
        </w:rPr>
        <w:t xml:space="preserve">8.4  HR Data Asset Classification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Classification</w:t>
            </w:r>
          </w:p>
        </w:tc>
        <w:tc>
          <w:tcPr>
            <w:tcW w:type="dxa" w:w="69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Handling Requirement</w:t>
            </w:r>
          </w:p>
        </w:tc>
      </w:tr>
      <w:tr>
        <w:tc>
          <w:tcPr>
            <w:tcW w:type="dxa" w:w="24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Public</w:t>
            </w:r>
          </w:p>
        </w:tc>
        <w:tc>
          <w:tcPr>
            <w:tcW w:type="dxa" w:w="6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No special handling required. Approved for external sharing.</w:t>
            </w:r>
          </w:p>
        </w:tc>
      </w:tr>
      <w:tr>
        <w:tc>
          <w:tcPr>
            <w:tcW w:type="dxa" w:w="24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Internal</w:t>
            </w:r>
          </w:p>
        </w:tc>
        <w:tc>
          <w:tcPr>
            <w:tcW w:type="dxa" w:w="6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Share within organization only. Not for personal devices without MDM.</w:t>
            </w:r>
          </w:p>
        </w:tc>
      </w:tr>
      <w:tr>
        <w:tc>
          <w:tcPr>
            <w:tcW w:type="dxa" w:w="24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Confidential</w:t>
            </w:r>
          </w:p>
        </w:tc>
        <w:tc>
          <w:tcPr>
            <w:tcW w:type="dxa" w:w="6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Encrypt in transit and at rest. Share only with named authorized recipients.</w:t>
            </w:r>
          </w:p>
        </w:tc>
      </w:tr>
      <w:tr>
        <w:tc>
          <w:tcPr>
            <w:tcW w:type="dxa" w:w="24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Restricted</w:t>
            </w:r>
          </w:p>
        </w:tc>
        <w:tc>
          <w:tcPr>
            <w:tcW w:type="dxa" w:w="6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Hardened access controls, PAM required, DPO approval for any sharing.</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9.  </w:t>
      </w:r>
      <w:r>
        <w:rPr>
          <w:rFonts w:ascii="Arial" w:cs="Arial" w:eastAsia="Arial" w:hAnsi="Arial"/>
          <w:b/>
          <w:bCs/>
          <w:color w:val="0D2B55"/>
          <w:sz w:val="34"/>
          <w:szCs w:val="34"/>
        </w:rPr>
        <w:t xml:space="preserve">HR Confidentiality Rules</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All HR personnel — including HR business partners, talent acquisition, payroll, and L&amp;D teams — are subject to strict confidentiality obligations by virtue of their access to sensitive employee information. These obligations apply during employment and continue for a period of five years post-separation.</w:t>
      </w:r>
    </w:p>
    <w:p>
      <w:pPr>
        <w:spacing w:after="80" w:before="0"/>
      </w:pPr>
    </w:p>
    <w:p>
      <w:pPr>
        <w:pStyle w:val="Heading2"/>
        <w:spacing w:after="100" w:before="240"/>
      </w:pPr>
      <w:r>
        <w:rPr>
          <w:rFonts w:ascii="Arial" w:cs="Arial" w:eastAsia="Arial" w:hAnsi="Arial"/>
          <w:b/>
          <w:bCs/>
          <w:color w:val="1A4A8A"/>
          <w:sz w:val="24"/>
          <w:szCs w:val="24"/>
        </w:rPr>
        <w:t xml:space="preserve">9.1  Confidentiality Obligations</w:t>
      </w:r>
    </w:p>
    <w:p>
      <w:pPr>
        <w:pStyle w:val="ListParagraph"/>
        <w:numPr>
          <w:ilvl w:val="0"/>
          <w:numId w:val="2"/>
        </w:numPr>
        <w:spacing w:after="60" w:before="40"/>
      </w:pPr>
      <w:r>
        <w:rPr>
          <w:rFonts w:ascii="Arial" w:cs="Arial" w:eastAsia="Arial" w:hAnsi="Arial"/>
          <w:color w:val="1C2733"/>
          <w:sz w:val="21"/>
          <w:szCs w:val="21"/>
        </w:rPr>
        <w:t xml:space="preserve">HR staff must not disclose salary, performance, medical, or disciplinary information to unauthorized parties.</w:t>
      </w:r>
    </w:p>
    <w:p>
      <w:pPr>
        <w:pStyle w:val="ListParagraph"/>
        <w:numPr>
          <w:ilvl w:val="0"/>
          <w:numId w:val="2"/>
        </w:numPr>
        <w:spacing w:after="60" w:before="40"/>
      </w:pPr>
      <w:r>
        <w:rPr>
          <w:rFonts w:ascii="Arial" w:cs="Arial" w:eastAsia="Arial" w:hAnsi="Arial"/>
          <w:color w:val="1C2733"/>
          <w:sz w:val="21"/>
          <w:szCs w:val="21"/>
        </w:rPr>
        <w:t xml:space="preserve">Conversations with employees about sensitive HR matters must be conducted in private settings.</w:t>
      </w:r>
    </w:p>
    <w:p>
      <w:pPr>
        <w:pStyle w:val="ListParagraph"/>
        <w:numPr>
          <w:ilvl w:val="0"/>
          <w:numId w:val="2"/>
        </w:numPr>
        <w:spacing w:after="60" w:before="40"/>
      </w:pPr>
      <w:r>
        <w:rPr>
          <w:rFonts w:ascii="Arial" w:cs="Arial" w:eastAsia="Arial" w:hAnsi="Arial"/>
          <w:color w:val="1C2733"/>
          <w:sz w:val="21"/>
          <w:szCs w:val="21"/>
        </w:rPr>
        <w:t xml:space="preserve">HR records must not be accessed for personal curiosity, even where technical access exists.</w:t>
      </w:r>
    </w:p>
    <w:p>
      <w:pPr>
        <w:pStyle w:val="ListParagraph"/>
        <w:numPr>
          <w:ilvl w:val="0"/>
          <w:numId w:val="2"/>
        </w:numPr>
        <w:spacing w:after="60" w:before="40"/>
      </w:pPr>
      <w:r>
        <w:rPr>
          <w:rFonts w:ascii="Arial" w:cs="Arial" w:eastAsia="Arial" w:hAnsi="Arial"/>
          <w:color w:val="1C2733"/>
          <w:sz w:val="21"/>
          <w:szCs w:val="21"/>
        </w:rPr>
        <w:t xml:space="preserve">References provided for former employees must be limited to dates of employment and job title, unless enhanced references are specifically approved by legal.</w:t>
      </w:r>
    </w:p>
    <w:p>
      <w:pPr>
        <w:pStyle w:val="ListParagraph"/>
        <w:numPr>
          <w:ilvl w:val="0"/>
          <w:numId w:val="2"/>
        </w:numPr>
        <w:spacing w:after="60" w:before="40"/>
      </w:pPr>
      <w:r>
        <w:rPr>
          <w:rFonts w:ascii="Arial" w:cs="Arial" w:eastAsia="Arial" w:hAnsi="Arial"/>
          <w:color w:val="1C2733"/>
          <w:sz w:val="21"/>
          <w:szCs w:val="21"/>
        </w:rPr>
        <w:t xml:space="preserve">Workforce planning data, headcount projections, and org restructuring plans are classified as Confidential until officially communicated.</w:t>
      </w:r>
    </w:p>
    <w:p>
      <w:pPr>
        <w:spacing w:after="80" w:before="0"/>
      </w:pPr>
    </w:p>
    <w:p>
      <w:pPr>
        <w:pStyle w:val="Heading2"/>
        <w:spacing w:after="100" w:before="240"/>
      </w:pPr>
      <w:r>
        <w:rPr>
          <w:rFonts w:ascii="Arial" w:cs="Arial" w:eastAsia="Arial" w:hAnsi="Arial"/>
          <w:b/>
          <w:bCs/>
          <w:color w:val="1A4A8A"/>
          <w:sz w:val="24"/>
          <w:szCs w:val="24"/>
        </w:rPr>
        <w:t xml:space="preserve">9.2  Need-to-Know Principle</w:t>
      </w:r>
    </w:p>
    <w:p>
      <w:pPr>
        <w:spacing w:after="100" w:before="60"/>
      </w:pPr>
      <w:r>
        <w:rPr>
          <w:rFonts w:ascii="Arial" w:cs="Arial" w:eastAsia="Arial" w:hAnsi="Arial"/>
          <w:color w:val="1C2733"/>
          <w:sz w:val="21"/>
          <w:szCs w:val="21"/>
        </w:rPr>
        <w:t xml:space="preserve">Access to HR information is governed strictly by operational necessity. The following examples illustrate the need-to-know standard: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Scenario</w:t>
            </w:r>
          </w:p>
        </w:tc>
        <w:tc>
          <w:tcPr>
            <w:tcW w:type="dxa" w:w="55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Permitted?</w:t>
            </w:r>
          </w:p>
        </w:tc>
      </w:tr>
      <w:tr>
        <w:tc>
          <w:tcPr>
            <w:tcW w:type="dxa" w:w="3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HRBP accesses performance data to prepare an annual review</w:t>
            </w:r>
          </w:p>
        </w:tc>
        <w:tc>
          <w:tcPr>
            <w:tcW w:type="dxa" w:w="5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Yes — role-aligned operational need</w:t>
            </w:r>
          </w:p>
        </w:tc>
      </w:tr>
      <w:tr>
        <w:tc>
          <w:tcPr>
            <w:tcW w:type="dxa" w:w="3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Recruiter views salary of existing employees to benchmark an offer</w:t>
            </w:r>
          </w:p>
        </w:tc>
        <w:tc>
          <w:tcPr>
            <w:tcW w:type="dxa" w:w="5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Yes — with manager approval, anonymized where possible</w:t>
            </w:r>
          </w:p>
        </w:tc>
      </w:tr>
      <w:tr>
        <w:tc>
          <w:tcPr>
            <w:tcW w:type="dxa" w:w="3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Manager views disciplinary records of an employee they don't manage</w:t>
            </w:r>
          </w:p>
        </w:tc>
        <w:tc>
          <w:tcPr>
            <w:tcW w:type="dxa" w:w="5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No — no legitimate business need</w:t>
            </w:r>
          </w:p>
        </w:tc>
      </w:tr>
      <w:tr>
        <w:tc>
          <w:tcPr>
            <w:tcW w:type="dxa" w:w="3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Payroll staff accesses medical records to verify sick leave</w:t>
            </w:r>
          </w:p>
        </w:tc>
        <w:tc>
          <w:tcPr>
            <w:tcW w:type="dxa" w:w="5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No — medical data accessed only by authorized HR case manager</w:t>
            </w:r>
          </w:p>
        </w:tc>
      </w:tr>
      <w:tr>
        <w:tc>
          <w:tcPr>
            <w:tcW w:type="dxa" w:w="3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HR Generalist discusses an employee's mental health leave with colleagues</w:t>
            </w:r>
          </w:p>
        </w:tc>
        <w:tc>
          <w:tcPr>
            <w:tcW w:type="dxa" w:w="5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No — strict confidentiality obligation; breach = disciplinary action</w:t>
            </w:r>
          </w:p>
        </w:tc>
      </w:tr>
    </w:tbl>
    <w:p>
      <w:pPr>
        <w:spacing w:after="80" w:before="0"/>
      </w:pPr>
    </w:p>
    <w:p>
      <w:pPr>
        <w:pStyle w:val="Heading2"/>
        <w:spacing w:after="100" w:before="240"/>
      </w:pPr>
      <w:r>
        <w:rPr>
          <w:rFonts w:ascii="Arial" w:cs="Arial" w:eastAsia="Arial" w:hAnsi="Arial"/>
          <w:b/>
          <w:bCs/>
          <w:color w:val="1A4A8A"/>
          <w:sz w:val="24"/>
          <w:szCs w:val="24"/>
        </w:rPr>
        <w:t xml:space="preserve">9.3  Confidentiality Agreement</w:t>
      </w:r>
    </w:p>
    <w:p>
      <w:pPr>
        <w:spacing w:after="100" w:before="60"/>
      </w:pPr>
      <w:r>
        <w:rPr>
          <w:rFonts w:ascii="Arial" w:cs="Arial" w:eastAsia="Arial" w:hAnsi="Arial"/>
          <w:color w:val="1C2733"/>
          <w:sz w:val="21"/>
          <w:szCs w:val="21"/>
        </w:rPr>
        <w:t xml:space="preserve">All HR team members must sign a standalone Confidentiality and Data Handling Agreement in addition to their employment contract. The agreement must be renewed upon promotion, role change, or any material expansion of data access scope.</w:t>
      </w:r>
    </w:p>
    <w:p>
      <w:pPr>
        <w:spacing w:after="120" w:before="0"/>
      </w:pPr>
    </w:p>
    <w:p>
      <w:r>
        <w:br w:type="page"/>
      </w:r>
    </w:p>
    <w:p>
      <w:pPr>
        <w:pStyle w:val="Heading1"/>
        <w:spacing w:after="160" w:before="360"/>
      </w:pPr>
      <w:r>
        <w:rPr>
          <w:rFonts w:ascii="Arial" w:cs="Arial" w:eastAsia="Arial" w:hAnsi="Arial"/>
          <w:b/>
          <w:bCs/>
          <w:color w:val="1A4A8A"/>
          <w:sz w:val="34"/>
          <w:szCs w:val="34"/>
        </w:rPr>
        <w:t xml:space="preserve">10.  </w:t>
      </w:r>
      <w:r>
        <w:rPr>
          <w:rFonts w:ascii="Arial" w:cs="Arial" w:eastAsia="Arial" w:hAnsi="Arial"/>
          <w:b/>
          <w:bCs/>
          <w:color w:val="0D2B55"/>
          <w:sz w:val="34"/>
          <w:szCs w:val="34"/>
        </w:rPr>
        <w:t xml:space="preserve">Audit Requirements &amp; Compliance Monitoring</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The organization maintains a continuous compliance monitoring programme to ensure this policy is consistently applied. Audits are conducted at both the scheduled and triggered levels.</w:t>
      </w:r>
    </w:p>
    <w:p>
      <w:pPr>
        <w:spacing w:after="80" w:before="0"/>
      </w:pPr>
    </w:p>
    <w:p>
      <w:pPr>
        <w:pStyle w:val="Heading2"/>
        <w:spacing w:after="100" w:before="240"/>
      </w:pPr>
      <w:r>
        <w:rPr>
          <w:rFonts w:ascii="Arial" w:cs="Arial" w:eastAsia="Arial" w:hAnsi="Arial"/>
          <w:b/>
          <w:bCs/>
          <w:color w:val="1A4A8A"/>
          <w:sz w:val="24"/>
          <w:szCs w:val="24"/>
        </w:rPr>
        <w:t xml:space="preserve">10.1  Audit Schedule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Audit Type</w:t>
            </w:r>
          </w:p>
        </w:tc>
        <w:tc>
          <w:tcPr>
            <w:tcW w:type="dxa" w:w="24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c>
          <w:tcPr>
            <w:tcW w:type="dxa" w:w="39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Conducted By</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HR Data Access Review</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Quarterly</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IT Security + HR Compliance</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GDPR RoPA Review &amp; Update</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Semi-annual</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DPO + Legal</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Vendor / Processor Compliance Review</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Annual</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Procurement + CISO</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HR Systems Penetration Test</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Annual</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External Accredited Auditor</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Policy Compliance Attestation (all HR staff)</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Annual</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HR Leadership</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Data Subject Rights Fulfilment Audit</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Semi-annual</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DPO</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Backup &amp; Recovery Test</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Quarterly</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IT Operations</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Incident Register Review</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Monthly</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CISO + DPO</w:t>
            </w:r>
          </w:p>
        </w:tc>
      </w:tr>
      <w:tr>
        <w:tc>
          <w:tcPr>
            <w:tcW w:type="dxa" w:w="30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tcPr>
          <w:p>
            <w:r>
              <w:rPr>
                <w:rFonts w:ascii="Arial" w:cs="Arial" w:eastAsia="Arial" w:hAnsi="Arial"/>
                <w:b w:val="false"/>
                <w:bCs w:val="false"/>
                <w:color w:val="1C2733"/>
                <w:sz w:val="20"/>
                <w:szCs w:val="20"/>
              </w:rPr>
              <w:t xml:space="preserve">Physical Security Audit (HR areas)</w:t>
            </w:r>
          </w:p>
        </w:tc>
        <w:tc>
          <w:tcPr>
            <w:tcW w:type="dxa" w:w="24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Annual</w:t>
            </w:r>
          </w:p>
        </w:tc>
        <w:tc>
          <w:tcPr>
            <w:tcW w:type="dxa" w:w="39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b w:val="false"/>
                <w:bCs w:val="false"/>
                <w:color w:val="1C2733"/>
                <w:sz w:val="20"/>
                <w:szCs w:val="20"/>
              </w:rPr>
              <w:t xml:space="preserve">Facilities + Security</w:t>
            </w:r>
          </w:p>
        </w:tc>
      </w:tr>
    </w:tbl>
    <w:p>
      <w:pPr>
        <w:spacing w:after="80" w:before="0"/>
      </w:pPr>
    </w:p>
    <w:p>
      <w:pPr>
        <w:pStyle w:val="Heading2"/>
        <w:spacing w:after="100" w:before="240"/>
      </w:pPr>
      <w:r>
        <w:rPr>
          <w:rFonts w:ascii="Arial" w:cs="Arial" w:eastAsia="Arial" w:hAnsi="Arial"/>
          <w:b/>
          <w:bCs/>
          <w:color w:val="1A4A8A"/>
          <w:sz w:val="24"/>
          <w:szCs w:val="24"/>
        </w:rPr>
        <w:t xml:space="preserve">10.2  Triggered Audits</w:t>
      </w:r>
    </w:p>
    <w:p>
      <w:pPr>
        <w:spacing w:after="100" w:before="60"/>
      </w:pPr>
      <w:r>
        <w:rPr>
          <w:rFonts w:ascii="Arial" w:cs="Arial" w:eastAsia="Arial" w:hAnsi="Arial"/>
          <w:color w:val="1C2733"/>
          <w:sz w:val="21"/>
          <w:szCs w:val="21"/>
        </w:rPr>
        <w:t xml:space="preserve">An unscheduled audit may be initiated in the following circumstances:</w:t>
      </w:r>
    </w:p>
    <w:p>
      <w:pPr>
        <w:pStyle w:val="ListParagraph"/>
        <w:numPr>
          <w:ilvl w:val="0"/>
          <w:numId w:val="2"/>
        </w:numPr>
        <w:spacing w:after="60" w:before="40"/>
      </w:pPr>
      <w:r>
        <w:rPr>
          <w:rFonts w:ascii="Arial" w:cs="Arial" w:eastAsia="Arial" w:hAnsi="Arial"/>
          <w:color w:val="1C2733"/>
          <w:sz w:val="21"/>
          <w:szCs w:val="21"/>
        </w:rPr>
        <w:t xml:space="preserve">A reportable data breach or P1/P2 security incident has occurred.</w:t>
      </w:r>
    </w:p>
    <w:p>
      <w:pPr>
        <w:pStyle w:val="ListParagraph"/>
        <w:numPr>
          <w:ilvl w:val="0"/>
          <w:numId w:val="2"/>
        </w:numPr>
        <w:spacing w:after="60" w:before="40"/>
      </w:pPr>
      <w:r>
        <w:rPr>
          <w:rFonts w:ascii="Arial" w:cs="Arial" w:eastAsia="Arial" w:hAnsi="Arial"/>
          <w:color w:val="1C2733"/>
          <w:sz w:val="21"/>
          <w:szCs w:val="21"/>
        </w:rPr>
        <w:t xml:space="preserve">A regulatory authority issues an inquiry, audit notice, or enforcement action.</w:t>
      </w:r>
    </w:p>
    <w:p>
      <w:pPr>
        <w:pStyle w:val="ListParagraph"/>
        <w:numPr>
          <w:ilvl w:val="0"/>
          <w:numId w:val="2"/>
        </w:numPr>
        <w:spacing w:after="60" w:before="40"/>
      </w:pPr>
      <w:r>
        <w:rPr>
          <w:rFonts w:ascii="Arial" w:cs="Arial" w:eastAsia="Arial" w:hAnsi="Arial"/>
          <w:color w:val="1C2733"/>
          <w:sz w:val="21"/>
          <w:szCs w:val="21"/>
        </w:rPr>
        <w:t xml:space="preserve">A whistleblower complaint related to data misuse is received.</w:t>
      </w:r>
    </w:p>
    <w:p>
      <w:pPr>
        <w:pStyle w:val="ListParagraph"/>
        <w:numPr>
          <w:ilvl w:val="0"/>
          <w:numId w:val="2"/>
        </w:numPr>
        <w:spacing w:after="60" w:before="40"/>
      </w:pPr>
      <w:r>
        <w:rPr>
          <w:rFonts w:ascii="Arial" w:cs="Arial" w:eastAsia="Arial" w:hAnsi="Arial"/>
          <w:color w:val="1C2733"/>
          <w:sz w:val="21"/>
          <w:szCs w:val="21"/>
        </w:rPr>
        <w:t xml:space="preserve">A significant HR system change, acquisition, or outsourcing event.</w:t>
      </w:r>
    </w:p>
    <w:p>
      <w:pPr>
        <w:spacing w:after="80" w:before="0"/>
      </w:pPr>
    </w:p>
    <w:p>
      <w:pPr>
        <w:pStyle w:val="Heading2"/>
        <w:spacing w:after="100" w:before="240"/>
      </w:pPr>
      <w:r>
        <w:rPr>
          <w:rFonts w:ascii="Arial" w:cs="Arial" w:eastAsia="Arial" w:hAnsi="Arial"/>
          <w:b/>
          <w:bCs/>
          <w:color w:val="1A4A8A"/>
          <w:sz w:val="24"/>
          <w:szCs w:val="24"/>
        </w:rPr>
        <w:t xml:space="preserve">10.3  Audit Deliverables &amp; Retention</w:t>
      </w:r>
    </w:p>
    <w:p>
      <w:pPr>
        <w:pStyle w:val="ListParagraph"/>
        <w:numPr>
          <w:ilvl w:val="0"/>
          <w:numId w:val="2"/>
        </w:numPr>
        <w:spacing w:after="60" w:before="40"/>
      </w:pPr>
      <w:r>
        <w:rPr>
          <w:rFonts w:ascii="Arial" w:cs="Arial" w:eastAsia="Arial" w:hAnsi="Arial"/>
          <w:color w:val="1C2733"/>
          <w:sz w:val="21"/>
          <w:szCs w:val="21"/>
        </w:rPr>
        <w:t xml:space="preserve">All audit findings must be documented in a formal Audit Report within 10 business days.</w:t>
      </w:r>
    </w:p>
    <w:p>
      <w:pPr>
        <w:pStyle w:val="ListParagraph"/>
        <w:numPr>
          <w:ilvl w:val="0"/>
          <w:numId w:val="2"/>
        </w:numPr>
        <w:spacing w:after="60" w:before="40"/>
      </w:pPr>
      <w:r>
        <w:rPr>
          <w:rFonts w:ascii="Arial" w:cs="Arial" w:eastAsia="Arial" w:hAnsi="Arial"/>
          <w:color w:val="1C2733"/>
          <w:sz w:val="21"/>
          <w:szCs w:val="21"/>
        </w:rPr>
        <w:t xml:space="preserve">Critical and high findings must have a remediation owner and deadline assigned within 5 days.</w:t>
      </w:r>
    </w:p>
    <w:p>
      <w:pPr>
        <w:pStyle w:val="ListParagraph"/>
        <w:numPr>
          <w:ilvl w:val="0"/>
          <w:numId w:val="2"/>
        </w:numPr>
        <w:spacing w:after="60" w:before="40"/>
      </w:pPr>
      <w:r>
        <w:rPr>
          <w:rFonts w:ascii="Arial" w:cs="Arial" w:eastAsia="Arial" w:hAnsi="Arial"/>
          <w:color w:val="1C2733"/>
          <w:sz w:val="21"/>
          <w:szCs w:val="21"/>
        </w:rPr>
        <w:t xml:space="preserve">Audit reports are retained for 7 years and are available to regulatory authorities upon request.</w:t>
      </w:r>
    </w:p>
    <w:p>
      <w:pPr>
        <w:pStyle w:val="ListParagraph"/>
        <w:numPr>
          <w:ilvl w:val="0"/>
          <w:numId w:val="2"/>
        </w:numPr>
        <w:spacing w:after="60" w:before="40"/>
      </w:pPr>
      <w:r>
        <w:rPr>
          <w:rFonts w:ascii="Arial" w:cs="Arial" w:eastAsia="Arial" w:hAnsi="Arial"/>
          <w:color w:val="1C2733"/>
          <w:sz w:val="21"/>
          <w:szCs w:val="21"/>
        </w:rPr>
        <w:t xml:space="preserve">Repeat findings from consecutive audit cycles trigger automatic escalation to the Board Audit Committee.</w:t>
      </w:r>
    </w:p>
    <w:p>
      <w:pPr>
        <w:spacing w:after="80" w:before="0"/>
      </w:pPr>
    </w:p>
    <w:p>
      <w:pPr>
        <w:pStyle w:val="Heading2"/>
        <w:spacing w:after="100" w:before="240"/>
      </w:pPr>
      <w:r>
        <w:rPr>
          <w:rFonts w:ascii="Arial" w:cs="Arial" w:eastAsia="Arial" w:hAnsi="Arial"/>
          <w:b/>
          <w:bCs/>
          <w:color w:val="1A4A8A"/>
          <w:sz w:val="24"/>
          <w:szCs w:val="24"/>
        </w:rPr>
        <w:t xml:space="preserve">10.4  Employee Cooperation with Audits</w:t>
      </w:r>
    </w:p>
    <w:p>
      <w:pPr>
        <w:spacing w:after="100" w:before="60"/>
      </w:pPr>
      <w:r>
        <w:rPr>
          <w:rFonts w:ascii="Arial" w:cs="Arial" w:eastAsia="Arial" w:hAnsi="Arial"/>
          <w:color w:val="1C2733"/>
          <w:sz w:val="21"/>
          <w:szCs w:val="21"/>
        </w:rPr>
        <w:t xml:space="preserve">All employees are required to cooperate fully and honestly with internal and external audits. Obstruction of an audit, provision of false information, or destruction of records under audit is a terminable offence and may attract criminal liability.</w:t>
      </w:r>
    </w:p>
    <w:p>
      <w:pPr>
        <w:spacing w:after="120" w:before="0"/>
      </w:pPr>
    </w:p>
    <w:p>
      <w:r>
        <w:br w:type="page"/>
      </w:r>
    </w:p>
    <w:p>
      <w:pPr>
        <w:pStyle w:val="Heading1"/>
        <w:spacing w:after="160" w:before="360"/>
      </w:pPr>
      <w:r>
        <w:rPr>
          <w:rFonts w:ascii="Arial" w:cs="Arial" w:eastAsia="Arial" w:hAnsi="Arial"/>
          <w:b/>
          <w:bCs/>
          <w:color w:val="1A4A8A"/>
          <w:sz w:val="34"/>
          <w:szCs w:val="34"/>
        </w:rPr>
        <w:t xml:space="preserve">11.  </w:t>
      </w:r>
      <w:r>
        <w:rPr>
          <w:rFonts w:ascii="Arial" w:cs="Arial" w:eastAsia="Arial" w:hAnsi="Arial"/>
          <w:b/>
          <w:bCs/>
          <w:color w:val="0D2B55"/>
          <w:sz w:val="34"/>
          <w:szCs w:val="34"/>
        </w:rPr>
        <w:t xml:space="preserve">Acceptable Use Policy (AUP)</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This Acceptable Use Policy governs how employees may use company-provided systems, devices, and data. It applies to all personnel with access to HR systems, company networks, and employee information assets.</w:t>
      </w:r>
    </w:p>
    <w:p>
      <w:pPr>
        <w:spacing w:after="80" w:before="0"/>
      </w:pPr>
    </w:p>
    <w:p>
      <w:pPr>
        <w:pStyle w:val="Heading2"/>
        <w:spacing w:after="100" w:before="240"/>
      </w:pPr>
      <w:r>
        <w:rPr>
          <w:rFonts w:ascii="Arial" w:cs="Arial" w:eastAsia="Arial" w:hAnsi="Arial"/>
          <w:b/>
          <w:bCs/>
          <w:color w:val="1A4A8A"/>
          <w:sz w:val="24"/>
          <w:szCs w:val="24"/>
        </w:rPr>
        <w:t xml:space="preserve">11.1  Permitted Uses</w:t>
      </w:r>
    </w:p>
    <w:p>
      <w:pPr>
        <w:pStyle w:val="ListParagraph"/>
        <w:numPr>
          <w:ilvl w:val="0"/>
          <w:numId w:val="2"/>
        </w:numPr>
        <w:spacing w:after="60" w:before="40"/>
      </w:pPr>
      <w:r>
        <w:rPr>
          <w:rFonts w:ascii="Arial" w:cs="Arial" w:eastAsia="Arial" w:hAnsi="Arial"/>
          <w:color w:val="1C2733"/>
          <w:sz w:val="21"/>
          <w:szCs w:val="21"/>
        </w:rPr>
        <w:t xml:space="preserve">Accessing HR systems for legitimate, role-aligned business purposes.</w:t>
      </w:r>
    </w:p>
    <w:p>
      <w:pPr>
        <w:pStyle w:val="ListParagraph"/>
        <w:numPr>
          <w:ilvl w:val="0"/>
          <w:numId w:val="2"/>
        </w:numPr>
        <w:spacing w:after="60" w:before="40"/>
      </w:pPr>
      <w:r>
        <w:rPr>
          <w:rFonts w:ascii="Arial" w:cs="Arial" w:eastAsia="Arial" w:hAnsi="Arial"/>
          <w:color w:val="1C2733"/>
          <w:sz w:val="21"/>
          <w:szCs w:val="21"/>
        </w:rPr>
        <w:t xml:space="preserve">Using company devices for work tasks and limited, incidental personal use that does not compromise security.</w:t>
      </w:r>
    </w:p>
    <w:p>
      <w:pPr>
        <w:pStyle w:val="ListParagraph"/>
        <w:numPr>
          <w:ilvl w:val="0"/>
          <w:numId w:val="2"/>
        </w:numPr>
        <w:spacing w:after="60" w:before="40"/>
      </w:pPr>
      <w:r>
        <w:rPr>
          <w:rFonts w:ascii="Arial" w:cs="Arial" w:eastAsia="Arial" w:hAnsi="Arial"/>
          <w:color w:val="1C2733"/>
          <w:sz w:val="21"/>
          <w:szCs w:val="21"/>
        </w:rPr>
        <w:t xml:space="preserve">Sharing employee data with authorized colleagues or approved third parties under a valid DPA.</w:t>
      </w:r>
    </w:p>
    <w:p>
      <w:pPr>
        <w:pStyle w:val="ListParagraph"/>
        <w:numPr>
          <w:ilvl w:val="0"/>
          <w:numId w:val="2"/>
        </w:numPr>
        <w:spacing w:after="60" w:before="40"/>
      </w:pPr>
      <w:r>
        <w:rPr>
          <w:rFonts w:ascii="Arial" w:cs="Arial" w:eastAsia="Arial" w:hAnsi="Arial"/>
          <w:color w:val="1C2733"/>
          <w:sz w:val="21"/>
          <w:szCs w:val="21"/>
        </w:rPr>
        <w:t xml:space="preserve">Downloading anonymised or aggregated workforce analytics for approved reporting purposes.</w:t>
      </w:r>
    </w:p>
    <w:p>
      <w:pPr>
        <w:spacing w:after="80" w:before="0"/>
      </w:pPr>
    </w:p>
    <w:p>
      <w:pPr>
        <w:pStyle w:val="Heading2"/>
        <w:spacing w:after="100" w:before="240"/>
      </w:pPr>
      <w:r>
        <w:rPr>
          <w:rFonts w:ascii="Arial" w:cs="Arial" w:eastAsia="Arial" w:hAnsi="Arial"/>
          <w:b/>
          <w:bCs/>
          <w:color w:val="1A4A8A"/>
          <w:sz w:val="24"/>
          <w:szCs w:val="24"/>
        </w:rPr>
        <w:t xml:space="preserve">11.2  Prohibited Uses</w:t>
      </w:r>
    </w:p>
    <w:p>
      <w:pPr>
        <w:pStyle w:val="ListParagraph"/>
        <w:numPr>
          <w:ilvl w:val="0"/>
          <w:numId w:val="2"/>
        </w:numPr>
        <w:spacing w:after="60" w:before="40"/>
      </w:pPr>
      <w:r>
        <w:rPr>
          <w:rFonts w:ascii="Arial" w:cs="Arial" w:eastAsia="Arial" w:hAnsi="Arial"/>
          <w:color w:val="1C2733"/>
          <w:sz w:val="21"/>
          <w:szCs w:val="21"/>
        </w:rPr>
        <w:t xml:space="preserve">Accessing, modifying, or deleting employee records without a documented legitimate purpose.</w:t>
      </w:r>
    </w:p>
    <w:p>
      <w:pPr>
        <w:pStyle w:val="ListParagraph"/>
        <w:numPr>
          <w:ilvl w:val="0"/>
          <w:numId w:val="2"/>
        </w:numPr>
        <w:spacing w:after="60" w:before="40"/>
      </w:pPr>
      <w:r>
        <w:rPr>
          <w:rFonts w:ascii="Arial" w:cs="Arial" w:eastAsia="Arial" w:hAnsi="Arial"/>
          <w:color w:val="1C2733"/>
          <w:sz w:val="21"/>
          <w:szCs w:val="21"/>
        </w:rPr>
        <w:t xml:space="preserve">Using personal devices to store, process, or transmit unencrypted HR data.</w:t>
      </w:r>
    </w:p>
    <w:p>
      <w:pPr>
        <w:pStyle w:val="ListParagraph"/>
        <w:numPr>
          <w:ilvl w:val="0"/>
          <w:numId w:val="2"/>
        </w:numPr>
        <w:spacing w:after="60" w:before="40"/>
      </w:pPr>
      <w:r>
        <w:rPr>
          <w:rFonts w:ascii="Arial" w:cs="Arial" w:eastAsia="Arial" w:hAnsi="Arial"/>
          <w:color w:val="1C2733"/>
          <w:sz w:val="21"/>
          <w:szCs w:val="21"/>
        </w:rPr>
        <w:t xml:space="preserve">Installing unauthorized software or browser extensions on devices with HR system access.</w:t>
      </w:r>
    </w:p>
    <w:p>
      <w:pPr>
        <w:pStyle w:val="ListParagraph"/>
        <w:numPr>
          <w:ilvl w:val="0"/>
          <w:numId w:val="2"/>
        </w:numPr>
        <w:spacing w:after="60" w:before="40"/>
      </w:pPr>
      <w:r>
        <w:rPr>
          <w:rFonts w:ascii="Arial" w:cs="Arial" w:eastAsia="Arial" w:hAnsi="Arial"/>
          <w:color w:val="1C2733"/>
          <w:sz w:val="21"/>
          <w:szCs w:val="21"/>
        </w:rPr>
        <w:t xml:space="preserve">Connecting to public Wi-Fi to access HR systems without an active VPN connection.</w:t>
      </w:r>
    </w:p>
    <w:p>
      <w:pPr>
        <w:pStyle w:val="ListParagraph"/>
        <w:numPr>
          <w:ilvl w:val="0"/>
          <w:numId w:val="2"/>
        </w:numPr>
        <w:spacing w:after="60" w:before="40"/>
      </w:pPr>
      <w:r>
        <w:rPr>
          <w:rFonts w:ascii="Arial" w:cs="Arial" w:eastAsia="Arial" w:hAnsi="Arial"/>
          <w:color w:val="1C2733"/>
          <w:sz w:val="21"/>
          <w:szCs w:val="21"/>
        </w:rPr>
        <w:t xml:space="preserve">Using AI tools, chatbots, or external automation platforms with employee PII without DPO approval.</w:t>
      </w:r>
    </w:p>
    <w:p>
      <w:pPr>
        <w:pStyle w:val="ListParagraph"/>
        <w:numPr>
          <w:ilvl w:val="0"/>
          <w:numId w:val="2"/>
        </w:numPr>
        <w:spacing w:after="60" w:before="40"/>
      </w:pPr>
      <w:r>
        <w:rPr>
          <w:rFonts w:ascii="Arial" w:cs="Arial" w:eastAsia="Arial" w:hAnsi="Arial"/>
          <w:color w:val="1C2733"/>
          <w:sz w:val="21"/>
          <w:szCs w:val="21"/>
        </w:rPr>
        <w:t xml:space="preserve">Bulk exporting employee data for purposes outside the employee's assigned responsibilities.</w:t>
      </w:r>
    </w:p>
    <w:p>
      <w:pPr>
        <w:pStyle w:val="ListParagraph"/>
        <w:numPr>
          <w:ilvl w:val="0"/>
          <w:numId w:val="2"/>
        </w:numPr>
        <w:spacing w:after="60" w:before="40"/>
      </w:pPr>
      <w:r>
        <w:rPr>
          <w:rFonts w:ascii="Arial" w:cs="Arial" w:eastAsia="Arial" w:hAnsi="Arial"/>
          <w:color w:val="1C2733"/>
          <w:sz w:val="21"/>
          <w:szCs w:val="21"/>
        </w:rPr>
        <w:t xml:space="preserve">Sharing credentials or allowing another individual to use your authenticated HR system session.</w:t>
      </w:r>
    </w:p>
    <w:p>
      <w:pPr>
        <w:spacing w:after="80" w:before="0"/>
      </w:pPr>
    </w:p>
    <w:p>
      <w:pPr>
        <w:pStyle w:val="Heading2"/>
        <w:spacing w:after="100" w:before="240"/>
      </w:pPr>
      <w:r>
        <w:rPr>
          <w:rFonts w:ascii="Arial" w:cs="Arial" w:eastAsia="Arial" w:hAnsi="Arial"/>
          <w:b/>
          <w:bCs/>
          <w:color w:val="1A4A8A"/>
          <w:sz w:val="24"/>
          <w:szCs w:val="24"/>
        </w:rPr>
        <w:t xml:space="preserve">11.3  Social Media &amp; External Communication</w:t>
      </w:r>
    </w:p>
    <w:p>
      <w:pPr>
        <w:spacing w:after="100" w:before="60"/>
      </w:pPr>
      <w:r>
        <w:rPr>
          <w:rFonts w:ascii="Arial" w:cs="Arial" w:eastAsia="Arial" w:hAnsi="Arial"/>
          <w:color w:val="1C2733"/>
          <w:sz w:val="21"/>
          <w:szCs w:val="21"/>
        </w:rPr>
        <w:t xml:space="preserve">Employees must not reference, describe, or disclose HR matters, employee identities, workforce statistics, or organizational changes on personal social media or to external parties unless formally authorized by the Communications team. This obligation continues for 2 years post-separation.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1"/>
              <w:left w:val="single" w:color="1A4A8A" w:sz="16"/>
              <w:bottom w:val="single" w:color="1A4A8A" w:sz="1"/>
              <w:right w:val="single" w:color="1A4A8A" w:sz="1"/>
            </w:tcBorders>
            <w:shd w:fill="EAF0FB" w:val="clear"/>
            <w:tcMar>
              <w:top w:type="dxa" w:w="120"/>
              <w:left w:type="dxa" w:w="200"/>
              <w:bottom w:type="dxa" w:w="120"/>
              <w:right w:type="dxa" w:w="200"/>
            </w:tcMar>
          </w:tcPr>
          <w:p>
            <w:pPr>
              <w:spacing w:after="0" w:before="0"/>
            </w:pPr>
            <w:r>
              <w:rPr>
                <w:rFonts w:ascii="Arial" w:cs="Arial" w:eastAsia="Arial" w:hAnsi="Arial"/>
                <w:sz w:val="21"/>
                <w:szCs w:val="21"/>
              </w:rPr>
              <w:t xml:space="preserve">ℹ  </w:t>
            </w:r>
            <w:r>
              <w:rPr>
                <w:rFonts w:ascii="Arial" w:cs="Arial" w:eastAsia="Arial" w:hAnsi="Arial"/>
                <w:b/>
                <w:bCs/>
                <w:color w:val="1A4A8A"/>
                <w:sz w:val="21"/>
                <w:szCs w:val="21"/>
              </w:rPr>
              <w:t xml:space="preserve">NOTE: </w:t>
            </w:r>
            <w:r>
              <w:rPr>
                <w:rFonts w:ascii="Arial" w:cs="Arial" w:eastAsia="Arial" w:hAnsi="Arial"/>
                <w:color w:val="1C2733"/>
                <w:sz w:val="21"/>
                <w:szCs w:val="21"/>
              </w:rPr>
              <w:t xml:space="preserve">The company reserves the right to monitor usage of HR systems and devices in accordance with the monitoring policy in Section 3.3 and applicable law.</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12.  </w:t>
      </w:r>
      <w:r>
        <w:rPr>
          <w:rFonts w:ascii="Arial" w:cs="Arial" w:eastAsia="Arial" w:hAnsi="Arial"/>
          <w:b/>
          <w:bCs/>
          <w:color w:val="0D2B55"/>
          <w:sz w:val="34"/>
          <w:szCs w:val="34"/>
        </w:rPr>
        <w:t xml:space="preserve">Policy Violations &amp; Corrective Actions</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Violations of this policy are treated seriously. The organization applies a proportionate, graduated response based on the severity of the violation, intent, and impact. All violations are investigated by HR in coordination with Legal and the CISO's office before disciplinary action is taken.</w:t>
      </w:r>
    </w:p>
    <w:p>
      <w:pPr>
        <w:spacing w:after="80" w:before="0"/>
      </w:pPr>
    </w:p>
    <w:p>
      <w:pPr>
        <w:pStyle w:val="Heading2"/>
        <w:spacing w:after="100" w:before="240"/>
      </w:pPr>
      <w:r>
        <w:rPr>
          <w:rFonts w:ascii="Arial" w:cs="Arial" w:eastAsia="Arial" w:hAnsi="Arial"/>
          <w:b/>
          <w:bCs/>
          <w:color w:val="1A4A8A"/>
          <w:sz w:val="24"/>
          <w:szCs w:val="24"/>
        </w:rPr>
        <w:t xml:space="preserve">12.1  PII &amp; Data Privacy Violations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Violation Example</w:t>
            </w:r>
          </w:p>
        </w:tc>
        <w:tc>
          <w:tcPr>
            <w:tcW w:type="dxa" w:w="336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28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Corrective Action</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Sending employee salary data to personal email</w:t>
            </w:r>
          </w:p>
        </w:tc>
        <w:tc>
          <w:tcPr>
            <w:tcW w:type="dxa" w:w="3360"/>
            <w:tcBorders>
              <w:top w:val="single" w:color="CDD5DF" w:sz="1"/>
              <w:left w:val="single" w:color="CDD5DF" w:sz="1"/>
              <w:bottom w:val="single" w:color="CDD5DF" w:sz="1"/>
              <w:right w:val="single" w:color="CDD5DF" w:sz="1"/>
            </w:tcBorders>
            <w:shd w:fill="FDECEA" w:val="clear"/>
            <w:tcMar>
              <w:top w:type="dxa" w:w="80"/>
              <w:left w:type="dxa" w:w="140"/>
              <w:bottom w:type="dxa" w:w="80"/>
              <w:right w:type="dxa" w:w="140"/>
            </w:tcMar>
          </w:tcPr>
          <w:p>
            <w:r>
              <w:rPr>
                <w:rFonts w:ascii="Arial" w:cs="Arial" w:eastAsia="Arial" w:hAnsi="Arial"/>
                <w:b/>
                <w:bCs/>
                <w:color w:val="C0392B"/>
                <w:sz w:val="19"/>
                <w:szCs w:val="19"/>
              </w:rPr>
              <w:t xml:space="preserve">Critical — Tier 3 PII breach</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Immediate investigation; suspension pending outcome; potential termination + regulatory referral</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Sharing health records with unauthorized manager</w:t>
            </w:r>
          </w:p>
        </w:tc>
        <w:tc>
          <w:tcPr>
            <w:tcW w:type="dxa" w:w="3360"/>
            <w:tcBorders>
              <w:top w:val="single" w:color="CDD5DF" w:sz="1"/>
              <w:left w:val="single" w:color="CDD5DF" w:sz="1"/>
              <w:bottom w:val="single" w:color="CDD5DF" w:sz="1"/>
              <w:right w:val="single" w:color="CDD5DF" w:sz="1"/>
            </w:tcBorders>
            <w:shd w:fill="FDECEA" w:val="clear"/>
            <w:tcMar>
              <w:top w:type="dxa" w:w="80"/>
              <w:left w:type="dxa" w:w="140"/>
              <w:bottom w:type="dxa" w:w="80"/>
              <w:right w:type="dxa" w:w="140"/>
            </w:tcMar>
          </w:tcPr>
          <w:p>
            <w:r>
              <w:rPr>
                <w:rFonts w:ascii="Arial" w:cs="Arial" w:eastAsia="Arial" w:hAnsi="Arial"/>
                <w:b/>
                <w:bCs/>
                <w:color w:val="C0392B"/>
                <w:sz w:val="19"/>
                <w:szCs w:val="19"/>
              </w:rPr>
              <w:t xml:space="preserve">Critical — Special category breach</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Formal disciplinary hearing; written warning or termination; GDPR breach assessment</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Accessing performance data of employees outside own team</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Unauthorized access</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Written warning; access revoked; mandatory retraining; logged in HR record</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Leaving paper HR records on unattended desk</w:t>
            </w:r>
          </w:p>
        </w:tc>
        <w:tc>
          <w:tcPr>
            <w:tcW w:type="dxa" w:w="3360"/>
            <w:tcBorders>
              <w:top w:val="single" w:color="CDD5DF" w:sz="1"/>
              <w:left w:val="single" w:color="CDD5DF" w:sz="1"/>
              <w:bottom w:val="single" w:color="CDD5DF" w:sz="1"/>
              <w:right w:val="single" w:color="CDD5DF" w:sz="1"/>
            </w:tcBorders>
            <w:shd w:fill="EAF7EE" w:val="clear"/>
            <w:tcMar>
              <w:top w:type="dxa" w:w="80"/>
              <w:left w:type="dxa" w:w="140"/>
              <w:bottom w:type="dxa" w:w="80"/>
              <w:right w:type="dxa" w:w="140"/>
            </w:tcMar>
          </w:tcPr>
          <w:p>
            <w:r>
              <w:rPr>
                <w:rFonts w:ascii="Arial" w:cs="Arial" w:eastAsia="Arial" w:hAnsi="Arial"/>
                <w:b/>
                <w:bCs/>
                <w:color w:val="1A6B3A"/>
                <w:sz w:val="19"/>
                <w:szCs w:val="19"/>
              </w:rPr>
              <w:t xml:space="preserve">Medium — Physical security lapse</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Verbal warning; documented; mandatory data handling refresher</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Failing to log a data subject access request</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Regulatory non-compliance</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Written warning; process review; escalation to DPO for regulatory risk assessment</w:t>
            </w:r>
          </w:p>
        </w:tc>
      </w:tr>
    </w:tbl>
    <w:p>
      <w:pPr>
        <w:spacing w:after="100" w:before="0"/>
      </w:pPr>
    </w:p>
    <w:p>
      <w:pPr>
        <w:pStyle w:val="Heading2"/>
        <w:spacing w:after="100" w:before="240"/>
      </w:pPr>
      <w:r>
        <w:rPr>
          <w:rFonts w:ascii="Arial" w:cs="Arial" w:eastAsia="Arial" w:hAnsi="Arial"/>
          <w:b/>
          <w:bCs/>
          <w:color w:val="1A4A8A"/>
          <w:sz w:val="24"/>
          <w:szCs w:val="24"/>
        </w:rPr>
        <w:t xml:space="preserve">12.2  Access Control Violations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Violation Example</w:t>
            </w:r>
          </w:p>
        </w:tc>
        <w:tc>
          <w:tcPr>
            <w:tcW w:type="dxa" w:w="336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28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Corrective Action</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Sharing HRIS login credentials with a colleague</w:t>
            </w:r>
          </w:p>
        </w:tc>
        <w:tc>
          <w:tcPr>
            <w:tcW w:type="dxa" w:w="3360"/>
            <w:tcBorders>
              <w:top w:val="single" w:color="CDD5DF" w:sz="1"/>
              <w:left w:val="single" w:color="CDD5DF" w:sz="1"/>
              <w:bottom w:val="single" w:color="CDD5DF" w:sz="1"/>
              <w:right w:val="single" w:color="CDD5DF" w:sz="1"/>
            </w:tcBorders>
            <w:shd w:fill="FDECEA" w:val="clear"/>
            <w:tcMar>
              <w:top w:type="dxa" w:w="80"/>
              <w:left w:type="dxa" w:w="140"/>
              <w:bottom w:type="dxa" w:w="80"/>
              <w:right w:type="dxa" w:w="140"/>
            </w:tcMar>
          </w:tcPr>
          <w:p>
            <w:r>
              <w:rPr>
                <w:rFonts w:ascii="Arial" w:cs="Arial" w:eastAsia="Arial" w:hAnsi="Arial"/>
                <w:b/>
                <w:bCs/>
                <w:color w:val="C0392B"/>
                <w:sz w:val="19"/>
                <w:szCs w:val="19"/>
              </w:rPr>
              <w:t xml:space="preserve">Critical — Credential sharing</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Immediate access suspension; formal disciplinary action; password reset; security audit</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Accessing ex-employee records without authorisation</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Unauthorised access</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Written warning; access audit; potential termination for repeat offence</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Bypassing MFA requirement via IT workaround</w:t>
            </w:r>
          </w:p>
        </w:tc>
        <w:tc>
          <w:tcPr>
            <w:tcW w:type="dxa" w:w="3360"/>
            <w:tcBorders>
              <w:top w:val="single" w:color="CDD5DF" w:sz="1"/>
              <w:left w:val="single" w:color="CDD5DF" w:sz="1"/>
              <w:bottom w:val="single" w:color="CDD5DF" w:sz="1"/>
              <w:right w:val="single" w:color="CDD5DF" w:sz="1"/>
            </w:tcBorders>
            <w:shd w:fill="FDECEA" w:val="clear"/>
            <w:tcMar>
              <w:top w:type="dxa" w:w="80"/>
              <w:left w:type="dxa" w:w="140"/>
              <w:bottom w:type="dxa" w:w="80"/>
              <w:right w:type="dxa" w:w="140"/>
            </w:tcMar>
          </w:tcPr>
          <w:p>
            <w:r>
              <w:rPr>
                <w:rFonts w:ascii="Arial" w:cs="Arial" w:eastAsia="Arial" w:hAnsi="Arial"/>
                <w:b/>
                <w:bCs/>
                <w:color w:val="C0392B"/>
                <w:sz w:val="19"/>
                <w:szCs w:val="19"/>
              </w:rPr>
              <w:t xml:space="preserve">Critical — Security bypass</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Immediate suspension from HR systems; investigation; disciplinary hearing</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Failure to deprovision leaver's access within SLA</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Process failure</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Manager reprimand; SLA monitoring; process re-training; logged in compliance register</w:t>
            </w:r>
          </w:p>
        </w:tc>
      </w:tr>
    </w:tbl>
    <w:p>
      <w:pPr>
        <w:spacing w:after="100" w:before="0"/>
      </w:pPr>
    </w:p>
    <w:p>
      <w:pPr>
        <w:pStyle w:val="Heading2"/>
        <w:spacing w:after="100" w:before="240"/>
      </w:pPr>
      <w:r>
        <w:rPr>
          <w:rFonts w:ascii="Arial" w:cs="Arial" w:eastAsia="Arial" w:hAnsi="Arial"/>
          <w:b/>
          <w:bCs/>
          <w:color w:val="1A4A8A"/>
          <w:sz w:val="24"/>
          <w:szCs w:val="24"/>
        </w:rPr>
        <w:t xml:space="preserve">12.3  Incident Reporting Violations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Violation Example</w:t>
            </w:r>
          </w:p>
        </w:tc>
        <w:tc>
          <w:tcPr>
            <w:tcW w:type="dxa" w:w="336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28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Corrective Action</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Deliberately concealing a known data breach</w:t>
            </w:r>
          </w:p>
        </w:tc>
        <w:tc>
          <w:tcPr>
            <w:tcW w:type="dxa" w:w="3360"/>
            <w:tcBorders>
              <w:top w:val="single" w:color="CDD5DF" w:sz="1"/>
              <w:left w:val="single" w:color="CDD5DF" w:sz="1"/>
              <w:bottom w:val="single" w:color="CDD5DF" w:sz="1"/>
              <w:right w:val="single" w:color="CDD5DF" w:sz="1"/>
            </w:tcBorders>
            <w:shd w:fill="FDECEA" w:val="clear"/>
            <w:tcMar>
              <w:top w:type="dxa" w:w="80"/>
              <w:left w:type="dxa" w:w="140"/>
              <w:bottom w:type="dxa" w:w="80"/>
              <w:right w:type="dxa" w:w="140"/>
            </w:tcMar>
          </w:tcPr>
          <w:p>
            <w:r>
              <w:rPr>
                <w:rFonts w:ascii="Arial" w:cs="Arial" w:eastAsia="Arial" w:hAnsi="Arial"/>
                <w:b/>
                <w:bCs/>
                <w:color w:val="C0392B"/>
                <w:sz w:val="19"/>
                <w:szCs w:val="19"/>
              </w:rPr>
              <w:t xml:space="preserve">Critical — Wilful concealment</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Immediate termination; referral to DPA; potential criminal liability</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Delaying breach report beyond 4-hour internal SLA</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Reporting failure</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Formal written warning; mandatory incident response retraining</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Failing to preserve forensic evidence post-incident</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Evidence tampering</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Formal disciplinary hearing; legal review; written warning or termination</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Not reporting a lost unencrypted device promptly</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Security incident delay</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Written warning; device remotely wiped; mandatory security briefing</w:t>
            </w:r>
          </w:p>
        </w:tc>
      </w:tr>
    </w:tbl>
    <w:p>
      <w:pPr>
        <w:spacing w:after="100" w:before="0"/>
      </w:pPr>
    </w:p>
    <w:p>
      <w:pPr>
        <w:pStyle w:val="Heading2"/>
        <w:spacing w:after="100" w:before="240"/>
      </w:pPr>
      <w:r>
        <w:rPr>
          <w:rFonts w:ascii="Arial" w:cs="Arial" w:eastAsia="Arial" w:hAnsi="Arial"/>
          <w:b/>
          <w:bCs/>
          <w:color w:val="1A4A8A"/>
          <w:sz w:val="24"/>
          <w:szCs w:val="24"/>
        </w:rPr>
        <w:t xml:space="preserve">12.4  Acceptable Use Violations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Violation Example</w:t>
            </w:r>
          </w:p>
        </w:tc>
        <w:tc>
          <w:tcPr>
            <w:tcW w:type="dxa" w:w="336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2800"/>
            <w:tcBorders>
              <w:top w:val="single" w:color="0D2B55" w:sz="1"/>
              <w:left w:val="single" w:color="0D2B55" w:sz="1"/>
              <w:bottom w:val="single" w:color="0D2B55" w:sz="1"/>
              <w:right w:val="single" w:color="0D2B55"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Corrective Action</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Using personal ChatGPT/AI tool with employee PII data</w:t>
            </w:r>
          </w:p>
        </w:tc>
        <w:tc>
          <w:tcPr>
            <w:tcW w:type="dxa" w:w="3360"/>
            <w:tcBorders>
              <w:top w:val="single" w:color="CDD5DF" w:sz="1"/>
              <w:left w:val="single" w:color="CDD5DF" w:sz="1"/>
              <w:bottom w:val="single" w:color="CDD5DF" w:sz="1"/>
              <w:right w:val="single" w:color="CDD5DF" w:sz="1"/>
            </w:tcBorders>
            <w:shd w:fill="FEF3E2" w:val="clear"/>
            <w:tcMar>
              <w:top w:type="dxa" w:w="80"/>
              <w:left w:type="dxa" w:w="140"/>
              <w:bottom w:type="dxa" w:w="80"/>
              <w:right w:type="dxa" w:w="140"/>
            </w:tcMar>
          </w:tcPr>
          <w:p>
            <w:r>
              <w:rPr>
                <w:rFonts w:ascii="Arial" w:cs="Arial" w:eastAsia="Arial" w:hAnsi="Arial"/>
                <w:b/>
                <w:bCs/>
                <w:color w:val="D35400"/>
                <w:sz w:val="19"/>
                <w:szCs w:val="19"/>
              </w:rPr>
              <w:t xml:space="preserve">High — Unauthorised data processing</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Written warning; data recovery attempt; DPO assessment; retraining</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Downloading bulk employee export without approval</w:t>
            </w:r>
          </w:p>
        </w:tc>
        <w:tc>
          <w:tcPr>
            <w:tcW w:type="dxa" w:w="3360"/>
            <w:tcBorders>
              <w:top w:val="single" w:color="CDD5DF" w:sz="1"/>
              <w:left w:val="single" w:color="CDD5DF" w:sz="1"/>
              <w:bottom w:val="single" w:color="CDD5DF" w:sz="1"/>
              <w:right w:val="single" w:color="CDD5DF" w:sz="1"/>
            </w:tcBorders>
            <w:shd w:fill="FDECEA" w:val="clear"/>
            <w:tcMar>
              <w:top w:type="dxa" w:w="80"/>
              <w:left w:type="dxa" w:w="140"/>
              <w:bottom w:type="dxa" w:w="80"/>
              <w:right w:type="dxa" w:w="140"/>
            </w:tcMar>
          </w:tcPr>
          <w:p>
            <w:r>
              <w:rPr>
                <w:rFonts w:ascii="Arial" w:cs="Arial" w:eastAsia="Arial" w:hAnsi="Arial"/>
                <w:b/>
                <w:bCs/>
                <w:color w:val="C0392B"/>
                <w:sz w:val="19"/>
                <w:szCs w:val="19"/>
              </w:rPr>
              <w:t xml:space="preserve">Critical — Data exfiltration risk</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Immediate access suspension; investigation; termination if malicious intent found</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Accessing HR systems via public Wi-Fi without VPN</w:t>
            </w:r>
          </w:p>
        </w:tc>
        <w:tc>
          <w:tcPr>
            <w:tcW w:type="dxa" w:w="3360"/>
            <w:tcBorders>
              <w:top w:val="single" w:color="CDD5DF" w:sz="1"/>
              <w:left w:val="single" w:color="CDD5DF" w:sz="1"/>
              <w:bottom w:val="single" w:color="CDD5DF" w:sz="1"/>
              <w:right w:val="single" w:color="CDD5DF" w:sz="1"/>
            </w:tcBorders>
            <w:shd w:fill="EAF7EE" w:val="clear"/>
            <w:tcMar>
              <w:top w:type="dxa" w:w="80"/>
              <w:left w:type="dxa" w:w="140"/>
              <w:bottom w:type="dxa" w:w="80"/>
              <w:right w:type="dxa" w:w="140"/>
            </w:tcMar>
          </w:tcPr>
          <w:p>
            <w:r>
              <w:rPr>
                <w:rFonts w:ascii="Arial" w:cs="Arial" w:eastAsia="Arial" w:hAnsi="Arial"/>
                <w:b/>
                <w:bCs/>
                <w:color w:val="1A6B3A"/>
                <w:sz w:val="19"/>
                <w:szCs w:val="19"/>
              </w:rPr>
              <w:t xml:space="preserve">Medium — Security risk</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Verbal warning; documented; mandatory acceptable use retraining</w:t>
            </w:r>
          </w:p>
        </w:tc>
      </w:tr>
      <w:tr>
        <w:tc>
          <w:tcPr>
            <w:tcW w:type="dxa" w:w="32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Installing unapproved browser extension on HR workstation</w:t>
            </w:r>
          </w:p>
        </w:tc>
        <w:tc>
          <w:tcPr>
            <w:tcW w:type="dxa" w:w="3360"/>
            <w:tcBorders>
              <w:top w:val="single" w:color="CDD5DF" w:sz="1"/>
              <w:left w:val="single" w:color="CDD5DF" w:sz="1"/>
              <w:bottom w:val="single" w:color="CDD5DF" w:sz="1"/>
              <w:right w:val="single" w:color="CDD5DF" w:sz="1"/>
            </w:tcBorders>
            <w:shd w:fill="EAF7EE" w:val="clear"/>
            <w:tcMar>
              <w:top w:type="dxa" w:w="80"/>
              <w:left w:type="dxa" w:w="140"/>
              <w:bottom w:type="dxa" w:w="80"/>
              <w:right w:type="dxa" w:w="140"/>
            </w:tcMar>
          </w:tcPr>
          <w:p>
            <w:r>
              <w:rPr>
                <w:rFonts w:ascii="Arial" w:cs="Arial" w:eastAsia="Arial" w:hAnsi="Arial"/>
                <w:b/>
                <w:bCs/>
                <w:color w:val="1A6B3A"/>
                <w:sz w:val="19"/>
                <w:szCs w:val="19"/>
              </w:rPr>
              <w:t xml:space="preserve">Medium — Endpoint risk</w:t>
            </w:r>
          </w:p>
        </w:tc>
        <w:tc>
          <w:tcPr>
            <w:tcW w:type="dxa" w:w="280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19"/>
                <w:szCs w:val="19"/>
              </w:rPr>
              <w:t xml:space="preserve">IT remediation; formal warning; device security review</w:t>
            </w:r>
          </w:p>
        </w:tc>
      </w:tr>
    </w:tbl>
    <w:p>
      <w:pPr>
        <w:spacing w:after="80" w:before="0"/>
      </w:pPr>
    </w:p>
    <w:p>
      <w:pPr>
        <w:pStyle w:val="Heading2"/>
        <w:spacing w:after="100" w:before="240"/>
      </w:pPr>
      <w:r>
        <w:rPr>
          <w:rFonts w:ascii="Arial" w:cs="Arial" w:eastAsia="Arial" w:hAnsi="Arial"/>
          <w:b/>
          <w:bCs/>
          <w:color w:val="1A4A8A"/>
          <w:sz w:val="24"/>
          <w:szCs w:val="24"/>
        </w:rPr>
        <w:t xml:space="preserve">12.5  Corrective Action Framework</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 Level</w:t>
            </w:r>
          </w:p>
        </w:tc>
        <w:tc>
          <w:tcPr>
            <w:tcW w:type="dxa" w:w="6560"/>
            <w:tcBorders>
              <w:top w:val="single" w:color="CDD5DF" w:sz="1"/>
              <w:left w:val="single" w:color="CDD5DF" w:sz="1"/>
              <w:bottom w:val="single" w:color="CDD5DF" w:sz="1"/>
              <w:right w:val="single" w:color="CDD5DF" w:sz="1"/>
            </w:tcBorders>
            <w:shd w:fill="0D2B55" w:val="clear"/>
            <w:tcMar>
              <w:top w:type="dxa" w:w="80"/>
              <w:left w:type="dxa" w:w="140"/>
              <w:bottom w:type="dxa" w:w="80"/>
              <w:right w:type="dxa" w:w="140"/>
            </w:tcMar>
          </w:tcPr>
          <w:p>
            <w:r>
              <w:rPr>
                <w:rFonts w:ascii="Arial" w:cs="Arial" w:eastAsia="Arial" w:hAnsi="Arial"/>
                <w:color w:val="FFFFFF"/>
                <w:sz w:val="20"/>
                <w:szCs w:val="20"/>
              </w:rPr>
              <w:t xml:space="preserve">Trigger &amp; Process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Verbal Warning</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First minor violation. Documented in HR record. Retraining assigned. 6-month monitoring period.</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Written Warning</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Repeated minor or first moderate violation. Formal HR hearing. Documented. 12-month active period.</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Final Written Warning</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High severity or repeated moderate violations. Hearing required. 18-month active. Placed on PIP.</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Suspension (with pay)</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Pending investigation of critical violation. Maximum 10 working days.</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Termination</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Critical violation, gross misconduct, deliberate breach, or wilful concealment of breach.</w:t>
            </w:r>
          </w:p>
        </w:tc>
      </w:tr>
      <w:tr>
        <w:tc>
          <w:tcPr>
            <w:tcW w:type="dxa" w:w="28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Legal / Regulatory Referral</w:t>
            </w:r>
          </w:p>
        </w:tc>
        <w:tc>
          <w:tcPr>
            <w:tcW w:type="dxa" w:w="65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Criminal activity, large-scale PII exfiltration, or GDPR Article 83 infringement.</w:t>
            </w:r>
          </w:p>
        </w:tc>
      </w:tr>
    </w:tbl>
    <w:p>
      <w:pPr>
        <w:spacing w:after="120" w:before="0"/>
      </w:pPr>
    </w:p>
    <w:p>
      <w:r>
        <w:br w:type="page"/>
      </w:r>
    </w:p>
    <w:p>
      <w:pPr>
        <w:pStyle w:val="Heading1"/>
        <w:spacing w:after="160" w:before="360"/>
      </w:pPr>
      <w:r>
        <w:rPr>
          <w:rFonts w:ascii="Arial" w:cs="Arial" w:eastAsia="Arial" w:hAnsi="Arial"/>
          <w:b/>
          <w:bCs/>
          <w:color w:val="1A4A8A"/>
          <w:sz w:val="34"/>
          <w:szCs w:val="34"/>
        </w:rPr>
        <w:t xml:space="preserve">13.  </w:t>
      </w:r>
      <w:r>
        <w:rPr>
          <w:rFonts w:ascii="Arial" w:cs="Arial" w:eastAsia="Arial" w:hAnsi="Arial"/>
          <w:b/>
          <w:bCs/>
          <w:color w:val="0D2B55"/>
          <w:sz w:val="34"/>
          <w:szCs w:val="34"/>
        </w:rPr>
        <w:t xml:space="preserve">Policy Acknowledgement &amp; Sign-Off</w:t>
      </w:r>
    </w:p>
    <w:p>
      <w:pPr>
        <w:pBdr>
          <w:bottom w:val="single" w:color="1A4A8A" w:sz="8" w:space="1"/>
        </w:pBdr>
        <w:spacing w:after="100" w:before="100"/>
      </w:pPr>
    </w:p>
    <w:p>
      <w:pPr>
        <w:spacing w:after="100" w:before="60"/>
      </w:pPr>
      <w:r>
        <w:rPr>
          <w:rFonts w:ascii="Arial" w:cs="Arial" w:eastAsia="Arial" w:hAnsi="Arial"/>
          <w:color w:val="1C2733"/>
          <w:sz w:val="21"/>
          <w:szCs w:val="21"/>
        </w:rPr>
        <w:t xml:space="preserve">All employees with access to HR systems or employee data must read, understand, and formally acknowledge this policy annually and upon any material policy revision. Acknowledgement is recorded in the HRMS.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Employee Full Name</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Employee ID</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Department</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Date of Acknowledgement</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Signature</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
            </w:r>
          </w:p>
        </w:tc>
      </w:tr>
      <w:tr>
        <w:tc>
          <w:tcPr>
            <w:tcW w:type="dxa" w:w="3200"/>
            <w:tcBorders>
              <w:top w:val="single" w:color="CDD5DF" w:sz="1"/>
              <w:left w:val="single" w:color="CDD5DF" w:sz="1"/>
              <w:bottom w:val="single" w:color="CDD5DF" w:sz="1"/>
              <w:right w:val="single" w:color="CDD5DF" w:sz="1"/>
            </w:tcBorders>
            <w:shd w:fill="F3F5F8" w:val="clear"/>
            <w:tcMar>
              <w:top w:type="dxa" w:w="80"/>
              <w:left w:type="dxa" w:w="140"/>
              <w:bottom w:type="dxa" w:w="80"/>
              <w:right w:type="dxa" w:w="140"/>
            </w:tcMar>
            <w:vAlign w:val="center"/>
          </w:tcPr>
          <w:p>
            <w:r>
              <w:rPr>
                <w:rFonts w:ascii="Arial" w:cs="Arial" w:eastAsia="Arial" w:hAnsi="Arial"/>
                <w:b w:val="false"/>
                <w:bCs w:val="false"/>
                <w:color w:val="0D2B55"/>
                <w:sz w:val="20"/>
                <w:szCs w:val="20"/>
              </w:rPr>
              <w:t xml:space="preserve">Witnessed By (HR Representative)</w:t>
            </w:r>
          </w:p>
        </w:tc>
        <w:tc>
          <w:tcPr>
            <w:tcW w:type="dxa" w:w="6160"/>
            <w:tcBorders>
              <w:top w:val="single" w:color="CDD5DF" w:sz="1"/>
              <w:left w:val="single" w:color="CDD5DF" w:sz="1"/>
              <w:bottom w:val="single" w:color="CDD5DF" w:sz="1"/>
              <w:right w:val="single" w:color="CDD5DF" w:sz="1"/>
            </w:tcBorders>
            <w:shd w:fill="FFFFFF" w:val="clear"/>
            <w:tcMar>
              <w:top w:type="dxa" w:w="80"/>
              <w:left w:type="dxa" w:w="140"/>
              <w:bottom w:type="dxa" w:w="80"/>
              <w:right w:type="dxa" w:w="140"/>
            </w:tcMar>
          </w:tcPr>
          <w:p>
            <w:r>
              <w:rPr>
                <w:rFonts w:ascii="Arial" w:cs="Arial" w:eastAsia="Arial" w:hAnsi="Arial"/>
                <w:color w:val="1C2733"/>
                <w:sz w:val="20"/>
                <w:szCs w:val="20"/>
              </w:rPr>
              <w:t xml:space="preserve"/>
            </w:r>
          </w:p>
        </w:tc>
      </w:tr>
    </w:tbl>
    <w:p>
      <w:pPr>
        <w:spacing w:after="100" w:before="0"/>
      </w:pPr>
    </w:p>
    <w:p>
      <w:pPr>
        <w:pBdr>
          <w:bottom w:val="single" w:color="CDD5DF" w:sz="2" w:space="1"/>
        </w:pBdr>
        <w:spacing w:after="80" w:before="80"/>
      </w:pPr>
    </w:p>
    <w:p>
      <w:pPr>
        <w:spacing w:after="60" w:before="120"/>
        <w:jc w:val="center"/>
      </w:pPr>
      <w:r>
        <w:rPr>
          <w:rFonts w:ascii="Arial" w:cs="Arial" w:eastAsia="Arial" w:hAnsi="Arial"/>
          <w:b/>
          <w:bCs/>
          <w:color w:val="0D2B55"/>
          <w:sz w:val="20"/>
          <w:szCs w:val="20"/>
        </w:rPr>
        <w:t xml:space="preserve">Document Control</w:t>
      </w:r>
    </w:p>
    <w:p>
      <w:pPr>
        <w:spacing w:after="40" w:before="0"/>
        <w:jc w:val="center"/>
      </w:pPr>
      <w:r>
        <w:rPr>
          <w:rFonts w:ascii="Arial" w:cs="Arial" w:eastAsia="Arial" w:hAnsi="Arial"/>
          <w:color w:val="5A6A7A"/>
          <w:sz w:val="18"/>
          <w:szCs w:val="18"/>
        </w:rPr>
        <w:t xml:space="preserve">Policy Owner: Chief People Officer &amp; CISO  |  Review Date: December 31, 2025  |  Version 3.1</w:t>
      </w:r>
    </w:p>
    <w:p>
      <w:pPr>
        <w:spacing w:after="40" w:before="0"/>
        <w:jc w:val="center"/>
      </w:pPr>
      <w:r>
        <w:rPr>
          <w:rFonts w:ascii="Arial" w:cs="Arial" w:eastAsia="Arial" w:hAnsi="Arial"/>
          <w:color w:val="5A6A7A"/>
          <w:sz w:val="18"/>
          <w:szCs w:val="18"/>
        </w:rPr>
        <w:t xml:space="preserve">For queries: dpo@company.com  |  compliance@company.com  |  security@company.com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8A" w:sz="4" w:space="1"/>
      </w:pBdr>
      <w:tabs>
        <w:tab w:val="right" w:pos="9360"/>
      </w:tabs>
      <w:spacing w:after="0" w:before="120"/>
    </w:pPr>
    <w:r>
      <w:rPr>
        <w:rFonts w:ascii="Arial" w:cs="Arial" w:eastAsia="Arial" w:hAnsi="Arial"/>
        <w:color w:val="5A6A7A"/>
        <w:sz w:val="17"/>
        <w:szCs w:val="17"/>
      </w:rPr>
      <w:t xml:space="preserve">© 2025 Company Name. All rights reserved. Unauthorized distribution prohibited.</w:t>
    </w:r>
    <w:r>
      <w:rPr>
        <w:rFonts w:ascii="Arial" w:cs="Arial" w:eastAsia="Arial" w:hAnsi="Arial"/>
        <w:color w:val="5A6A7A"/>
        <w:sz w:val="17"/>
        <w:szCs w:val="17"/>
      </w:rPr>
      <w:t xml:space="preserve">	Page </w:t>
    </w:r>
    <w:r>
      <w:rPr>
        <w:rFonts w:ascii="Arial" w:cs="Arial" w:eastAsia="Arial" w:hAnsi="Arial"/>
        <w:color w:val="5A6A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8A" w:sz="4" w:space="1"/>
      </w:pBdr>
      <w:spacing w:after="120" w:before="0"/>
    </w:pPr>
    <w:r>
      <w:rPr>
        <w:rFonts w:ascii="Arial" w:cs="Arial" w:eastAsia="Arial" w:hAnsi="Arial"/>
        <w:b/>
        <w:bCs/>
        <w:color w:val="0D2B55"/>
        <w:sz w:val="18"/>
        <w:szCs w:val="18"/>
      </w:rPr>
      <w:t xml:space="preserve">Enterprise HR Compliance &amp; Security Policy</w:t>
    </w:r>
    <w:r>
      <w:rPr>
        <w:rFonts w:ascii="Arial" w:cs="Arial" w:eastAsia="Arial" w:hAnsi="Arial"/>
        <w:color w:val="5A6A7A"/>
        <w:sz w:val="18"/>
        <w:szCs w:val="18"/>
      </w:rPr>
      <w:t xml:space="preserve">   |   CONFIDENTIAL — INTERNAL   |   Version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55"/>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2026-06-05T09:44:47.109Z</dcterms:created>
  <dcterms:modified xsi:type="dcterms:W3CDTF">2026-06-05T09:44:47.124Z</dcterms:modified>
</cp:coreProperties>
</file>

<file path=docProps/custom.xml><?xml version="1.0" encoding="utf-8"?>
<Properties xmlns="http://schemas.openxmlformats.org/officeDocument/2006/custom-properties" xmlns:vt="http://schemas.openxmlformats.org/officeDocument/2006/docPropsVTypes"/>
</file>