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color w:val="333333"/>
          <w:sz w:val="20"/>
          <w:szCs w:val="20"/>
        </w:rPr>
        <w:t xml:space="preserve"/>
      </w:r>
    </w:p>
    <w:p>
      <w:pPr>
        <w:spacing w:after="100" w:before="0" w:line="276"/>
        <w:jc w:val="center"/>
      </w:pPr>
      <w:r>
        <w:rPr>
          <w:rFonts w:ascii="Arial" w:cs="Arial" w:eastAsia="Arial" w:hAnsi="Arial"/>
          <w:b/>
          <w:bCs/>
          <w:color w:val="1E3A5F"/>
          <w:sz w:val="52"/>
          <w:szCs w:val="52"/>
        </w:rPr>
        <w:t xml:space="preserve">EMPLOYEE LIFECYCLE POLICY</w:t>
      </w:r>
    </w:p>
    <w:p>
      <w:pPr>
        <w:spacing w:after="80" w:before="0" w:line="276"/>
        <w:jc w:val="center"/>
      </w:pPr>
      <w:r>
        <w:rPr>
          <w:rFonts w:ascii="Arial" w:cs="Arial" w:eastAsia="Arial" w:hAnsi="Arial"/>
          <w:i/>
          <w:iCs/>
          <w:color w:val="2E6DA4"/>
          <w:sz w:val="26"/>
          <w:szCs w:val="26"/>
        </w:rPr>
        <w:t xml:space="preserve">A Comprehensive Guide for the Complete Employment Journey</w:t>
      </w:r>
    </w:p>
    <w:p>
      <w:pPr>
        <w:spacing w:after="0" w:before="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spacing w:after="20" w:before="0" w:line="276"/>
              <w:jc w:val="center"/>
            </w:pPr>
            <w:r>
              <w:rPr>
                <w:rFonts w:ascii="Arial" w:cs="Arial" w:eastAsia="Arial" w:hAnsi="Arial"/>
                <w:color w:val="A8C8E8"/>
                <w:sz w:val="18"/>
                <w:szCs w:val="18"/>
              </w:rPr>
              <w:t xml:space="preserve">Document Version</w:t>
            </w:r>
          </w:p>
          <w:p>
            <w:pPr>
              <w:spacing w:after="0" w:before="0" w:line="276"/>
              <w:jc w:val="center"/>
            </w:pPr>
            <w:r>
              <w:rPr>
                <w:rFonts w:ascii="Arial" w:cs="Arial" w:eastAsia="Arial" w:hAnsi="Arial"/>
                <w:b/>
                <w:bCs/>
                <w:color w:val="FFFFFF"/>
                <w:sz w:val="24"/>
                <w:szCs w:val="24"/>
              </w:rPr>
              <w:t xml:space="preserve">v2.0</w:t>
            </w:r>
          </w:p>
        </w:tc>
        <w:tc>
          <w:tcPr>
            <w:tcW w:type="dxa" w:w="4680"/>
            <w:tcBorders>
              <w:top w:val="none" w:color="FFFFFF" w:sz="0"/>
              <w:left w:val="none" w:color="FFFFFF" w:sz="0"/>
              <w:bottom w:val="none" w:color="FFFFFF" w:sz="0"/>
              <w:right w:val="none" w:color="FFFFFF" w:sz="0"/>
            </w:tcBorders>
            <w:shd w:fill="2E6DA4" w:val="clear"/>
            <w:tcMar>
              <w:top w:type="dxa" w:w="120"/>
              <w:left w:type="dxa" w:w="200"/>
              <w:bottom w:type="dxa" w:w="120"/>
              <w:right w:type="dxa" w:w="200"/>
            </w:tcMar>
          </w:tcPr>
          <w:p>
            <w:pPr>
              <w:spacing w:after="20" w:before="0" w:line="276"/>
              <w:jc w:val="center"/>
            </w:pPr>
            <w:r>
              <w:rPr>
                <w:rFonts w:ascii="Arial" w:cs="Arial" w:eastAsia="Arial" w:hAnsi="Arial"/>
                <w:color w:val="D6E4F0"/>
                <w:sz w:val="18"/>
                <w:szCs w:val="18"/>
              </w:rPr>
              <w:t xml:space="preserve">Effective Date</w:t>
            </w:r>
          </w:p>
          <w:p>
            <w:pPr>
              <w:spacing w:after="0" w:before="0" w:line="276"/>
              <w:jc w:val="center"/>
            </w:pPr>
            <w:r>
              <w:rPr>
                <w:rFonts w:ascii="Arial" w:cs="Arial" w:eastAsia="Arial" w:hAnsi="Arial"/>
                <w:b/>
                <w:bCs/>
                <w:color w:val="FFFFFF"/>
                <w:sz w:val="24"/>
                <w:szCs w:val="24"/>
              </w:rPr>
              <w:t xml:space="preserve">June 2026</w:t>
            </w:r>
          </w:p>
        </w:tc>
      </w:tr>
    </w:tbl>
    <w:p>
      <w:pPr>
        <w:spacing w:after="0" w:before="8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2F4F6" w:val="clear"/>
            <w:tcMar>
              <w:top w:type="dxa" w:w="100"/>
              <w:left w:type="dxa" w:w="160"/>
              <w:bottom w:type="dxa" w:w="100"/>
              <w:right w:type="dxa" w:w="160"/>
            </w:tcMar>
          </w:tcPr>
          <w:p>
            <w:pPr>
              <w:spacing w:after="0" w:before="0" w:line="276"/>
              <w:jc w:val="center"/>
            </w:pPr>
            <w:r>
              <w:rPr>
                <w:rFonts w:ascii="Arial" w:cs="Arial" w:eastAsia="Arial" w:hAnsi="Arial"/>
                <w:color w:val="555555"/>
                <w:sz w:val="18"/>
                <w:szCs w:val="18"/>
              </w:rPr>
              <w:t xml:space="preserve">Human Resources</w:t>
            </w:r>
          </w:p>
        </w:tc>
        <w:tc>
          <w:tcPr>
            <w:tcW w:type="dxa" w:w="3120"/>
            <w:tcBorders>
              <w:top w:val="none" w:color="FFFFFF" w:sz="0"/>
              <w:left w:val="none" w:color="FFFFFF" w:sz="0"/>
              <w:bottom w:val="none" w:color="FFFFFF" w:sz="0"/>
              <w:right w:val="none" w:color="FFFFFF" w:sz="0"/>
            </w:tcBorders>
            <w:shd w:fill="F2F4F6" w:val="clear"/>
            <w:tcMar>
              <w:top w:type="dxa" w:w="100"/>
              <w:left w:type="dxa" w:w="160"/>
              <w:bottom w:type="dxa" w:w="100"/>
              <w:right w:type="dxa" w:w="160"/>
            </w:tcMar>
          </w:tcPr>
          <w:p>
            <w:pPr>
              <w:spacing w:after="0" w:before="0" w:line="276"/>
              <w:jc w:val="center"/>
            </w:pPr>
            <w:r>
              <w:rPr>
                <w:rFonts w:ascii="Arial" w:cs="Arial" w:eastAsia="Arial" w:hAnsi="Arial"/>
                <w:color w:val="555555"/>
                <w:sz w:val="18"/>
                <w:szCs w:val="18"/>
              </w:rPr>
              <w:t xml:space="preserve">Finance &amp; Payroll</w:t>
            </w:r>
          </w:p>
        </w:tc>
        <w:tc>
          <w:tcPr>
            <w:tcW w:type="dxa" w:w="3120"/>
            <w:tcBorders>
              <w:top w:val="none" w:color="FFFFFF" w:sz="0"/>
              <w:left w:val="none" w:color="FFFFFF" w:sz="0"/>
              <w:bottom w:val="none" w:color="FFFFFF" w:sz="0"/>
              <w:right w:val="none" w:color="FFFFFF" w:sz="0"/>
            </w:tcBorders>
            <w:shd w:fill="F2F4F6" w:val="clear"/>
            <w:tcMar>
              <w:top w:type="dxa" w:w="100"/>
              <w:left w:type="dxa" w:w="160"/>
              <w:bottom w:type="dxa" w:w="100"/>
              <w:right w:type="dxa" w:w="160"/>
            </w:tcMar>
          </w:tcPr>
          <w:p>
            <w:pPr>
              <w:spacing w:after="0" w:before="0" w:line="276"/>
              <w:jc w:val="center"/>
            </w:pPr>
            <w:r>
              <w:rPr>
                <w:rFonts w:ascii="Arial" w:cs="Arial" w:eastAsia="Arial" w:hAnsi="Arial"/>
                <w:color w:val="555555"/>
                <w:sz w:val="18"/>
                <w:szCs w:val="18"/>
              </w:rPr>
              <w:t xml:space="preserve">Legal &amp; Compliance</w:t>
            </w:r>
          </w:p>
        </w:tc>
      </w:tr>
    </w:tbl>
    <w:p>
      <w:pPr>
        <w:spacing w:after="0" w:before="400"/>
      </w:pPr>
      <w:r>
        <w:rPr>
          <w:rFonts w:ascii="Arial" w:cs="Arial" w:eastAsia="Arial" w:hAnsi="Arial"/>
          <w:color w:val="333333"/>
          <w:sz w:val="20"/>
          <w:szCs w:val="20"/>
        </w:rPr>
        <w:t xml:space="preserve"/>
      </w:r>
    </w:p>
    <w:p>
      <w:pPr>
        <w:jc w:val="center"/>
      </w:pPr>
      <w:r>
        <w:rPr>
          <w:rFonts w:ascii="Arial" w:cs="Arial" w:eastAsia="Arial" w:hAnsi="Arial"/>
          <w:color w:val="333333"/>
          <w:sz w:val="20"/>
          <w:szCs w:val="20"/>
        </w:rPr>
        <w:t xml:space="preserve">This policy applies to all full-time, part-time, and contractual employees of the organization.</w:t>
      </w:r>
    </w:p>
    <w:p>
      <w:pPr>
        <w:spacing w:after="0" w:before="100"/>
      </w:pPr>
      <w:r>
        <w:rPr>
          <w:rFonts w:ascii="Arial" w:cs="Arial" w:eastAsia="Arial" w:hAnsi="Arial"/>
          <w:color w:val="333333"/>
          <w:sz w:val="20"/>
          <w:szCs w:val="20"/>
        </w:rPr>
        <w:t xml:space="preserve"/>
      </w:r>
    </w:p>
    <w:p>
      <w:pPr>
        <w:jc w:val="center"/>
      </w:pPr>
      <w:r>
        <w:rPr>
          <w:rFonts w:ascii="Arial" w:cs="Arial" w:eastAsia="Arial" w:hAnsi="Arial"/>
          <w:b/>
          <w:bCs/>
          <w:color w:val="C0392B"/>
          <w:sz w:val="18"/>
          <w:szCs w:val="18"/>
        </w:rPr>
        <w:t xml:space="preserve">CONFIDENTIAL | FOR INTERNAL USE ONLY</w:t>
      </w:r>
    </w:p>
    <w:p>
      <w:r>
        <w:br w:type="page"/>
      </w:r>
    </w:p>
    <w:p>
      <w:pPr>
        <w:pStyle w:val="Heading1"/>
        <w:pBdr>
          <w:bottom w:val="single" w:color="2E6DA4" w:sz="8" w:space="4"/>
        </w:pBdr>
        <w:spacing w:after="160" w:before="320" w:line="276"/>
      </w:pPr>
      <w:r>
        <w:rPr>
          <w:rFonts w:ascii="Arial" w:cs="Arial" w:eastAsia="Arial" w:hAnsi="Arial"/>
          <w:b/>
          <w:bCs/>
          <w:color w:val="1E3A5F"/>
          <w:sz w:val="32"/>
          <w:szCs w:val="32"/>
        </w:rPr>
        <w:t xml:space="preserve">1. Purpose and Scope</w:t>
      </w:r>
    </w:p>
    <w:p>
      <w:pPr>
        <w:spacing w:after="60" w:before="60" w:line="276"/>
      </w:pPr>
      <w:r>
        <w:rPr>
          <w:rFonts w:ascii="Arial" w:cs="Arial" w:eastAsia="Arial" w:hAnsi="Arial"/>
          <w:color w:val="333333"/>
          <w:sz w:val="20"/>
          <w:szCs w:val="20"/>
        </w:rPr>
        <w:t xml:space="preserve">This Employee Lifecycle Policy establishes a consistent, transparent, and legally compliant framework governing all stages of the employment relationship — from role transitions and career growth to separation and beyond. It is intended to protect the interests of both the organization and its employees while promoting fairness, clarity, and dignity in all people-related processes.</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1.1 Scope of Application</w:t>
      </w:r>
    </w:p>
    <w:p>
      <w:pPr>
        <w:spacing w:after="60" w:before="60" w:line="276"/>
      </w:pPr>
      <w:r>
        <w:rPr>
          <w:rFonts w:ascii="Arial" w:cs="Arial" w:eastAsia="Arial" w:hAnsi="Arial"/>
          <w:color w:val="333333"/>
          <w:sz w:val="20"/>
          <w:szCs w:val="20"/>
        </w:rPr>
        <w:t xml:space="preserve">This policy applies to:</w:t>
      </w:r>
    </w:p>
    <w:p>
      <w:pPr>
        <w:pStyle w:val="ListParagraph"/>
        <w:numPr>
          <w:ilvl w:val="0"/>
          <w:numId w:val="2"/>
        </w:numPr>
        <w:spacing w:after="40" w:before="40" w:line="276"/>
      </w:pPr>
      <w:r>
        <w:rPr>
          <w:rFonts w:ascii="Arial" w:cs="Arial" w:eastAsia="Arial" w:hAnsi="Arial"/>
          <w:color w:val="333333"/>
          <w:sz w:val="20"/>
          <w:szCs w:val="20"/>
        </w:rPr>
        <w:t xml:space="preserve">All permanent employees (full-time and part-time)</w:t>
      </w:r>
    </w:p>
    <w:p>
      <w:pPr>
        <w:pStyle w:val="ListParagraph"/>
        <w:numPr>
          <w:ilvl w:val="0"/>
          <w:numId w:val="2"/>
        </w:numPr>
        <w:spacing w:after="40" w:before="40" w:line="276"/>
      </w:pPr>
      <w:r>
        <w:rPr>
          <w:rFonts w:ascii="Arial" w:cs="Arial" w:eastAsia="Arial" w:hAnsi="Arial"/>
          <w:color w:val="333333"/>
          <w:sz w:val="20"/>
          <w:szCs w:val="20"/>
        </w:rPr>
        <w:t xml:space="preserve">Fixed-term contract employees</w:t>
      </w:r>
    </w:p>
    <w:p>
      <w:pPr>
        <w:pStyle w:val="ListParagraph"/>
        <w:numPr>
          <w:ilvl w:val="0"/>
          <w:numId w:val="2"/>
        </w:numPr>
        <w:spacing w:after="40" w:before="40" w:line="276"/>
      </w:pPr>
      <w:r>
        <w:rPr>
          <w:rFonts w:ascii="Arial" w:cs="Arial" w:eastAsia="Arial" w:hAnsi="Arial"/>
          <w:color w:val="333333"/>
          <w:sz w:val="20"/>
          <w:szCs w:val="20"/>
        </w:rPr>
        <w:t xml:space="preserve">Probationary employees</w:t>
      </w:r>
    </w:p>
    <w:p>
      <w:pPr>
        <w:pStyle w:val="ListParagraph"/>
        <w:numPr>
          <w:ilvl w:val="0"/>
          <w:numId w:val="2"/>
        </w:numPr>
        <w:spacing w:after="40" w:before="40" w:line="276"/>
      </w:pPr>
      <w:r>
        <w:rPr>
          <w:rFonts w:ascii="Arial" w:cs="Arial" w:eastAsia="Arial" w:hAnsi="Arial"/>
          <w:color w:val="333333"/>
          <w:sz w:val="20"/>
          <w:szCs w:val="20"/>
        </w:rPr>
        <w:t xml:space="preserve">Employees on deputation or secondment</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1.2 Policy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Head of Human Resources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Review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Annual (or upon regulatory change)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Executive Leadership Team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2.0 — Effective June 2026</w:t>
            </w:r>
          </w:p>
        </w:tc>
      </w:tr>
    </w:tbl>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1.3 Governing Principles</w:t>
      </w:r>
    </w:p>
    <w:p>
      <w:pPr>
        <w:spacing w:after="60" w:before="60" w:line="276"/>
      </w:pPr>
      <w:r>
        <w:rPr>
          <w:rFonts w:ascii="Arial" w:cs="Arial" w:eastAsia="Arial" w:hAnsi="Arial"/>
          <w:color w:val="333333"/>
          <w:sz w:val="20"/>
          <w:szCs w:val="20"/>
        </w:rPr>
        <w:t xml:space="preserve">All lifecycle processes are guided by the following values:</w:t>
      </w:r>
    </w:p>
    <w:p>
      <w:pPr>
        <w:pStyle w:val="ListParagraph"/>
        <w:numPr>
          <w:ilvl w:val="0"/>
          <w:numId w:val="2"/>
        </w:numPr>
        <w:spacing w:after="40" w:before="40" w:line="276"/>
      </w:pPr>
      <w:r>
        <w:rPr>
          <w:rFonts w:ascii="Arial" w:cs="Arial" w:eastAsia="Arial" w:hAnsi="Arial"/>
          <w:color w:val="333333"/>
          <w:sz w:val="20"/>
          <w:szCs w:val="20"/>
        </w:rPr>
        <w:t xml:space="preserve">Fairness: Decisions are merit-based, documented, and free from bias</w:t>
      </w:r>
    </w:p>
    <w:p>
      <w:pPr>
        <w:pStyle w:val="ListParagraph"/>
        <w:numPr>
          <w:ilvl w:val="0"/>
          <w:numId w:val="2"/>
        </w:numPr>
        <w:spacing w:after="40" w:before="40" w:line="276"/>
      </w:pPr>
      <w:r>
        <w:rPr>
          <w:rFonts w:ascii="Arial" w:cs="Arial" w:eastAsia="Arial" w:hAnsi="Arial"/>
          <w:color w:val="333333"/>
          <w:sz w:val="20"/>
          <w:szCs w:val="20"/>
        </w:rPr>
        <w:t xml:space="preserve">Transparency: Employees are kept informed at every stage</w:t>
      </w:r>
    </w:p>
    <w:p>
      <w:pPr>
        <w:pStyle w:val="ListParagraph"/>
        <w:numPr>
          <w:ilvl w:val="0"/>
          <w:numId w:val="2"/>
        </w:numPr>
        <w:spacing w:after="40" w:before="40" w:line="276"/>
      </w:pPr>
      <w:r>
        <w:rPr>
          <w:rFonts w:ascii="Arial" w:cs="Arial" w:eastAsia="Arial" w:hAnsi="Arial"/>
          <w:color w:val="333333"/>
          <w:sz w:val="20"/>
          <w:szCs w:val="20"/>
        </w:rPr>
        <w:t xml:space="preserve">Timeliness: Defined timelines are adhered to consistently</w:t>
      </w:r>
    </w:p>
    <w:p>
      <w:pPr>
        <w:pStyle w:val="ListParagraph"/>
        <w:numPr>
          <w:ilvl w:val="0"/>
          <w:numId w:val="2"/>
        </w:numPr>
        <w:spacing w:after="40" w:before="40" w:line="276"/>
      </w:pPr>
      <w:r>
        <w:rPr>
          <w:rFonts w:ascii="Arial" w:cs="Arial" w:eastAsia="Arial" w:hAnsi="Arial"/>
          <w:color w:val="333333"/>
          <w:sz w:val="20"/>
          <w:szCs w:val="20"/>
        </w:rPr>
        <w:t xml:space="preserve">Confidentiality: Sensitive information is handled with appropriate discretion</w:t>
      </w:r>
    </w:p>
    <w:p>
      <w:pPr>
        <w:pStyle w:val="ListParagraph"/>
        <w:numPr>
          <w:ilvl w:val="0"/>
          <w:numId w:val="2"/>
        </w:numPr>
        <w:spacing w:after="40" w:before="40" w:line="276"/>
      </w:pPr>
      <w:r>
        <w:rPr>
          <w:rFonts w:ascii="Arial" w:cs="Arial" w:eastAsia="Arial" w:hAnsi="Arial"/>
          <w:color w:val="333333"/>
          <w:sz w:val="20"/>
          <w:szCs w:val="20"/>
        </w:rPr>
        <w:t xml:space="preserve">Compliance: All processes conform to applicable labor laws and regulations</w:t>
      </w:r>
    </w:p>
    <w:p>
      <w:pPr>
        <w:spacing w:after="0" w:before="100"/>
      </w:pPr>
      <w:r>
        <w:rPr>
          <w:rFonts w:ascii="Arial" w:cs="Arial" w:eastAsia="Arial" w:hAnsi="Arial"/>
          <w:color w:val="333333"/>
          <w:sz w:val="20"/>
          <w:szCs w:val="20"/>
        </w:rPr>
        <w:t xml:space="preserve"/>
      </w:r>
    </w:p>
    <w:p>
      <w:r>
        <w:br w:type="page"/>
      </w:r>
    </w:p>
    <w:p>
      <w:pPr>
        <w:pStyle w:val="Heading1"/>
        <w:pBdr>
          <w:bottom w:val="single" w:color="2E6DA4" w:sz="8" w:space="4"/>
        </w:pBdr>
        <w:spacing w:after="160" w:before="320" w:line="276"/>
      </w:pPr>
      <w:r>
        <w:rPr>
          <w:rFonts w:ascii="Arial" w:cs="Arial" w:eastAsia="Arial" w:hAnsi="Arial"/>
          <w:b/>
          <w:bCs/>
          <w:color w:val="1E3A5F"/>
          <w:sz w:val="32"/>
          <w:szCs w:val="32"/>
        </w:rPr>
        <w:t xml:space="preserve">2. Internal Transfers</w:t>
      </w:r>
    </w:p>
    <w:p>
      <w:pPr>
        <w:pStyle w:val="Heading2"/>
        <w:spacing w:after="100" w:before="240" w:line="276"/>
      </w:pPr>
      <w:r>
        <w:rPr>
          <w:rFonts w:ascii="Arial" w:cs="Arial" w:eastAsia="Arial" w:hAnsi="Arial"/>
          <w:b/>
          <w:bCs/>
          <w:color w:val="2E6DA4"/>
          <w:sz w:val="24"/>
          <w:szCs w:val="24"/>
        </w:rPr>
        <w:t xml:space="preserve">2.1 Policy Statement</w:t>
      </w:r>
    </w:p>
    <w:p>
      <w:pPr>
        <w:spacing w:after="60" w:before="60" w:line="276"/>
      </w:pPr>
      <w:r>
        <w:rPr>
          <w:rFonts w:ascii="Arial" w:cs="Arial" w:eastAsia="Arial" w:hAnsi="Arial"/>
          <w:color w:val="333333"/>
          <w:sz w:val="20"/>
          <w:szCs w:val="20"/>
        </w:rPr>
        <w:t xml:space="preserve">The organization encourages internal mobility as a means of employee development, skill diversification, and retention. Transfers may be lateral (same level), upward (promotion-related), or cross-functional.</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2.2 Eligibility Criteria</w:t>
      </w:r>
    </w:p>
    <w:p>
      <w:pPr>
        <w:pStyle w:val="ListParagraph"/>
        <w:numPr>
          <w:ilvl w:val="0"/>
          <w:numId w:val="2"/>
        </w:numPr>
        <w:spacing w:after="40" w:before="40" w:line="276"/>
      </w:pPr>
      <w:r>
        <w:rPr>
          <w:rFonts w:ascii="Arial" w:cs="Arial" w:eastAsia="Arial" w:hAnsi="Arial"/>
          <w:color w:val="333333"/>
          <w:sz w:val="20"/>
          <w:szCs w:val="20"/>
        </w:rPr>
        <w:t xml:space="preserve">Minimum 12 months of continuous service in the current role</w:t>
      </w:r>
    </w:p>
    <w:p>
      <w:pPr>
        <w:pStyle w:val="ListParagraph"/>
        <w:numPr>
          <w:ilvl w:val="0"/>
          <w:numId w:val="2"/>
        </w:numPr>
        <w:spacing w:after="40" w:before="40" w:line="276"/>
      </w:pPr>
      <w:r>
        <w:rPr>
          <w:rFonts w:ascii="Arial" w:cs="Arial" w:eastAsia="Arial" w:hAnsi="Arial"/>
          <w:color w:val="333333"/>
          <w:sz w:val="20"/>
          <w:szCs w:val="20"/>
        </w:rPr>
        <w:t xml:space="preserve">Current performance rating of 'Meets Expectations' or higher</w:t>
      </w:r>
    </w:p>
    <w:p>
      <w:pPr>
        <w:pStyle w:val="ListParagraph"/>
        <w:numPr>
          <w:ilvl w:val="0"/>
          <w:numId w:val="2"/>
        </w:numPr>
        <w:spacing w:after="40" w:before="40" w:line="276"/>
      </w:pPr>
      <w:r>
        <w:rPr>
          <w:rFonts w:ascii="Arial" w:cs="Arial" w:eastAsia="Arial" w:hAnsi="Arial"/>
          <w:color w:val="333333"/>
          <w:sz w:val="20"/>
          <w:szCs w:val="20"/>
        </w:rPr>
        <w:t xml:space="preserve">No active Performance Improvement Plan (PIP) at the time of application</w:t>
      </w:r>
    </w:p>
    <w:p>
      <w:pPr>
        <w:pStyle w:val="ListParagraph"/>
        <w:numPr>
          <w:ilvl w:val="0"/>
          <w:numId w:val="2"/>
        </w:numPr>
        <w:spacing w:after="40" w:before="40" w:line="276"/>
      </w:pPr>
      <w:r>
        <w:rPr>
          <w:rFonts w:ascii="Arial" w:cs="Arial" w:eastAsia="Arial" w:hAnsi="Arial"/>
          <w:color w:val="333333"/>
          <w:sz w:val="20"/>
          <w:szCs w:val="20"/>
        </w:rPr>
        <w:t xml:space="preserve">Written endorsement from the current line manager (except in cases of managerial conflict, where HR mediates)</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2.3 Types of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Approval Required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Voluntary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Employee-initiated request to move to another team or location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Both managers + HR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Involuntary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Organization-initiated for business continuity or restructuring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Senior Leadership + HR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Deputation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Temporary assignment to another department or entity (3–12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Both managers + HR + Finance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Geographic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Relocation to a different office or city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Senior Leadership + HR + Finance</w:t>
            </w:r>
          </w:p>
        </w:tc>
      </w:tr>
    </w:tbl>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2.4 Transfer Process Flow</w:t>
      </w:r>
    </w:p>
    <w:p>
      <w:pPr>
        <w:spacing w:after="0" w:before="4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2E6DA4"/>
                <w:sz w:val="22"/>
                <w:szCs w:val="22"/>
              </w:rPr>
              <w:t xml:space="preserve">Employee Submission</w:t>
            </w:r>
          </w:p>
          <w:p>
            <w:pPr>
              <w:spacing w:after="0" w:before="0" w:line="276"/>
            </w:pPr>
            <w:r>
              <w:rPr>
                <w:rFonts w:ascii="Arial" w:cs="Arial" w:eastAsia="Arial" w:hAnsi="Arial"/>
                <w:color w:val="333333"/>
                <w:sz w:val="20"/>
                <w:szCs w:val="20"/>
              </w:rPr>
              <w:t xml:space="preserve">Employee submits an Internal Transfer Request Form (ITRF) to HR, copied to their current manager. The form captures the desired role, department, rationale, and proposed timeline.</w:t>
            </w:r>
          </w:p>
        </w:tc>
      </w:tr>
      <w:tr>
        <w:tc>
          <w:tcPr>
            <w:tcW w:type="dxa" w:w="80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2E6DA4"/>
                <w:sz w:val="22"/>
                <w:szCs w:val="22"/>
              </w:rPr>
              <w:t xml:space="preserve">Manager Discussion</w:t>
            </w:r>
          </w:p>
          <w:p>
            <w:pPr>
              <w:spacing w:after="0" w:before="0" w:line="276"/>
            </w:pPr>
            <w:r>
              <w:rPr>
                <w:rFonts w:ascii="Arial" w:cs="Arial" w:eastAsia="Arial" w:hAnsi="Arial"/>
                <w:color w:val="333333"/>
                <w:sz w:val="20"/>
                <w:szCs w:val="20"/>
              </w:rPr>
              <w:t xml:space="preserve">Current manager acknowledges the request within 5 working days and initiates a candid discussion about the employee's aspirations and team impact.</w:t>
            </w:r>
          </w:p>
        </w:tc>
      </w:tr>
      <w:tr>
        <w:tc>
          <w:tcPr>
            <w:tcW w:type="dxa" w:w="80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2E6DA4"/>
                <w:sz w:val="22"/>
                <w:szCs w:val="22"/>
              </w:rPr>
              <w:t xml:space="preserve">Receiving Department Review</w:t>
            </w:r>
          </w:p>
          <w:p>
            <w:pPr>
              <w:spacing w:after="0" w:before="0" w:line="276"/>
            </w:pPr>
            <w:r>
              <w:rPr>
                <w:rFonts w:ascii="Arial" w:cs="Arial" w:eastAsia="Arial" w:hAnsi="Arial"/>
                <w:color w:val="333333"/>
                <w:sz w:val="20"/>
                <w:szCs w:val="20"/>
              </w:rPr>
              <w:t xml:space="preserve">HR forwards the request to the receiving department head. A panel interview or informal meeting is conducted within 10 working days.</w:t>
            </w:r>
          </w:p>
        </w:tc>
      </w:tr>
      <w:tr>
        <w:tc>
          <w:tcPr>
            <w:tcW w:type="dxa" w:w="80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2E6DA4"/>
                <w:sz w:val="22"/>
                <w:szCs w:val="22"/>
              </w:rPr>
              <w:t xml:space="preserve">HR Evaluation</w:t>
            </w:r>
          </w:p>
          <w:p>
            <w:pPr>
              <w:spacing w:after="0" w:before="0" w:line="276"/>
            </w:pPr>
            <w:r>
              <w:rPr>
                <w:rFonts w:ascii="Arial" w:cs="Arial" w:eastAsia="Arial" w:hAnsi="Arial"/>
                <w:color w:val="333333"/>
                <w:sz w:val="20"/>
                <w:szCs w:val="20"/>
              </w:rPr>
              <w:t xml:space="preserve">HR validates eligibility, reviews performance history, and assesses any pending disciplinary matters. Compensation implications are assessed at this stage.</w:t>
            </w:r>
          </w:p>
        </w:tc>
      </w:tr>
      <w:tr>
        <w:tc>
          <w:tcPr>
            <w:tcW w:type="dxa" w:w="80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2E6DA4"/>
                <w:sz w:val="22"/>
                <w:szCs w:val="22"/>
              </w:rPr>
              <w:t xml:space="preserve">Formal Offer &amp; Acceptance</w:t>
            </w:r>
          </w:p>
          <w:p>
            <w:pPr>
              <w:spacing w:after="0" w:before="0" w:line="276"/>
            </w:pPr>
            <w:r>
              <w:rPr>
                <w:rFonts w:ascii="Arial" w:cs="Arial" w:eastAsia="Arial" w:hAnsi="Arial"/>
                <w:color w:val="333333"/>
                <w:sz w:val="20"/>
                <w:szCs w:val="20"/>
              </w:rPr>
              <w:t xml:space="preserve">If approved, HR issues a Transfer Letter detailing the new role, reporting structure, compensation (if changed), and effective date.</w:t>
            </w:r>
          </w:p>
        </w:tc>
      </w:tr>
      <w:tr>
        <w:tc>
          <w:tcPr>
            <w:tcW w:type="dxa" w:w="80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6</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2E6DA4"/>
                <w:sz w:val="22"/>
                <w:szCs w:val="22"/>
              </w:rPr>
              <w:t xml:space="preserve">Transition &amp; Handover</w:t>
            </w:r>
          </w:p>
          <w:p>
            <w:pPr>
              <w:spacing w:after="0" w:before="0" w:line="276"/>
            </w:pPr>
            <w:r>
              <w:rPr>
                <w:rFonts w:ascii="Arial" w:cs="Arial" w:eastAsia="Arial" w:hAnsi="Arial"/>
                <w:color w:val="333333"/>
                <w:sz w:val="20"/>
                <w:szCs w:val="20"/>
              </w:rPr>
              <w:t xml:space="preserve">A 30-day handover period begins. The employee documents ongoing work, trains their replacement, and completes a knowledge-transfer checklist.</w:t>
            </w:r>
          </w:p>
        </w:tc>
      </w:tr>
      <w:tr>
        <w:tc>
          <w:tcPr>
            <w:tcW w:type="dxa" w:w="80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7</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2E6DA4"/>
                <w:sz w:val="22"/>
                <w:szCs w:val="22"/>
              </w:rPr>
              <w:t xml:space="preserve">Onboarding in New Role</w:t>
            </w:r>
          </w:p>
          <w:p>
            <w:pPr>
              <w:spacing w:after="0" w:before="0" w:line="276"/>
            </w:pPr>
            <w:r>
              <w:rPr>
                <w:rFonts w:ascii="Arial" w:cs="Arial" w:eastAsia="Arial" w:hAnsi="Arial"/>
                <w:color w:val="333333"/>
                <w:sz w:val="20"/>
                <w:szCs w:val="20"/>
              </w:rPr>
              <w:t xml:space="preserve">The receiving department provides a structured orientation of at least 2 weeks. A 90-day check-in is scheduled with the new manager and HR.</w:t>
            </w:r>
          </w:p>
        </w:tc>
      </w:tr>
    </w:tbl>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2.5 Transfer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Milestone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Timeline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ITRF acknowledgment by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5 working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Receiving dept decision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10 working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HR final approval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5 working days after receiving dept decision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Transfer letter issuance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3 working days after final approval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Minimum handover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30 calendar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Maximum end-to-end process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60 calendar days</w:t>
            </w:r>
          </w:p>
        </w:tc>
      </w:tr>
    </w:tbl>
    <w:p>
      <w:pPr>
        <w:spacing w:after="0" w:before="100"/>
      </w:pPr>
      <w:r>
        <w:rPr>
          <w:rFonts w:ascii="Arial" w:cs="Arial" w:eastAsia="Arial" w:hAnsi="Arial"/>
          <w:color w:val="333333"/>
          <w:sz w:val="20"/>
          <w:szCs w:val="20"/>
        </w:rPr>
        <w:t xml:space="preserve"/>
      </w:r>
    </w:p>
    <w:p>
      <w:r>
        <w:br w:type="page"/>
      </w:r>
    </w:p>
    <w:p>
      <w:pPr>
        <w:pStyle w:val="Heading1"/>
        <w:pBdr>
          <w:bottom w:val="single" w:color="2E6DA4" w:sz="8" w:space="4"/>
        </w:pBdr>
        <w:spacing w:after="160" w:before="320" w:line="276"/>
      </w:pPr>
      <w:r>
        <w:rPr>
          <w:rFonts w:ascii="Arial" w:cs="Arial" w:eastAsia="Arial" w:hAnsi="Arial"/>
          <w:b/>
          <w:bCs/>
          <w:color w:val="1E3A5F"/>
          <w:sz w:val="32"/>
          <w:szCs w:val="32"/>
        </w:rPr>
        <w:t xml:space="preserve">3. Promotions</w:t>
      </w:r>
    </w:p>
    <w:p>
      <w:pPr>
        <w:pStyle w:val="Heading2"/>
        <w:spacing w:after="100" w:before="240" w:line="276"/>
      </w:pPr>
      <w:r>
        <w:rPr>
          <w:rFonts w:ascii="Arial" w:cs="Arial" w:eastAsia="Arial" w:hAnsi="Arial"/>
          <w:b/>
          <w:bCs/>
          <w:color w:val="2E6DA4"/>
          <w:sz w:val="24"/>
          <w:szCs w:val="24"/>
        </w:rPr>
        <w:t xml:space="preserve">3.1 Policy Statement</w:t>
      </w:r>
    </w:p>
    <w:p>
      <w:pPr>
        <w:spacing w:after="60" w:before="60" w:line="276"/>
      </w:pPr>
      <w:r>
        <w:rPr>
          <w:rFonts w:ascii="Arial" w:cs="Arial" w:eastAsia="Arial" w:hAnsi="Arial"/>
          <w:color w:val="333333"/>
          <w:sz w:val="20"/>
          <w:szCs w:val="20"/>
        </w:rPr>
        <w:t xml:space="preserve">Promotions are awarded based on demonstrated performance, exhibited leadership behaviors, and alignment to role-level competency frameworks. The organization is committed to a merit-based promotion culture that provides equal opportunity to all eligible employees.</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3.2 Types of Promotions</w:t>
      </w:r>
    </w:p>
    <w:p>
      <w:pPr>
        <w:pStyle w:val="ListParagraph"/>
        <w:numPr>
          <w:ilvl w:val="0"/>
          <w:numId w:val="2"/>
        </w:numPr>
        <w:spacing w:after="40" w:before="40" w:line="276"/>
      </w:pPr>
      <w:r>
        <w:rPr>
          <w:rFonts w:ascii="Arial" w:cs="Arial" w:eastAsia="Arial" w:hAnsi="Arial"/>
          <w:color w:val="333333"/>
          <w:sz w:val="20"/>
          <w:szCs w:val="20"/>
        </w:rPr>
        <w:t xml:space="preserve">Merit Promotion: Awarded during the annual performance cycle based on sustained high performance</w:t>
      </w:r>
    </w:p>
    <w:p>
      <w:pPr>
        <w:pStyle w:val="ListParagraph"/>
        <w:numPr>
          <w:ilvl w:val="0"/>
          <w:numId w:val="2"/>
        </w:numPr>
        <w:spacing w:after="40" w:before="40" w:line="276"/>
      </w:pPr>
      <w:r>
        <w:rPr>
          <w:rFonts w:ascii="Arial" w:cs="Arial" w:eastAsia="Arial" w:hAnsi="Arial"/>
          <w:color w:val="333333"/>
          <w:sz w:val="20"/>
          <w:szCs w:val="20"/>
        </w:rPr>
        <w:t xml:space="preserve">Accelerated Promotion: For exceptional performers who exceed role expectations significantly ahead of schedule</w:t>
      </w:r>
    </w:p>
    <w:p>
      <w:pPr>
        <w:pStyle w:val="ListParagraph"/>
        <w:numPr>
          <w:ilvl w:val="0"/>
          <w:numId w:val="2"/>
        </w:numPr>
        <w:spacing w:after="40" w:before="40" w:line="276"/>
      </w:pPr>
      <w:r>
        <w:rPr>
          <w:rFonts w:ascii="Arial" w:cs="Arial" w:eastAsia="Arial" w:hAnsi="Arial"/>
          <w:color w:val="333333"/>
          <w:sz w:val="20"/>
          <w:szCs w:val="20"/>
        </w:rPr>
        <w:t xml:space="preserve">Acting Promotion: Temporary elevation to a higher role during vacancy or leave coverage (reviewed for permanent status after 90 days)</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3.3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Criterion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Requirement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Minimum tenure in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18 months (12 months for accelerated cases)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Performance rating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Exceeds Expectations in last 2 cycles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Competency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Meets next-level benchmarks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360-degree feedback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Satisfactory feedback from peers and stakeholders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Headcount approval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Approved open position at target grade</w:t>
            </w:r>
          </w:p>
        </w:tc>
      </w:tr>
    </w:tbl>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3.4 Promotion Process Flow</w:t>
      </w:r>
    </w:p>
    <w:p>
      <w:pPr>
        <w:spacing w:after="0" w:before="4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Manager Nomination</w:t>
            </w:r>
          </w:p>
          <w:p>
            <w:pPr>
              <w:spacing w:after="0" w:before="0" w:line="276"/>
            </w:pPr>
            <w:r>
              <w:rPr>
                <w:rFonts w:ascii="Arial" w:cs="Arial" w:eastAsia="Arial" w:hAnsi="Arial"/>
                <w:color w:val="333333"/>
                <w:sz w:val="20"/>
                <w:szCs w:val="20"/>
              </w:rPr>
              <w:t xml:space="preserve">Line managers submit promotion nominations via the HRMS portal during the annual performance window (January–February). Nominations must include a justification statement and supporting KPI evidence.</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HRBP Review</w:t>
            </w:r>
          </w:p>
          <w:p>
            <w:pPr>
              <w:spacing w:after="0" w:before="0" w:line="276"/>
            </w:pPr>
            <w:r>
              <w:rPr>
                <w:rFonts w:ascii="Arial" w:cs="Arial" w:eastAsia="Arial" w:hAnsi="Arial"/>
                <w:color w:val="333333"/>
                <w:sz w:val="20"/>
                <w:szCs w:val="20"/>
              </w:rPr>
              <w:t xml:space="preserve">HR Business Partners validate nominations against eligibility criteria, compensation bands, and headcount budgets.</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Calibration Committee</w:t>
            </w:r>
          </w:p>
          <w:p>
            <w:pPr>
              <w:spacing w:after="0" w:before="0" w:line="276"/>
            </w:pPr>
            <w:r>
              <w:rPr>
                <w:rFonts w:ascii="Arial" w:cs="Arial" w:eastAsia="Arial" w:hAnsi="Arial"/>
                <w:color w:val="333333"/>
                <w:sz w:val="20"/>
                <w:szCs w:val="20"/>
              </w:rPr>
              <w:t xml:space="preserve">A calibration panel comprising senior leaders, HRBPs, and department heads reviews all nominations. This ensures consistency and eliminates bias across teams.</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Leadership Approval</w:t>
            </w:r>
          </w:p>
          <w:p>
            <w:pPr>
              <w:spacing w:after="0" w:before="0" w:line="276"/>
            </w:pPr>
            <w:r>
              <w:rPr>
                <w:rFonts w:ascii="Arial" w:cs="Arial" w:eastAsia="Arial" w:hAnsi="Arial"/>
                <w:color w:val="333333"/>
                <w:sz w:val="20"/>
                <w:szCs w:val="20"/>
              </w:rPr>
              <w:t xml:space="preserve">Final promotion list is presented to the Executive Committee for ratification. Any exceptions require CEO or CHRO sign-off.</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Promotion Letter Issuance</w:t>
            </w:r>
          </w:p>
          <w:p>
            <w:pPr>
              <w:spacing w:after="0" w:before="0" w:line="276"/>
            </w:pPr>
            <w:r>
              <w:rPr>
                <w:rFonts w:ascii="Arial" w:cs="Arial" w:eastAsia="Arial" w:hAnsi="Arial"/>
                <w:color w:val="333333"/>
                <w:sz w:val="20"/>
                <w:szCs w:val="20"/>
              </w:rPr>
              <w:t xml:space="preserve">HR issues the Promotion Letter specifying the new designation, grade, revised compensation package, and effective date. The letter is issued before communication to the team.</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6</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Employee Communication</w:t>
            </w:r>
          </w:p>
          <w:p>
            <w:pPr>
              <w:spacing w:after="0" w:before="0" w:line="276"/>
            </w:pPr>
            <w:r>
              <w:rPr>
                <w:rFonts w:ascii="Arial" w:cs="Arial" w:eastAsia="Arial" w:hAnsi="Arial"/>
                <w:color w:val="333333"/>
                <w:sz w:val="20"/>
                <w:szCs w:val="20"/>
              </w:rPr>
              <w:t xml:space="preserve">Manager communicates the promotion to the employee in a formal meeting. Team announcement follows thereafter.</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7</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System &amp; Payroll Update</w:t>
            </w:r>
          </w:p>
          <w:p>
            <w:pPr>
              <w:spacing w:after="0" w:before="0" w:line="276"/>
            </w:pPr>
            <w:r>
              <w:rPr>
                <w:rFonts w:ascii="Arial" w:cs="Arial" w:eastAsia="Arial" w:hAnsi="Arial"/>
                <w:color w:val="333333"/>
                <w:sz w:val="20"/>
                <w:szCs w:val="20"/>
              </w:rPr>
              <w:t xml:space="preserve">HRMS, payroll systems, and organizational charts are updated effective the promotion date. Employee ID badge, access levels, and email signature are revised accordingly.</w:t>
            </w:r>
          </w:p>
        </w:tc>
      </w:tr>
    </w:tbl>
    <w:p>
      <w:pPr>
        <w:spacing w:after="0" w:before="100"/>
      </w:pPr>
      <w:r>
        <w:rPr>
          <w:rFonts w:ascii="Arial" w:cs="Arial" w:eastAsia="Arial" w:hAnsi="Arial"/>
          <w:color w:val="333333"/>
          <w:sz w:val="20"/>
          <w:szCs w:val="20"/>
        </w:rPr>
        <w:t xml:space="preserve"/>
      </w:r>
    </w:p>
    <w:p>
      <w:r>
        <w:br w:type="page"/>
      </w:r>
    </w:p>
    <w:p>
      <w:pPr>
        <w:pStyle w:val="Heading1"/>
        <w:pBdr>
          <w:bottom w:val="single" w:color="2E6DA4" w:sz="8" w:space="4"/>
        </w:pBdr>
        <w:spacing w:after="160" w:before="320" w:line="276"/>
      </w:pPr>
      <w:r>
        <w:rPr>
          <w:rFonts w:ascii="Arial" w:cs="Arial" w:eastAsia="Arial" w:hAnsi="Arial"/>
          <w:b/>
          <w:bCs/>
          <w:color w:val="1E3A5F"/>
          <w:sz w:val="32"/>
          <w:szCs w:val="32"/>
        </w:rPr>
        <w:t xml:space="preserve">4. Performance Improvement Plans (PIPs)</w:t>
      </w:r>
    </w:p>
    <w:p>
      <w:pPr>
        <w:pStyle w:val="Heading2"/>
        <w:spacing w:after="100" w:before="240" w:line="276"/>
      </w:pPr>
      <w:r>
        <w:rPr>
          <w:rFonts w:ascii="Arial" w:cs="Arial" w:eastAsia="Arial" w:hAnsi="Arial"/>
          <w:b/>
          <w:bCs/>
          <w:color w:val="2E6DA4"/>
          <w:sz w:val="24"/>
          <w:szCs w:val="24"/>
        </w:rPr>
        <w:t xml:space="preserve">4.1 Purpose</w:t>
      </w:r>
    </w:p>
    <w:p>
      <w:pPr>
        <w:spacing w:after="60" w:before="60" w:line="276"/>
      </w:pPr>
      <w:r>
        <w:rPr>
          <w:rFonts w:ascii="Arial" w:cs="Arial" w:eastAsia="Arial" w:hAnsi="Arial"/>
          <w:color w:val="333333"/>
          <w:sz w:val="20"/>
          <w:szCs w:val="20"/>
        </w:rPr>
        <w:t xml:space="preserve">A Performance Improvement Plan is a structured, time-bound support mechanism designed to help employees who are consistently not meeting role expectations. A PIP is not a precursor to termination; its primary aim is to enable the employee to succeed in their current role.</w:t>
      </w:r>
    </w:p>
    <w:p>
      <w:pPr>
        <w:spacing w:after="0" w:before="4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871A" w:sz="1"/>
              <w:left w:val="single" w:color="C8871A" w:sz="1"/>
              <w:bottom w:val="single" w:color="C8871A" w:sz="1"/>
              <w:right w:val="single" w:color="C8871A" w:sz="1"/>
            </w:tcBorders>
            <w:shd w:fill="C8871A" w:val="clear"/>
            <w:tcMar>
              <w:top w:type="dxa" w:w="100"/>
              <w:left w:type="dxa" w:w="160"/>
              <w:bottom w:type="dxa" w:w="100"/>
              <w:right w:type="dxa" w:w="160"/>
            </w:tcMar>
          </w:tcPr>
          <w:p>
            <w:pPr>
              <w:spacing w:after="0" w:before="0" w:line="276"/>
            </w:pPr>
            <w:r>
              <w:rPr>
                <w:rFonts w:ascii="Arial" w:cs="Arial" w:eastAsia="Arial" w:hAnsi="Arial"/>
                <w:b/>
                <w:bCs/>
                <w:color w:val="FFFFFF"/>
                <w:sz w:val="22"/>
                <w:szCs w:val="22"/>
              </w:rPr>
              <w:t xml:space="preserve">Important Note</w:t>
            </w:r>
          </w:p>
        </w:tc>
      </w:tr>
      <w:tr>
        <w:tc>
          <w:tcPr>
            <w:tcBorders>
              <w:top w:val="single" w:color="C8871A" w:sz="1"/>
              <w:left w:val="single" w:color="C8871A" w:sz="1"/>
              <w:bottom w:val="single" w:color="C8871A" w:sz="1"/>
              <w:right w:val="single" w:color="C8871A" w:sz="1"/>
            </w:tcBorders>
            <w:shd w:fill="FDF3E3" w:val="clear"/>
            <w:tcMar>
              <w:top w:type="dxa" w:w="80"/>
              <w:left w:type="dxa" w:w="160"/>
              <w:bottom w:type="dxa" w:w="80"/>
              <w:right w:type="dxa" w:w="160"/>
            </w:tcMar>
          </w:tcPr>
          <w:p>
            <w:pPr>
              <w:spacing w:after="0" w:before="0" w:line="276"/>
            </w:pPr>
            <w:r>
              <w:rPr>
                <w:rFonts w:ascii="Arial" w:cs="Arial" w:eastAsia="Arial" w:hAnsi="Arial"/>
                <w:color w:val="333333"/>
                <w:sz w:val="20"/>
                <w:szCs w:val="20"/>
              </w:rPr>
              <w:t xml:space="preserve">A PIP must be initiated in good faith. Managers are required to have documented at least two informal coaching conversations and one formal warning before a PIP is raised. Skipping these steps will render the PIP invalid.</w:t>
            </w:r>
          </w:p>
        </w:tc>
      </w:tr>
    </w:tbl>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4.2 PIP Process Flow</w:t>
      </w:r>
    </w:p>
    <w:p>
      <w:pPr>
        <w:spacing w:after="0" w:before="4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8871A" w:sz="1"/>
              <w:left w:val="single" w:color="C8871A" w:sz="1"/>
              <w:bottom w:val="single" w:color="C8871A" w:sz="1"/>
              <w:right w:val="single" w:color="C8871A" w:sz="1"/>
            </w:tcBorders>
            <w:shd w:fill="C8871A"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C8871A"/>
                <w:sz w:val="22"/>
                <w:szCs w:val="22"/>
              </w:rPr>
              <w:t xml:space="preserve">Identification of Performance Gap</w:t>
            </w:r>
          </w:p>
          <w:p>
            <w:pPr>
              <w:spacing w:after="0" w:before="0" w:line="276"/>
            </w:pPr>
            <w:r>
              <w:rPr>
                <w:rFonts w:ascii="Arial" w:cs="Arial" w:eastAsia="Arial" w:hAnsi="Arial"/>
                <w:color w:val="333333"/>
                <w:sz w:val="20"/>
                <w:szCs w:val="20"/>
              </w:rPr>
              <w:t xml:space="preserve">Manager identifies consistent underperformance against defined KPIs or behavioral standards. Concerns are documented and shared with the HRBP.</w:t>
            </w:r>
          </w:p>
        </w:tc>
      </w:tr>
      <w:tr>
        <w:tc>
          <w:tcPr>
            <w:tcW w:type="dxa" w:w="800"/>
            <w:tcBorders>
              <w:top w:val="single" w:color="C8871A" w:sz="1"/>
              <w:left w:val="single" w:color="C8871A" w:sz="1"/>
              <w:bottom w:val="single" w:color="C8871A" w:sz="1"/>
              <w:right w:val="single" w:color="C8871A" w:sz="1"/>
            </w:tcBorders>
            <w:shd w:fill="C8871A"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C8871A"/>
                <w:sz w:val="22"/>
                <w:szCs w:val="22"/>
              </w:rPr>
              <w:t xml:space="preserve">Pre-PIP Counselling</w:t>
            </w:r>
          </w:p>
          <w:p>
            <w:pPr>
              <w:spacing w:after="0" w:before="0" w:line="276"/>
            </w:pPr>
            <w:r>
              <w:rPr>
                <w:rFonts w:ascii="Arial" w:cs="Arial" w:eastAsia="Arial" w:hAnsi="Arial"/>
                <w:color w:val="333333"/>
                <w:sz w:val="20"/>
                <w:szCs w:val="20"/>
              </w:rPr>
              <w:t xml:space="preserve">Manager and HRBP hold a counselling session with the employee. Meeting notes are signed by all parties and retained in the employee's HR file.</w:t>
            </w:r>
          </w:p>
        </w:tc>
      </w:tr>
      <w:tr>
        <w:tc>
          <w:tcPr>
            <w:tcW w:type="dxa" w:w="800"/>
            <w:tcBorders>
              <w:top w:val="single" w:color="C8871A" w:sz="1"/>
              <w:left w:val="single" w:color="C8871A" w:sz="1"/>
              <w:bottom w:val="single" w:color="C8871A" w:sz="1"/>
              <w:right w:val="single" w:color="C8871A" w:sz="1"/>
            </w:tcBorders>
            <w:shd w:fill="C8871A"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C8871A"/>
                <w:sz w:val="22"/>
                <w:szCs w:val="22"/>
              </w:rPr>
              <w:t xml:space="preserve">PIP Document Drafting</w:t>
            </w:r>
          </w:p>
          <w:p>
            <w:pPr>
              <w:spacing w:after="0" w:before="0" w:line="276"/>
            </w:pPr>
            <w:r>
              <w:rPr>
                <w:rFonts w:ascii="Arial" w:cs="Arial" w:eastAsia="Arial" w:hAnsi="Arial"/>
                <w:color w:val="333333"/>
                <w:sz w:val="20"/>
                <w:szCs w:val="20"/>
              </w:rPr>
              <w:t xml:space="preserve">HRBP drafts the PIP document specifying: specific performance gaps, SMART improvement goals, support to be provided, review schedule, and consequences of non-improvement.</w:t>
            </w:r>
          </w:p>
        </w:tc>
      </w:tr>
      <w:tr>
        <w:tc>
          <w:tcPr>
            <w:tcW w:type="dxa" w:w="800"/>
            <w:tcBorders>
              <w:top w:val="single" w:color="C8871A" w:sz="1"/>
              <w:left w:val="single" w:color="C8871A" w:sz="1"/>
              <w:bottom w:val="single" w:color="C8871A" w:sz="1"/>
              <w:right w:val="single" w:color="C8871A" w:sz="1"/>
            </w:tcBorders>
            <w:shd w:fill="C8871A"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C8871A"/>
                <w:sz w:val="22"/>
                <w:szCs w:val="22"/>
              </w:rPr>
              <w:t xml:space="preserve">PIP Issuance &amp; Acknowledgment</w:t>
            </w:r>
          </w:p>
          <w:p>
            <w:pPr>
              <w:spacing w:after="0" w:before="0" w:line="276"/>
            </w:pPr>
            <w:r>
              <w:rPr>
                <w:rFonts w:ascii="Arial" w:cs="Arial" w:eastAsia="Arial" w:hAnsi="Arial"/>
                <w:color w:val="333333"/>
                <w:sz w:val="20"/>
                <w:szCs w:val="20"/>
              </w:rPr>
              <w:t xml:space="preserve">Employee receives the PIP in a formal meeting. The employee must sign acknowledging receipt (not necessarily agreement). A copy is filed in HR records.</w:t>
            </w:r>
          </w:p>
        </w:tc>
      </w:tr>
      <w:tr>
        <w:tc>
          <w:tcPr>
            <w:tcW w:type="dxa" w:w="800"/>
            <w:tcBorders>
              <w:top w:val="single" w:color="C8871A" w:sz="1"/>
              <w:left w:val="single" w:color="C8871A" w:sz="1"/>
              <w:bottom w:val="single" w:color="C8871A" w:sz="1"/>
              <w:right w:val="single" w:color="C8871A" w:sz="1"/>
            </w:tcBorders>
            <w:shd w:fill="C8871A"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C8871A"/>
                <w:sz w:val="22"/>
                <w:szCs w:val="22"/>
              </w:rPr>
              <w:t xml:space="preserve">Active PIP Period (30–90 days)</w:t>
            </w:r>
          </w:p>
          <w:p>
            <w:pPr>
              <w:spacing w:after="0" w:before="0" w:line="276"/>
            </w:pPr>
            <w:r>
              <w:rPr>
                <w:rFonts w:ascii="Arial" w:cs="Arial" w:eastAsia="Arial" w:hAnsi="Arial"/>
                <w:color w:val="333333"/>
                <w:sz w:val="20"/>
                <w:szCs w:val="20"/>
              </w:rPr>
              <w:t xml:space="preserve">Weekly or bi-weekly check-in meetings are conducted. Progress is documented in writing after each meeting. Employee may request representation by a colleague (not a legal representative) during any meeting.</w:t>
            </w:r>
          </w:p>
        </w:tc>
      </w:tr>
      <w:tr>
        <w:tc>
          <w:tcPr>
            <w:tcW w:type="dxa" w:w="800"/>
            <w:tcBorders>
              <w:top w:val="single" w:color="C8871A" w:sz="1"/>
              <w:left w:val="single" w:color="C8871A" w:sz="1"/>
              <w:bottom w:val="single" w:color="C8871A" w:sz="1"/>
              <w:right w:val="single" w:color="C8871A" w:sz="1"/>
            </w:tcBorders>
            <w:shd w:fill="C8871A"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6</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C8871A"/>
                <w:sz w:val="22"/>
                <w:szCs w:val="22"/>
              </w:rPr>
              <w:t xml:space="preserve">Mid-Point Review</w:t>
            </w:r>
          </w:p>
          <w:p>
            <w:pPr>
              <w:spacing w:after="0" w:before="0" w:line="276"/>
            </w:pPr>
            <w:r>
              <w:rPr>
                <w:rFonts w:ascii="Arial" w:cs="Arial" w:eastAsia="Arial" w:hAnsi="Arial"/>
                <w:color w:val="333333"/>
                <w:sz w:val="20"/>
                <w:szCs w:val="20"/>
              </w:rPr>
              <w:t xml:space="preserve">A formal mid-point review assesses progress. If significant improvement is noted, the PIP may be closed early. If no improvement, the manager may recommend extending or escalating the PIP.</w:t>
            </w:r>
          </w:p>
        </w:tc>
      </w:tr>
      <w:tr>
        <w:tc>
          <w:tcPr>
            <w:tcW w:type="dxa" w:w="800"/>
            <w:tcBorders>
              <w:top w:val="single" w:color="C8871A" w:sz="1"/>
              <w:left w:val="single" w:color="C8871A" w:sz="1"/>
              <w:bottom w:val="single" w:color="C8871A" w:sz="1"/>
              <w:right w:val="single" w:color="C8871A" w:sz="1"/>
            </w:tcBorders>
            <w:shd w:fill="C8871A"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7</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C8871A"/>
                <w:sz w:val="22"/>
                <w:szCs w:val="22"/>
              </w:rPr>
              <w:t xml:space="preserve">Final Outcome</w:t>
            </w:r>
          </w:p>
          <w:p>
            <w:pPr>
              <w:spacing w:after="0" w:before="0" w:line="276"/>
            </w:pPr>
            <w:r>
              <w:rPr>
                <w:rFonts w:ascii="Arial" w:cs="Arial" w:eastAsia="Arial" w:hAnsi="Arial"/>
                <w:color w:val="333333"/>
                <w:sz w:val="20"/>
                <w:szCs w:val="20"/>
              </w:rPr>
              <w:t xml:space="preserve">Three possible outcomes: (a) PIP Closed — targets met, employee returns to regular performance management; (b) PIP Extended — partial improvement, additional 30 days granted; (c) Employment Review — HR and leadership decide on role change, demotion, or separation.</w:t>
            </w:r>
          </w:p>
        </w:tc>
      </w:tr>
    </w:tbl>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4.3 Employee Rights During PIP</w:t>
      </w:r>
    </w:p>
    <w:p>
      <w:pPr>
        <w:pStyle w:val="ListParagraph"/>
        <w:numPr>
          <w:ilvl w:val="0"/>
          <w:numId w:val="2"/>
        </w:numPr>
        <w:spacing w:after="40" w:before="40" w:line="276"/>
      </w:pPr>
      <w:r>
        <w:rPr>
          <w:rFonts w:ascii="Arial" w:cs="Arial" w:eastAsia="Arial" w:hAnsi="Arial"/>
          <w:color w:val="333333"/>
          <w:sz w:val="20"/>
          <w:szCs w:val="20"/>
        </w:rPr>
        <w:t xml:space="preserve">Right to be informed of all documented concerns prior to PIP initiation</w:t>
      </w:r>
    </w:p>
    <w:p>
      <w:pPr>
        <w:pStyle w:val="ListParagraph"/>
        <w:numPr>
          <w:ilvl w:val="0"/>
          <w:numId w:val="2"/>
        </w:numPr>
        <w:spacing w:after="40" w:before="40" w:line="276"/>
      </w:pPr>
      <w:r>
        <w:rPr>
          <w:rFonts w:ascii="Arial" w:cs="Arial" w:eastAsia="Arial" w:hAnsi="Arial"/>
          <w:color w:val="333333"/>
          <w:sz w:val="20"/>
          <w:szCs w:val="20"/>
        </w:rPr>
        <w:t xml:space="preserve">Right to respond to allegations in writing within 5 working days</w:t>
      </w:r>
    </w:p>
    <w:p>
      <w:pPr>
        <w:pStyle w:val="ListParagraph"/>
        <w:numPr>
          <w:ilvl w:val="0"/>
          <w:numId w:val="2"/>
        </w:numPr>
        <w:spacing w:after="40" w:before="40" w:line="276"/>
      </w:pPr>
      <w:r>
        <w:rPr>
          <w:rFonts w:ascii="Arial" w:cs="Arial" w:eastAsia="Arial" w:hAnsi="Arial"/>
          <w:color w:val="333333"/>
          <w:sz w:val="20"/>
          <w:szCs w:val="20"/>
        </w:rPr>
        <w:t xml:space="preserve">Right to request an HRBP change if there is a conflict of interest</w:t>
      </w:r>
    </w:p>
    <w:p>
      <w:pPr>
        <w:pStyle w:val="ListParagraph"/>
        <w:numPr>
          <w:ilvl w:val="0"/>
          <w:numId w:val="2"/>
        </w:numPr>
        <w:spacing w:after="40" w:before="40" w:line="276"/>
      </w:pPr>
      <w:r>
        <w:rPr>
          <w:rFonts w:ascii="Arial" w:cs="Arial" w:eastAsia="Arial" w:hAnsi="Arial"/>
          <w:color w:val="333333"/>
          <w:sz w:val="20"/>
          <w:szCs w:val="20"/>
        </w:rPr>
        <w:t xml:space="preserve">Right to access all PIP documentation and sign with comments</w:t>
      </w:r>
    </w:p>
    <w:p>
      <w:pPr>
        <w:pStyle w:val="ListParagraph"/>
        <w:numPr>
          <w:ilvl w:val="0"/>
          <w:numId w:val="2"/>
        </w:numPr>
        <w:spacing w:after="40" w:before="40" w:line="276"/>
      </w:pPr>
      <w:r>
        <w:rPr>
          <w:rFonts w:ascii="Arial" w:cs="Arial" w:eastAsia="Arial" w:hAnsi="Arial"/>
          <w:color w:val="333333"/>
          <w:sz w:val="20"/>
          <w:szCs w:val="20"/>
        </w:rPr>
        <w:t xml:space="preserve">Right to appeal the PIP outcome through the Grievance Redressal Mechanism</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4.4 Manager Responsibilities</w:t>
      </w:r>
    </w:p>
    <w:p>
      <w:pPr>
        <w:pStyle w:val="ListParagraph"/>
        <w:numPr>
          <w:ilvl w:val="0"/>
          <w:numId w:val="2"/>
        </w:numPr>
        <w:spacing w:after="40" w:before="40" w:line="276"/>
      </w:pPr>
      <w:r>
        <w:rPr>
          <w:rFonts w:ascii="Arial" w:cs="Arial" w:eastAsia="Arial" w:hAnsi="Arial"/>
          <w:color w:val="333333"/>
          <w:sz w:val="20"/>
          <w:szCs w:val="20"/>
        </w:rPr>
        <w:t xml:space="preserve">Maintain weekly written records of check-in discussions</w:t>
      </w:r>
    </w:p>
    <w:p>
      <w:pPr>
        <w:pStyle w:val="ListParagraph"/>
        <w:numPr>
          <w:ilvl w:val="0"/>
          <w:numId w:val="2"/>
        </w:numPr>
        <w:spacing w:after="40" w:before="40" w:line="276"/>
      </w:pPr>
      <w:r>
        <w:rPr>
          <w:rFonts w:ascii="Arial" w:cs="Arial" w:eastAsia="Arial" w:hAnsi="Arial"/>
          <w:color w:val="333333"/>
          <w:sz w:val="20"/>
          <w:szCs w:val="20"/>
        </w:rPr>
        <w:t xml:space="preserve">Provide genuine coaching, resources, and time for improvement</w:t>
      </w:r>
    </w:p>
    <w:p>
      <w:pPr>
        <w:pStyle w:val="ListParagraph"/>
        <w:numPr>
          <w:ilvl w:val="0"/>
          <w:numId w:val="2"/>
        </w:numPr>
        <w:spacing w:after="40" w:before="40" w:line="276"/>
      </w:pPr>
      <w:r>
        <w:rPr>
          <w:rFonts w:ascii="Arial" w:cs="Arial" w:eastAsia="Arial" w:hAnsi="Arial"/>
          <w:color w:val="333333"/>
          <w:sz w:val="20"/>
          <w:szCs w:val="20"/>
        </w:rPr>
        <w:t xml:space="preserve">Avoid bias, retaliation, or hostile behavior during the PIP period</w:t>
      </w:r>
    </w:p>
    <w:p>
      <w:pPr>
        <w:pStyle w:val="ListParagraph"/>
        <w:numPr>
          <w:ilvl w:val="0"/>
          <w:numId w:val="2"/>
        </w:numPr>
        <w:spacing w:after="40" w:before="40" w:line="276"/>
      </w:pPr>
      <w:r>
        <w:rPr>
          <w:rFonts w:ascii="Arial" w:cs="Arial" w:eastAsia="Arial" w:hAnsi="Arial"/>
          <w:color w:val="333333"/>
          <w:sz w:val="20"/>
          <w:szCs w:val="20"/>
        </w:rPr>
        <w:t xml:space="preserve">Escalate immediately to HR if the employee raises a grievance during PIP</w:t>
      </w:r>
    </w:p>
    <w:p>
      <w:pPr>
        <w:spacing w:after="0" w:before="100"/>
      </w:pPr>
      <w:r>
        <w:rPr>
          <w:rFonts w:ascii="Arial" w:cs="Arial" w:eastAsia="Arial" w:hAnsi="Arial"/>
          <w:color w:val="333333"/>
          <w:sz w:val="20"/>
          <w:szCs w:val="20"/>
        </w:rPr>
        <w:t xml:space="preserve"/>
      </w:r>
    </w:p>
    <w:p>
      <w:r>
        <w:br w:type="page"/>
      </w:r>
    </w:p>
    <w:p>
      <w:pPr>
        <w:pStyle w:val="Heading1"/>
        <w:pBdr>
          <w:bottom w:val="single" w:color="2E6DA4" w:sz="8" w:space="4"/>
        </w:pBdr>
        <w:spacing w:after="160" w:before="320" w:line="276"/>
      </w:pPr>
      <w:r>
        <w:rPr>
          <w:rFonts w:ascii="Arial" w:cs="Arial" w:eastAsia="Arial" w:hAnsi="Arial"/>
          <w:b/>
          <w:bCs/>
          <w:color w:val="1E3A5F"/>
          <w:sz w:val="32"/>
          <w:szCs w:val="32"/>
        </w:rPr>
        <w:t xml:space="preserve">5. Resignation Process</w:t>
      </w:r>
    </w:p>
    <w:p>
      <w:pPr>
        <w:pStyle w:val="Heading2"/>
        <w:spacing w:after="100" w:before="240" w:line="276"/>
      </w:pPr>
      <w:r>
        <w:rPr>
          <w:rFonts w:ascii="Arial" w:cs="Arial" w:eastAsia="Arial" w:hAnsi="Arial"/>
          <w:b/>
          <w:bCs/>
          <w:color w:val="2E6DA4"/>
          <w:sz w:val="24"/>
          <w:szCs w:val="24"/>
        </w:rPr>
        <w:t xml:space="preserve">5.1 Voluntary Resignation</w:t>
      </w:r>
    </w:p>
    <w:p>
      <w:pPr>
        <w:spacing w:after="60" w:before="60" w:line="276"/>
      </w:pPr>
      <w:r>
        <w:rPr>
          <w:rFonts w:ascii="Arial" w:cs="Arial" w:eastAsia="Arial" w:hAnsi="Arial"/>
          <w:color w:val="333333"/>
          <w:sz w:val="20"/>
          <w:szCs w:val="20"/>
        </w:rPr>
        <w:t xml:space="preserve">An employee wishing to voluntarily resign must submit a formal resignation letter addressed to their direct manager, with a copy to HR. Verbal resignations are not accepted as final until confirmed in writing.</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5.2 Notice Period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Employee Grade / Level</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Notice Period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Entry Level (Grade 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30 calendar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Mid-Level (Grade 4–6)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60 calendar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Senior Level (Grade 7–9)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90 calendar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Leadership / Director+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90–120 calendar days (as per contract)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Probationary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15 calendar days</w:t>
            </w:r>
          </w:p>
        </w:tc>
      </w:tr>
    </w:tbl>
    <w:p>
      <w:pPr>
        <w:spacing w:after="0" w:before="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1"/>
              <w:left w:val="single" w:color="2E6DA4" w:sz="1"/>
              <w:bottom w:val="single" w:color="2E6DA4" w:sz="1"/>
              <w:right w:val="single" w:color="2E6DA4" w:sz="1"/>
            </w:tcBorders>
            <w:shd w:fill="2E6DA4" w:val="clear"/>
            <w:tcMar>
              <w:top w:type="dxa" w:w="100"/>
              <w:left w:type="dxa" w:w="160"/>
              <w:bottom w:type="dxa" w:w="100"/>
              <w:right w:type="dxa" w:w="160"/>
            </w:tcMar>
          </w:tcPr>
          <w:p>
            <w:pPr>
              <w:spacing w:after="0" w:before="0" w:line="276"/>
            </w:pPr>
            <w:r>
              <w:rPr>
                <w:rFonts w:ascii="Arial" w:cs="Arial" w:eastAsia="Arial" w:hAnsi="Arial"/>
                <w:b/>
                <w:bCs/>
                <w:color w:val="FFFFFF"/>
                <w:sz w:val="22"/>
                <w:szCs w:val="22"/>
              </w:rPr>
              <w:t xml:space="preserve">Notice Period — Key Rules</w:t>
            </w:r>
          </w:p>
        </w:tc>
      </w:tr>
      <w:tr>
        <w:tc>
          <w:tcPr>
            <w:tcBorders>
              <w:top w:val="single" w:color="2E6DA4" w:sz="1"/>
              <w:left w:val="single" w:color="2E6DA4" w:sz="1"/>
              <w:bottom w:val="single" w:color="2E6DA4" w:sz="1"/>
              <w:right w:val="single" w:color="2E6DA4" w:sz="1"/>
            </w:tcBorders>
            <w:shd w:fill="D6E4F0" w:val="clear"/>
            <w:tcMar>
              <w:top w:type="dxa" w:w="80"/>
              <w:left w:type="dxa" w:w="160"/>
              <w:bottom w:type="dxa" w:w="80"/>
              <w:right w:type="dxa" w:w="160"/>
            </w:tcMar>
          </w:tcPr>
          <w:p>
            <w:pPr>
              <w:spacing w:after="0" w:before="0" w:line="276"/>
            </w:pPr>
            <w:r>
              <w:rPr>
                <w:rFonts w:ascii="Arial" w:cs="Arial" w:eastAsia="Arial" w:hAnsi="Arial"/>
                <w:color w:val="333333"/>
                <w:sz w:val="20"/>
                <w:szCs w:val="20"/>
              </w:rPr>
              <w:t xml:space="preserve">Notice period begins on the day after the written resignation is formally accepted by HR.</w:t>
            </w:r>
          </w:p>
        </w:tc>
      </w:tr>
      <w:tr>
        <w:tc>
          <w:tcPr>
            <w:tcBorders>
              <w:top w:val="single" w:color="2E6DA4" w:sz="1"/>
              <w:left w:val="single" w:color="2E6DA4" w:sz="1"/>
              <w:bottom w:val="single" w:color="2E6DA4" w:sz="1"/>
              <w:right w:val="single" w:color="2E6DA4" w:sz="1"/>
            </w:tcBorders>
            <w:shd w:fill="D6E4F0" w:val="clear"/>
            <w:tcMar>
              <w:top w:type="dxa" w:w="80"/>
              <w:left w:type="dxa" w:w="160"/>
              <w:bottom w:type="dxa" w:w="80"/>
              <w:right w:type="dxa" w:w="160"/>
            </w:tcMar>
          </w:tcPr>
          <w:p>
            <w:pPr>
              <w:spacing w:after="0" w:before="0" w:line="276"/>
            </w:pPr>
            <w:r>
              <w:rPr>
                <w:rFonts w:ascii="Arial" w:cs="Arial" w:eastAsia="Arial" w:hAnsi="Arial"/>
                <w:color w:val="333333"/>
                <w:sz w:val="20"/>
                <w:szCs w:val="20"/>
              </w:rPr>
              <w:t xml:space="preserve">Garden Leave: The organization may place an employee on garden leave during notice, retaining pay and benefits.</w:t>
            </w:r>
          </w:p>
        </w:tc>
      </w:tr>
      <w:tr>
        <w:tc>
          <w:tcPr>
            <w:tcBorders>
              <w:top w:val="single" w:color="2E6DA4" w:sz="1"/>
              <w:left w:val="single" w:color="2E6DA4" w:sz="1"/>
              <w:bottom w:val="single" w:color="2E6DA4" w:sz="1"/>
              <w:right w:val="single" w:color="2E6DA4" w:sz="1"/>
            </w:tcBorders>
            <w:shd w:fill="D6E4F0" w:val="clear"/>
            <w:tcMar>
              <w:top w:type="dxa" w:w="80"/>
              <w:left w:type="dxa" w:w="160"/>
              <w:bottom w:type="dxa" w:w="80"/>
              <w:right w:type="dxa" w:w="160"/>
            </w:tcMar>
          </w:tcPr>
          <w:p>
            <w:pPr>
              <w:spacing w:after="0" w:before="0" w:line="276"/>
            </w:pPr>
            <w:r>
              <w:rPr>
                <w:rFonts w:ascii="Arial" w:cs="Arial" w:eastAsia="Arial" w:hAnsi="Arial"/>
                <w:color w:val="333333"/>
                <w:sz w:val="20"/>
                <w:szCs w:val="20"/>
              </w:rPr>
              <w:t xml:space="preserve">Notice Buy-Out: The employee may request early release by paying notice buy-out (equivalent to basic salary for remaining days). Approval is at management discretion.</w:t>
            </w:r>
          </w:p>
        </w:tc>
      </w:tr>
      <w:tr>
        <w:tc>
          <w:tcPr>
            <w:tcBorders>
              <w:top w:val="single" w:color="2E6DA4" w:sz="1"/>
              <w:left w:val="single" w:color="2E6DA4" w:sz="1"/>
              <w:bottom w:val="single" w:color="2E6DA4" w:sz="1"/>
              <w:right w:val="single" w:color="2E6DA4" w:sz="1"/>
            </w:tcBorders>
            <w:shd w:fill="D6E4F0" w:val="clear"/>
            <w:tcMar>
              <w:top w:type="dxa" w:w="80"/>
              <w:left w:type="dxa" w:w="160"/>
              <w:bottom w:type="dxa" w:w="80"/>
              <w:right w:type="dxa" w:w="160"/>
            </w:tcMar>
          </w:tcPr>
          <w:p>
            <w:pPr>
              <w:spacing w:after="0" w:before="0" w:line="276"/>
            </w:pPr>
            <w:r>
              <w:rPr>
                <w:rFonts w:ascii="Arial" w:cs="Arial" w:eastAsia="Arial" w:hAnsi="Arial"/>
                <w:color w:val="333333"/>
                <w:sz w:val="20"/>
                <w:szCs w:val="20"/>
              </w:rPr>
              <w:t xml:space="preserve">Waiver: The organization may waive the notice period at its discretion, without requiring employee payment.</w:t>
            </w:r>
          </w:p>
        </w:tc>
      </w:tr>
    </w:tbl>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5.3 Resignation Process Flow</w:t>
      </w:r>
    </w:p>
    <w:p>
      <w:pPr>
        <w:spacing w:after="0" w:before="4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Resignation Submission</w:t>
            </w:r>
          </w:p>
          <w:p>
            <w:pPr>
              <w:spacing w:after="0" w:before="0" w:line="276"/>
            </w:pPr>
            <w:r>
              <w:rPr>
                <w:rFonts w:ascii="Arial" w:cs="Arial" w:eastAsia="Arial" w:hAnsi="Arial"/>
                <w:color w:val="333333"/>
                <w:sz w:val="20"/>
                <w:szCs w:val="20"/>
              </w:rPr>
              <w:t xml:space="preserve">Employee submits a formal resignation letter via email to their direct manager, cc'ing HR. The letter must state the intended last working day based on the applicable notice period.</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Manager Acknowledgment</w:t>
            </w:r>
          </w:p>
          <w:p>
            <w:pPr>
              <w:spacing w:after="0" w:before="0" w:line="276"/>
            </w:pPr>
            <w:r>
              <w:rPr>
                <w:rFonts w:ascii="Arial" w:cs="Arial" w:eastAsia="Arial" w:hAnsi="Arial"/>
                <w:color w:val="333333"/>
                <w:sz w:val="20"/>
                <w:szCs w:val="20"/>
              </w:rPr>
              <w:t xml:space="preserve">Manager acknowledges resignation in writing within 2 working days. Manager may attempt retention conversation at this stage (one time only, without coercion).</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HR Formal Acceptance</w:t>
            </w:r>
          </w:p>
          <w:p>
            <w:pPr>
              <w:spacing w:after="0" w:before="0" w:line="276"/>
            </w:pPr>
            <w:r>
              <w:rPr>
                <w:rFonts w:ascii="Arial" w:cs="Arial" w:eastAsia="Arial" w:hAnsi="Arial"/>
                <w:color w:val="333333"/>
                <w:sz w:val="20"/>
                <w:szCs w:val="20"/>
              </w:rPr>
              <w:t xml:space="preserve">HR formally accepts the resignation in writing, confirming the last working day and initiating the off-boarding workflow in the HRMS.</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Clearance Initiation</w:t>
            </w:r>
          </w:p>
          <w:p>
            <w:pPr>
              <w:spacing w:after="0" w:before="0" w:line="276"/>
            </w:pPr>
            <w:r>
              <w:rPr>
                <w:rFonts w:ascii="Arial" w:cs="Arial" w:eastAsia="Arial" w:hAnsi="Arial"/>
                <w:color w:val="333333"/>
                <w:sz w:val="20"/>
                <w:szCs w:val="20"/>
              </w:rPr>
              <w:t xml:space="preserve">HR triggers the clearance process across all departments: IT, Finance, Admin, Projects, and Legal. A Clearance Checklist is assigned to the employee via the HRMS portal.</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Knowledge Transfer</w:t>
            </w:r>
          </w:p>
          <w:p>
            <w:pPr>
              <w:spacing w:after="0" w:before="0" w:line="276"/>
            </w:pPr>
            <w:r>
              <w:rPr>
                <w:rFonts w:ascii="Arial" w:cs="Arial" w:eastAsia="Arial" w:hAnsi="Arial"/>
                <w:color w:val="333333"/>
                <w:sz w:val="20"/>
                <w:szCs w:val="20"/>
              </w:rPr>
              <w:t xml:space="preserve">Employee completes a Knowledge Transfer Document for all ongoing work. Manager certifies handover completion. Failure to complete a satisfactory handover may affect final settlement.</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6</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Exit Interview</w:t>
            </w:r>
          </w:p>
          <w:p>
            <w:pPr>
              <w:spacing w:after="0" w:before="0" w:line="276"/>
            </w:pPr>
            <w:r>
              <w:rPr>
                <w:rFonts w:ascii="Arial" w:cs="Arial" w:eastAsia="Arial" w:hAnsi="Arial"/>
                <w:color w:val="333333"/>
                <w:sz w:val="20"/>
                <w:szCs w:val="20"/>
              </w:rPr>
              <w:t xml:space="preserve">HR schedules an exit interview (in-person or virtual) typically in the final week. The interview is confidential and voluntary but strongly encouraged.</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7</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Last Working Day</w:t>
            </w:r>
          </w:p>
          <w:p>
            <w:pPr>
              <w:spacing w:after="0" w:before="0" w:line="276"/>
            </w:pPr>
            <w:r>
              <w:rPr>
                <w:rFonts w:ascii="Arial" w:cs="Arial" w:eastAsia="Arial" w:hAnsi="Arial"/>
                <w:color w:val="333333"/>
                <w:sz w:val="20"/>
                <w:szCs w:val="20"/>
              </w:rPr>
              <w:t xml:space="preserve">Employee returns all assets, signs the clearance form, and surrenders access credentials. HR provides the Relieving Letter and Experience Letter on the last day or within 5 working days.</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8</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Final Settlement</w:t>
            </w:r>
          </w:p>
          <w:p>
            <w:pPr>
              <w:spacing w:after="0" w:before="0" w:line="276"/>
            </w:pPr>
            <w:r>
              <w:rPr>
                <w:rFonts w:ascii="Arial" w:cs="Arial" w:eastAsia="Arial" w:hAnsi="Arial"/>
                <w:color w:val="333333"/>
                <w:sz w:val="20"/>
                <w:szCs w:val="20"/>
              </w:rPr>
              <w:t xml:space="preserve">Full and Final (F&amp;F) settlement is processed within 30–45 days of the last working day, as per applicable labor law and organizational policy.</w:t>
            </w:r>
          </w:p>
        </w:tc>
      </w:tr>
    </w:tbl>
    <w:p>
      <w:pPr>
        <w:spacing w:after="0" w:before="100"/>
      </w:pPr>
      <w:r>
        <w:rPr>
          <w:rFonts w:ascii="Arial" w:cs="Arial" w:eastAsia="Arial" w:hAnsi="Arial"/>
          <w:color w:val="333333"/>
          <w:sz w:val="20"/>
          <w:szCs w:val="20"/>
        </w:rPr>
        <w:t xml:space="preserve"/>
      </w:r>
    </w:p>
    <w:p>
      <w:r>
        <w:br w:type="page"/>
      </w:r>
    </w:p>
    <w:p>
      <w:pPr>
        <w:pStyle w:val="Heading1"/>
        <w:pBdr>
          <w:bottom w:val="single" w:color="2E6DA4" w:sz="8" w:space="4"/>
        </w:pBdr>
        <w:spacing w:after="160" w:before="320" w:line="276"/>
      </w:pPr>
      <w:r>
        <w:rPr>
          <w:rFonts w:ascii="Arial" w:cs="Arial" w:eastAsia="Arial" w:hAnsi="Arial"/>
          <w:b/>
          <w:bCs/>
          <w:color w:val="1E3A5F"/>
          <w:sz w:val="32"/>
          <w:szCs w:val="32"/>
        </w:rPr>
        <w:t xml:space="preserve">6. Exit Interviews</w:t>
      </w:r>
    </w:p>
    <w:p>
      <w:pPr>
        <w:pStyle w:val="Heading2"/>
        <w:spacing w:after="100" w:before="240" w:line="276"/>
      </w:pPr>
      <w:r>
        <w:rPr>
          <w:rFonts w:ascii="Arial" w:cs="Arial" w:eastAsia="Arial" w:hAnsi="Arial"/>
          <w:b/>
          <w:bCs/>
          <w:color w:val="2E6DA4"/>
          <w:sz w:val="24"/>
          <w:szCs w:val="24"/>
        </w:rPr>
        <w:t xml:space="preserve">6.1 Purpose</w:t>
      </w:r>
    </w:p>
    <w:p>
      <w:pPr>
        <w:spacing w:after="60" w:before="60" w:line="276"/>
      </w:pPr>
      <w:r>
        <w:rPr>
          <w:rFonts w:ascii="Arial" w:cs="Arial" w:eastAsia="Arial" w:hAnsi="Arial"/>
          <w:color w:val="333333"/>
          <w:sz w:val="20"/>
          <w:szCs w:val="20"/>
        </w:rPr>
        <w:t xml:space="preserve">Exit interviews provide the organization with valuable, candid feedback from departing employees about their experience, reasons for leaving, and suggestions for improvement. They are a critical tool for identifying systemic issues related to culture, management, compensation, and career development.</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6.2 Format and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Conducted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HRBP (not the direct manager)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Structured interview (45–60 minutes) + written questionnaire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Timing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Within the last 5 working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Participation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Voluntary; strongly encouraged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Confidentiality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Individual responses are anonymized in reporting</w:t>
            </w:r>
          </w:p>
        </w:tc>
      </w:tr>
    </w:tbl>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6.3 Key Areas Covered</w:t>
      </w:r>
    </w:p>
    <w:p>
      <w:pPr>
        <w:pStyle w:val="ListParagraph"/>
        <w:numPr>
          <w:ilvl w:val="0"/>
          <w:numId w:val="2"/>
        </w:numPr>
        <w:spacing w:after="40" w:before="40" w:line="276"/>
      </w:pPr>
      <w:r>
        <w:rPr>
          <w:rFonts w:ascii="Arial" w:cs="Arial" w:eastAsia="Arial" w:hAnsi="Arial"/>
          <w:color w:val="333333"/>
          <w:sz w:val="20"/>
          <w:szCs w:val="20"/>
        </w:rPr>
        <w:t xml:space="preserve">Reasons for leaving (primary and secondary)</w:t>
      </w:r>
    </w:p>
    <w:p>
      <w:pPr>
        <w:pStyle w:val="ListParagraph"/>
        <w:numPr>
          <w:ilvl w:val="0"/>
          <w:numId w:val="2"/>
        </w:numPr>
        <w:spacing w:after="40" w:before="40" w:line="276"/>
      </w:pPr>
      <w:r>
        <w:rPr>
          <w:rFonts w:ascii="Arial" w:cs="Arial" w:eastAsia="Arial" w:hAnsi="Arial"/>
          <w:color w:val="333333"/>
          <w:sz w:val="20"/>
          <w:szCs w:val="20"/>
        </w:rPr>
        <w:t xml:space="preserve">Quality of relationship with direct manager and team</w:t>
      </w:r>
    </w:p>
    <w:p>
      <w:pPr>
        <w:pStyle w:val="ListParagraph"/>
        <w:numPr>
          <w:ilvl w:val="0"/>
          <w:numId w:val="2"/>
        </w:numPr>
        <w:spacing w:after="40" w:before="40" w:line="276"/>
      </w:pPr>
      <w:r>
        <w:rPr>
          <w:rFonts w:ascii="Arial" w:cs="Arial" w:eastAsia="Arial" w:hAnsi="Arial"/>
          <w:color w:val="333333"/>
          <w:sz w:val="20"/>
          <w:szCs w:val="20"/>
        </w:rPr>
        <w:t xml:space="preserve">Adequacy of compensation, benefits, and growth opportunities</w:t>
      </w:r>
    </w:p>
    <w:p>
      <w:pPr>
        <w:pStyle w:val="ListParagraph"/>
        <w:numPr>
          <w:ilvl w:val="0"/>
          <w:numId w:val="2"/>
        </w:numPr>
        <w:spacing w:after="40" w:before="40" w:line="276"/>
      </w:pPr>
      <w:r>
        <w:rPr>
          <w:rFonts w:ascii="Arial" w:cs="Arial" w:eastAsia="Arial" w:hAnsi="Arial"/>
          <w:color w:val="333333"/>
          <w:sz w:val="20"/>
          <w:szCs w:val="20"/>
        </w:rPr>
        <w:t xml:space="preserve">Assessment of onboarding and training received</w:t>
      </w:r>
    </w:p>
    <w:p>
      <w:pPr>
        <w:pStyle w:val="ListParagraph"/>
        <w:numPr>
          <w:ilvl w:val="0"/>
          <w:numId w:val="2"/>
        </w:numPr>
        <w:spacing w:after="40" w:before="40" w:line="276"/>
      </w:pPr>
      <w:r>
        <w:rPr>
          <w:rFonts w:ascii="Arial" w:cs="Arial" w:eastAsia="Arial" w:hAnsi="Arial"/>
          <w:color w:val="333333"/>
          <w:sz w:val="20"/>
          <w:szCs w:val="20"/>
        </w:rPr>
        <w:t xml:space="preserve">Overall rating of the organizational culture and values</w:t>
      </w:r>
    </w:p>
    <w:p>
      <w:pPr>
        <w:pStyle w:val="ListParagraph"/>
        <w:numPr>
          <w:ilvl w:val="0"/>
          <w:numId w:val="2"/>
        </w:numPr>
        <w:spacing w:after="40" w:before="40" w:line="276"/>
      </w:pPr>
      <w:r>
        <w:rPr>
          <w:rFonts w:ascii="Arial" w:cs="Arial" w:eastAsia="Arial" w:hAnsi="Arial"/>
          <w:color w:val="333333"/>
          <w:sz w:val="20"/>
          <w:szCs w:val="20"/>
        </w:rPr>
        <w:t xml:space="preserve">Recommendations for improving the work environment</w:t>
      </w:r>
    </w:p>
    <w:p>
      <w:pPr>
        <w:pStyle w:val="ListParagraph"/>
        <w:numPr>
          <w:ilvl w:val="0"/>
          <w:numId w:val="2"/>
        </w:numPr>
        <w:spacing w:after="40" w:before="40" w:line="276"/>
      </w:pPr>
      <w:r>
        <w:rPr>
          <w:rFonts w:ascii="Arial" w:cs="Arial" w:eastAsia="Arial" w:hAnsi="Arial"/>
          <w:color w:val="333333"/>
          <w:sz w:val="20"/>
          <w:szCs w:val="20"/>
        </w:rPr>
        <w:t xml:space="preserve">Interest in future re-engagement with the organization</w:t>
      </w:r>
    </w:p>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6.4 Data Utilization</w:t>
      </w:r>
    </w:p>
    <w:p>
      <w:pPr>
        <w:spacing w:after="60" w:before="60" w:line="276"/>
      </w:pPr>
      <w:r>
        <w:rPr>
          <w:rFonts w:ascii="Arial" w:cs="Arial" w:eastAsia="Arial" w:hAnsi="Arial"/>
          <w:color w:val="333333"/>
          <w:sz w:val="20"/>
          <w:szCs w:val="20"/>
        </w:rPr>
        <w:t xml:space="preserve">Exit interview data is aggregated quarterly and presented to the People Analytics team and senior leadership. Trends, recurring themes, and department-level patterns are used to inform people strategy, retention programs, and management development initiatives. No individual responses are attributed to specific employees in organizational reports.</w:t>
      </w:r>
    </w:p>
    <w:p>
      <w:pPr>
        <w:spacing w:after="0" w:before="100"/>
      </w:pPr>
      <w:r>
        <w:rPr>
          <w:rFonts w:ascii="Arial" w:cs="Arial" w:eastAsia="Arial" w:hAnsi="Arial"/>
          <w:color w:val="333333"/>
          <w:sz w:val="20"/>
          <w:szCs w:val="20"/>
        </w:rPr>
        <w:t xml:space="preserve"/>
      </w:r>
    </w:p>
    <w:p>
      <w:pPr>
        <w:pStyle w:val="Heading1"/>
        <w:pBdr>
          <w:bottom w:val="single" w:color="2E6DA4" w:sz="8" w:space="4"/>
        </w:pBdr>
        <w:spacing w:after="160" w:before="320" w:line="276"/>
      </w:pPr>
      <w:r>
        <w:rPr>
          <w:rFonts w:ascii="Arial" w:cs="Arial" w:eastAsia="Arial" w:hAnsi="Arial"/>
          <w:b/>
          <w:bCs/>
          <w:color w:val="1E3A5F"/>
          <w:sz w:val="32"/>
          <w:szCs w:val="32"/>
        </w:rPr>
        <w:t xml:space="preserve">7. Asset Return</w:t>
      </w:r>
    </w:p>
    <w:p>
      <w:pPr>
        <w:pStyle w:val="Heading2"/>
        <w:spacing w:after="100" w:before="240" w:line="276"/>
      </w:pPr>
      <w:r>
        <w:rPr>
          <w:rFonts w:ascii="Arial" w:cs="Arial" w:eastAsia="Arial" w:hAnsi="Arial"/>
          <w:b/>
          <w:bCs/>
          <w:color w:val="2E6DA4"/>
          <w:sz w:val="24"/>
          <w:szCs w:val="24"/>
        </w:rPr>
        <w:t xml:space="preserve">7.1 Asset Return Obligations</w:t>
      </w:r>
    </w:p>
    <w:p>
      <w:pPr>
        <w:spacing w:after="60" w:before="60" w:line="276"/>
      </w:pPr>
      <w:r>
        <w:rPr>
          <w:rFonts w:ascii="Arial" w:cs="Arial" w:eastAsia="Arial" w:hAnsi="Arial"/>
          <w:color w:val="333333"/>
          <w:sz w:val="20"/>
          <w:szCs w:val="20"/>
        </w:rPr>
        <w:t xml:space="preserve">All company assets assigned to an employee during the course of their employment must be returned on or before the last working day. An incomplete or failed asset return will delay the processing of the final settlement and the issuance of the Relieving Letter.</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7.2 Asset Return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Category</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Examples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Responsible Team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IT &amp; Technology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Laptop, mobile phone, accessories, SIM card, USB tokens, webcam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IT Department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Physical Access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Office access card, keys, safe combinations, parking pass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Admin / Facilities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Documents &amp; Data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Confidential files, client data, proprietary documents, company records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Legal / Compliance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Financial Items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Corporate credit card, petty cash, purchase orders, travel advances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Finance / Accounts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Branded Assets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Company uniform, ID badge, marketing materials, merchandise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Admin / Brand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Digital Access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VPN credentials, cloud accounts, software licenses, email access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IT / Security</w:t>
            </w:r>
          </w:p>
        </w:tc>
      </w:tr>
    </w:tbl>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7.3 Asset Return Process</w:t>
      </w:r>
    </w:p>
    <w:p>
      <w:pPr>
        <w:spacing w:after="0" w:before="4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E3A5F"/>
                <w:sz w:val="22"/>
                <w:szCs w:val="22"/>
              </w:rPr>
              <w:t xml:space="preserve">Asset Register Generation</w:t>
            </w:r>
          </w:p>
          <w:p>
            <w:pPr>
              <w:spacing w:after="0" w:before="0" w:line="276"/>
            </w:pPr>
            <w:r>
              <w:rPr>
                <w:rFonts w:ascii="Arial" w:cs="Arial" w:eastAsia="Arial" w:hAnsi="Arial"/>
                <w:color w:val="333333"/>
                <w:sz w:val="20"/>
                <w:szCs w:val="20"/>
              </w:rPr>
              <w:t xml:space="preserve">IT and Admin departments generate a personalized asset list from the HRMS inventory system within 3 days of the resignation being accepted.</w:t>
            </w:r>
          </w:p>
        </w:tc>
      </w:tr>
      <w:tr>
        <w:tc>
          <w:tcPr>
            <w:tcW w:type="dxa" w:w="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E3A5F"/>
                <w:sz w:val="22"/>
                <w:szCs w:val="22"/>
              </w:rPr>
              <w:t xml:space="preserve">Employee Review</w:t>
            </w:r>
          </w:p>
          <w:p>
            <w:pPr>
              <w:spacing w:after="0" w:before="0" w:line="276"/>
            </w:pPr>
            <w:r>
              <w:rPr>
                <w:rFonts w:ascii="Arial" w:cs="Arial" w:eastAsia="Arial" w:hAnsi="Arial"/>
                <w:color w:val="333333"/>
                <w:sz w:val="20"/>
                <w:szCs w:val="20"/>
              </w:rPr>
              <w:t xml:space="preserve">The employee reviews the asset register, flags discrepancies, and begins preparing items for return. Any lost or damaged items must be reported to HR immediately.</w:t>
            </w:r>
          </w:p>
        </w:tc>
      </w:tr>
      <w:tr>
        <w:tc>
          <w:tcPr>
            <w:tcW w:type="dxa" w:w="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E3A5F"/>
                <w:sz w:val="22"/>
                <w:szCs w:val="22"/>
              </w:rPr>
              <w:t xml:space="preserve">Physical Return</w:t>
            </w:r>
          </w:p>
          <w:p>
            <w:pPr>
              <w:spacing w:after="0" w:before="0" w:line="276"/>
            </w:pPr>
            <w:r>
              <w:rPr>
                <w:rFonts w:ascii="Arial" w:cs="Arial" w:eastAsia="Arial" w:hAnsi="Arial"/>
                <w:color w:val="333333"/>
                <w:sz w:val="20"/>
                <w:szCs w:val="20"/>
              </w:rPr>
              <w:t xml:space="preserve">Assets are returned to the designated department (IT, Admin, Finance) against a signed receipt. Each department head confirms receipt and updates the inventory system.</w:t>
            </w:r>
          </w:p>
        </w:tc>
      </w:tr>
      <w:tr>
        <w:tc>
          <w:tcPr>
            <w:tcW w:type="dxa" w:w="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E3A5F"/>
                <w:sz w:val="22"/>
                <w:szCs w:val="22"/>
              </w:rPr>
              <w:t xml:space="preserve">Digital De-provisioning</w:t>
            </w:r>
          </w:p>
          <w:p>
            <w:pPr>
              <w:spacing w:after="0" w:before="0" w:line="276"/>
            </w:pPr>
            <w:r>
              <w:rPr>
                <w:rFonts w:ascii="Arial" w:cs="Arial" w:eastAsia="Arial" w:hAnsi="Arial"/>
                <w:color w:val="333333"/>
                <w:sz w:val="20"/>
                <w:szCs w:val="20"/>
              </w:rPr>
              <w:t xml:space="preserve">IT Security disables all access rights, retrieves data from company devices, and wipes devices before redeployment. Personal data is transferred to the employee upon verified request.</w:t>
            </w:r>
          </w:p>
        </w:tc>
      </w:tr>
      <w:tr>
        <w:tc>
          <w:tcPr>
            <w:tcW w:type="dxa" w:w="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E3A5F"/>
                <w:sz w:val="22"/>
                <w:szCs w:val="22"/>
              </w:rPr>
              <w:t xml:space="preserve">Clearance Sign-Off</w:t>
            </w:r>
          </w:p>
          <w:p>
            <w:pPr>
              <w:spacing w:after="0" w:before="0" w:line="276"/>
            </w:pPr>
            <w:r>
              <w:rPr>
                <w:rFonts w:ascii="Arial" w:cs="Arial" w:eastAsia="Arial" w:hAnsi="Arial"/>
                <w:color w:val="333333"/>
                <w:sz w:val="20"/>
                <w:szCs w:val="20"/>
              </w:rPr>
              <w:t xml:space="preserve">Each department signs off on the Clearance Certificate once all assets under their purview are returned satisfactorily. HR consolidates all sign-offs.</w:t>
            </w:r>
          </w:p>
        </w:tc>
      </w:tr>
      <w:tr>
        <w:tc>
          <w:tcPr>
            <w:tcW w:type="dxa" w:w="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6</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E3A5F"/>
                <w:sz w:val="22"/>
                <w:szCs w:val="22"/>
              </w:rPr>
              <w:t xml:space="preserve">Unresolved Items</w:t>
            </w:r>
          </w:p>
          <w:p>
            <w:pPr>
              <w:spacing w:after="0" w:before="0" w:line="276"/>
            </w:pPr>
            <w:r>
              <w:rPr>
                <w:rFonts w:ascii="Arial" w:cs="Arial" w:eastAsia="Arial" w:hAnsi="Arial"/>
                <w:color w:val="333333"/>
                <w:sz w:val="20"/>
                <w:szCs w:val="20"/>
              </w:rPr>
              <w:t xml:space="preserve">Any unreturned or damaged assets are valued by Finance. The cost recovery amount is deducted from the final settlement after providing a written notice to the employee.</w:t>
            </w:r>
          </w:p>
        </w:tc>
      </w:tr>
    </w:tbl>
    <w:p>
      <w:pPr>
        <w:spacing w:after="0" w:before="100"/>
      </w:pPr>
      <w:r>
        <w:rPr>
          <w:rFonts w:ascii="Arial" w:cs="Arial" w:eastAsia="Arial" w:hAnsi="Arial"/>
          <w:color w:val="333333"/>
          <w:sz w:val="20"/>
          <w:szCs w:val="20"/>
        </w:rPr>
        <w:t xml:space="preserve"/>
      </w:r>
    </w:p>
    <w:p>
      <w:r>
        <w:br w:type="page"/>
      </w:r>
    </w:p>
    <w:p>
      <w:pPr>
        <w:pStyle w:val="Heading1"/>
        <w:pBdr>
          <w:bottom w:val="single" w:color="2E6DA4" w:sz="8" w:space="4"/>
        </w:pBdr>
        <w:spacing w:after="160" w:before="320" w:line="276"/>
      </w:pPr>
      <w:r>
        <w:rPr>
          <w:rFonts w:ascii="Arial" w:cs="Arial" w:eastAsia="Arial" w:hAnsi="Arial"/>
          <w:b/>
          <w:bCs/>
          <w:color w:val="1E3A5F"/>
          <w:sz w:val="32"/>
          <w:szCs w:val="32"/>
        </w:rPr>
        <w:t xml:space="preserve">8. Final Settlement</w:t>
      </w:r>
    </w:p>
    <w:p>
      <w:pPr>
        <w:pStyle w:val="Heading2"/>
        <w:spacing w:after="100" w:before="240" w:line="276"/>
      </w:pPr>
      <w:r>
        <w:rPr>
          <w:rFonts w:ascii="Arial" w:cs="Arial" w:eastAsia="Arial" w:hAnsi="Arial"/>
          <w:b/>
          <w:bCs/>
          <w:color w:val="2E6DA4"/>
          <w:sz w:val="24"/>
          <w:szCs w:val="24"/>
        </w:rPr>
        <w:t xml:space="preserve">8.1 Components of Full &amp; Final Settlement</w:t>
      </w:r>
    </w:p>
    <w:p>
      <w:pPr>
        <w:spacing w:after="60" w:before="60" w:line="276"/>
      </w:pPr>
      <w:r>
        <w:rPr>
          <w:rFonts w:ascii="Arial" w:cs="Arial" w:eastAsia="Arial" w:hAnsi="Arial"/>
          <w:color w:val="333333"/>
          <w:sz w:val="20"/>
          <w:szCs w:val="20"/>
        </w:rPr>
        <w:t xml:space="preserve">The Full &amp; Final (F&amp;F) Settlement encompasses all outstanding financial obligations between the employee and the organization at the time of separation.</w:t>
      </w:r>
    </w:p>
    <w:p>
      <w:pPr>
        <w:spacing w:after="0" w:before="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Settlement Component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Basis of Calculation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Pending Salary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Salary for days worked in the final month, calculated on actual working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Earned Leave Encashment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Accumulated and unused earned leave, up to the maximum encashable limit per policy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Gratuity (if applicable)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As per applicable statutory formula based on years of service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Bonus / Incentive (pro-rated)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Pro-rated based on the organizational policy and performance cycle completion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Expense Reimbursements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All pending approved expense claims submitted prior to the last working day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Notice Pay Adjustment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Deduction if notice period was not served; payment if waived by the organization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Asset Recovery (if any)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Cost of unreturned or damaged company assets, per Finance valuation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Loan &amp; Advance Deductions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Recovery of any outstanding salary loans or travel/expense advances</w:t>
            </w:r>
          </w:p>
        </w:tc>
      </w:tr>
    </w:tbl>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8.2 Settlement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Timeline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Clearance certificate completion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Within 10 working days of last working day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Finance review and computation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10–15 working days post clearance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F&amp;F statement issued to employee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Employee receives statement for review and sign-off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F&amp;F payment credited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Within 30–45 days of the last working day (as per applicable law)</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Form 16 / Tax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Issued per statutory timelines (typically April–June of the next fiscal year)</w:t>
            </w:r>
          </w:p>
        </w:tc>
      </w:tr>
    </w:tbl>
    <w:p>
      <w:pPr>
        <w:spacing w:after="0" w:before="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pPr>
              <w:spacing w:after="0" w:before="0" w:line="276"/>
            </w:pPr>
            <w:r>
              <w:rPr>
                <w:rFonts w:ascii="Arial" w:cs="Arial" w:eastAsia="Arial" w:hAnsi="Arial"/>
                <w:b/>
                <w:bCs/>
                <w:color w:val="FFFFFF"/>
                <w:sz w:val="22"/>
                <w:szCs w:val="22"/>
              </w:rPr>
              <w:t xml:space="preserve">Dispute Resolution</w:t>
            </w:r>
          </w:p>
        </w:tc>
      </w:tr>
      <w:tr>
        <w:tc>
          <w:tcPr>
            <w:tcBorders>
              <w:top w:val="single" w:color="C0392B" w:sz="1"/>
              <w:left w:val="single" w:color="C0392B" w:sz="1"/>
              <w:bottom w:val="single" w:color="C0392B" w:sz="1"/>
              <w:right w:val="single" w:color="C0392B" w:sz="1"/>
            </w:tcBorders>
            <w:shd w:fill="FADBD8" w:val="clear"/>
            <w:tcMar>
              <w:top w:type="dxa" w:w="80"/>
              <w:left w:type="dxa" w:w="160"/>
              <w:bottom w:type="dxa" w:w="80"/>
              <w:right w:type="dxa" w:w="160"/>
            </w:tcMar>
          </w:tcPr>
          <w:p>
            <w:pPr>
              <w:spacing w:after="0" w:before="0" w:line="276"/>
            </w:pPr>
            <w:r>
              <w:rPr>
                <w:rFonts w:ascii="Arial" w:cs="Arial" w:eastAsia="Arial" w:hAnsi="Arial"/>
                <w:color w:val="333333"/>
                <w:sz w:val="20"/>
                <w:szCs w:val="20"/>
              </w:rPr>
              <w:t xml:space="preserve">If an employee disputes any component of the F&amp;F settlement, they must raise a written objection within 15 days of receiving the statement. HR and Finance will review and respond within 10 working days. Unresolved disputes may be escalated to the Grievance Committee.</w:t>
            </w:r>
          </w:p>
        </w:tc>
      </w:tr>
    </w:tbl>
    <w:p>
      <w:pPr>
        <w:spacing w:after="0" w:before="100"/>
      </w:pPr>
      <w:r>
        <w:rPr>
          <w:rFonts w:ascii="Arial" w:cs="Arial" w:eastAsia="Arial" w:hAnsi="Arial"/>
          <w:color w:val="333333"/>
          <w:sz w:val="20"/>
          <w:szCs w:val="20"/>
        </w:rPr>
        <w:t xml:space="preserve"/>
      </w:r>
    </w:p>
    <w:p>
      <w:pPr>
        <w:pStyle w:val="Heading1"/>
        <w:pBdr>
          <w:bottom w:val="single" w:color="2E6DA4" w:sz="8" w:space="4"/>
        </w:pBdr>
        <w:spacing w:after="160" w:before="320" w:line="276"/>
      </w:pPr>
      <w:r>
        <w:rPr>
          <w:rFonts w:ascii="Arial" w:cs="Arial" w:eastAsia="Arial" w:hAnsi="Arial"/>
          <w:b/>
          <w:bCs/>
          <w:color w:val="1E3A5F"/>
          <w:sz w:val="32"/>
          <w:szCs w:val="32"/>
        </w:rPr>
        <w:t xml:space="preserve">9. Rehire Eligibility</w:t>
      </w:r>
    </w:p>
    <w:p>
      <w:pPr>
        <w:pStyle w:val="Heading2"/>
        <w:spacing w:after="100" w:before="240" w:line="276"/>
      </w:pPr>
      <w:r>
        <w:rPr>
          <w:rFonts w:ascii="Arial" w:cs="Arial" w:eastAsia="Arial" w:hAnsi="Arial"/>
          <w:b/>
          <w:bCs/>
          <w:color w:val="2E6DA4"/>
          <w:sz w:val="24"/>
          <w:szCs w:val="24"/>
        </w:rPr>
        <w:t xml:space="preserve">9.1 Policy Statement</w:t>
      </w:r>
    </w:p>
    <w:p>
      <w:pPr>
        <w:spacing w:after="60" w:before="60" w:line="276"/>
      </w:pPr>
      <w:r>
        <w:rPr>
          <w:rFonts w:ascii="Arial" w:cs="Arial" w:eastAsia="Arial" w:hAnsi="Arial"/>
          <w:color w:val="333333"/>
          <w:sz w:val="20"/>
          <w:szCs w:val="20"/>
        </w:rPr>
        <w:t xml:space="preserve">The organization values the return of former employees ('Boomerang Employees') who bring institutional knowledge, evolved skills, and a refreshed perspective. Rehire decisions are evaluated case-by-case, subject to role availability and conduct record.</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9.2 Eligibility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Separation Type</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Rehire Eligibility</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line="276"/>
            </w:pPr>
            <w:r>
              <w:rPr>
                <w:rFonts w:ascii="Arial" w:cs="Arial" w:eastAsia="Arial" w:hAnsi="Arial"/>
                <w:b/>
                <w:bCs/>
                <w:color w:val="FFFFFF"/>
                <w:sz w:val="20"/>
                <w:szCs w:val="20"/>
              </w:rPr>
              <w:t xml:space="preserve">Waiting Period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Voluntary Resignation (good standing)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Eligible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No mandatory wait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Mutual Separation Agreement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Eligible (case-by-case)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6 months minimum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Redundancy / Layoff</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Preferred for open roles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None — priority candidates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Performance-Based Exit (PIP)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Conditional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12 months + re-evaluation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Misconduct / Termination for Cause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Not Eligible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Permanent (unless CHRO exception)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Absconding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Not Eligible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b w:val="false"/>
                <w:bCs w:val="false"/>
                <w:color w:val="333333"/>
                <w:sz w:val="20"/>
                <w:szCs w:val="20"/>
              </w:rPr>
              <w:t xml:space="preserve">Permanent</w:t>
            </w:r>
          </w:p>
        </w:tc>
      </w:tr>
    </w:tbl>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9.3 Rehire Process</w:t>
      </w:r>
    </w:p>
    <w:p>
      <w:pPr>
        <w:spacing w:after="0" w:before="4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Application</w:t>
            </w:r>
          </w:p>
          <w:p>
            <w:pPr>
              <w:spacing w:after="0" w:before="0" w:line="276"/>
            </w:pPr>
            <w:r>
              <w:rPr>
                <w:rFonts w:ascii="Arial" w:cs="Arial" w:eastAsia="Arial" w:hAnsi="Arial"/>
                <w:color w:val="333333"/>
                <w:sz w:val="20"/>
                <w:szCs w:val="20"/>
              </w:rPr>
              <w:t xml:space="preserve">Former employee applies through the standard recruitment process. In the application, they must disclose their prior employment with the organization.</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Employment History Check</w:t>
            </w:r>
          </w:p>
          <w:p>
            <w:pPr>
              <w:spacing w:after="0" w:before="0" w:line="276"/>
            </w:pPr>
            <w:r>
              <w:rPr>
                <w:rFonts w:ascii="Arial" w:cs="Arial" w:eastAsia="Arial" w:hAnsi="Arial"/>
                <w:color w:val="333333"/>
                <w:sz w:val="20"/>
                <w:szCs w:val="20"/>
              </w:rPr>
              <w:t xml:space="preserve">Talent Acquisition retrieves the former employee's HR file. Exit interview records, performance ratings, clearance status, and separation type are reviewed.</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Reference Validation</w:t>
            </w:r>
          </w:p>
          <w:p>
            <w:pPr>
              <w:spacing w:after="0" w:before="0" w:line="276"/>
            </w:pPr>
            <w:r>
              <w:rPr>
                <w:rFonts w:ascii="Arial" w:cs="Arial" w:eastAsia="Arial" w:hAnsi="Arial"/>
                <w:color w:val="333333"/>
                <w:sz w:val="20"/>
                <w:szCs w:val="20"/>
              </w:rPr>
              <w:t xml:space="preserve">A mandatory internal reference check is completed with the former manager and HRBP, even if an external reference is provided.</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Rehire Approval</w:t>
            </w:r>
          </w:p>
          <w:p>
            <w:pPr>
              <w:spacing w:after="0" w:before="0" w:line="276"/>
            </w:pPr>
            <w:r>
              <w:rPr>
                <w:rFonts w:ascii="Arial" w:cs="Arial" w:eastAsia="Arial" w:hAnsi="Arial"/>
                <w:color w:val="333333"/>
                <w:sz w:val="20"/>
                <w:szCs w:val="20"/>
              </w:rPr>
              <w:t xml:space="preserve">CHRO or designated HR leader provides formal rehire approval, particularly for Grade 6+ roles or any case where separation was not in good standing.</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Offer &amp; Service Credit</w:t>
            </w:r>
          </w:p>
          <w:p>
            <w:pPr>
              <w:spacing w:after="0" w:before="0" w:line="276"/>
            </w:pPr>
            <w:r>
              <w:rPr>
                <w:rFonts w:ascii="Arial" w:cs="Arial" w:eastAsia="Arial" w:hAnsi="Arial"/>
                <w:color w:val="333333"/>
                <w:sz w:val="20"/>
                <w:szCs w:val="20"/>
              </w:rPr>
              <w:t xml:space="preserve">Offer is made at the appropriate market rate for the new role. Previous service is generally not counted for seniority, leave, or gratuity — unless specifically stated in the offer letter.</w:t>
            </w:r>
          </w:p>
        </w:tc>
      </w:tr>
      <w:tr>
        <w:tc>
          <w:tcPr>
            <w:tcW w:type="dxa" w:w="800"/>
            <w:tcBorders>
              <w:top w:val="single" w:color="1A7A6E" w:sz="1"/>
              <w:left w:val="single" w:color="1A7A6E" w:sz="1"/>
              <w:bottom w:val="single" w:color="1A7A6E" w:sz="1"/>
              <w:right w:val="single" w:color="1A7A6E" w:sz="1"/>
            </w:tcBorders>
            <w:shd w:fill="1A7A6E" w:val="clear"/>
            <w:tcMar>
              <w:top w:type="dxa" w:w="100"/>
              <w:left w:type="dxa" w:w="120"/>
              <w:bottom w:type="dxa" w:w="100"/>
              <w:right w:type="dxa" w:w="120"/>
            </w:tcMar>
            <w:vAlign w:val="center"/>
          </w:tcPr>
          <w:p>
            <w:pPr>
              <w:spacing w:after="0" w:before="0" w:line="276"/>
              <w:jc w:val="center"/>
            </w:pPr>
            <w:r>
              <w:rPr>
                <w:rFonts w:ascii="Arial" w:cs="Arial" w:eastAsia="Arial" w:hAnsi="Arial"/>
                <w:b/>
                <w:bCs/>
                <w:color w:val="FFFFFF"/>
                <w:sz w:val="24"/>
                <w:szCs w:val="24"/>
              </w:rPr>
              <w:t xml:space="preserve">6</w:t>
            </w:r>
          </w:p>
        </w:tc>
        <w:tc>
          <w:tcPr>
            <w:tcW w:type="dxa" w:w="8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tcPr>
          <w:p>
            <w:pPr>
              <w:spacing w:after="40" w:before="0" w:line="276"/>
            </w:pPr>
            <w:r>
              <w:rPr>
                <w:rFonts w:ascii="Arial" w:cs="Arial" w:eastAsia="Arial" w:hAnsi="Arial"/>
                <w:b/>
                <w:bCs/>
                <w:color w:val="1A7A6E"/>
                <w:sz w:val="22"/>
                <w:szCs w:val="22"/>
              </w:rPr>
              <w:t xml:space="preserve">Re-Onboarding</w:t>
            </w:r>
          </w:p>
          <w:p>
            <w:pPr>
              <w:spacing w:after="0" w:before="0" w:line="276"/>
            </w:pPr>
            <w:r>
              <w:rPr>
                <w:rFonts w:ascii="Arial" w:cs="Arial" w:eastAsia="Arial" w:hAnsi="Arial"/>
                <w:color w:val="333333"/>
                <w:sz w:val="20"/>
                <w:szCs w:val="20"/>
              </w:rPr>
              <w:t xml:space="preserve">Rehired employees undergo a tailored onboarding program acknowledging their prior experience, with targeted refreshers on any policy, process, or system changes since their departure.</w:t>
            </w:r>
          </w:p>
        </w:tc>
      </w:tr>
    </w:tbl>
    <w:p>
      <w:pPr>
        <w:spacing w:after="0" w:before="100"/>
      </w:pPr>
      <w:r>
        <w:rPr>
          <w:rFonts w:ascii="Arial" w:cs="Arial" w:eastAsia="Arial" w:hAnsi="Arial"/>
          <w:color w:val="333333"/>
          <w:sz w:val="20"/>
          <w:szCs w:val="20"/>
        </w:rPr>
        <w:t xml:space="preserve"/>
      </w:r>
    </w:p>
    <w:p>
      <w:r>
        <w:br w:type="page"/>
      </w:r>
    </w:p>
    <w:p>
      <w:pPr>
        <w:pStyle w:val="Heading1"/>
        <w:pBdr>
          <w:bottom w:val="single" w:color="2E6DA4" w:sz="8" w:space="4"/>
        </w:pBdr>
        <w:spacing w:after="160" w:before="320" w:line="276"/>
      </w:pPr>
      <w:r>
        <w:rPr>
          <w:rFonts w:ascii="Arial" w:cs="Arial" w:eastAsia="Arial" w:hAnsi="Arial"/>
          <w:b/>
          <w:bCs/>
          <w:color w:val="1E3A5F"/>
          <w:sz w:val="32"/>
          <w:szCs w:val="32"/>
        </w:rPr>
        <w:t xml:space="preserve">10. Frequently Asked Questions (FAQs)</w:t>
      </w:r>
    </w:p>
    <w:p>
      <w:pPr>
        <w:pStyle w:val="Heading2"/>
        <w:spacing w:after="100" w:before="240" w:line="276"/>
      </w:pPr>
      <w:r>
        <w:rPr>
          <w:rFonts w:ascii="Arial" w:cs="Arial" w:eastAsia="Arial" w:hAnsi="Arial"/>
          <w:b/>
          <w:bCs/>
          <w:color w:val="2E6DA4"/>
          <w:sz w:val="24"/>
          <w:szCs w:val="24"/>
        </w:rPr>
        <w:t xml:space="preserve">10.1 Internal Transfers &amp; Promotions</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Can I apply for an internal transfer if I am on a PIP?</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No. Employees on an active PIP are not eligible to initiate transfer requests. The PIP must be formally closed with a satisfactory outcome before an ITRF can be submitted.</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Is there a limit to how many times I can request a transfer?</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Employees may submit one transfer request per 12-month period. Repeated requests within this window will require CHRO approval.</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What happens to my leave balance when I transfer to a new department?</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Leave balances carry over fully when an employee transfers internally. There is no impact on leave entitlements during an internal transfer.</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I was promoted last year. Can I be nominated again this cycle?</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Yes, but only in exceptional cases where the employee has demonstrated extraordinary growth and a current-grade role is no longer available. This requires calibration committee approval.</w:t>
      </w:r>
    </w:p>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10.2 PIPs and Performance</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If I disagree with the PIP, do I have to sign it?</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Signing the PIP acknowledges receipt, not agreement. You may add written comments to the document at the time of signing. If you refuse to sign, HR will note the refusal and proceed with the PIP as issued.</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Can I be terminated immediately without a PIP?</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In cases of gross misconduct, fraud, or violation of the Code of Conduct, termination may occur without a PIP. For performance-related separations, a PIP is a required precursor step.</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What support does the organization provide during a PIP?</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Employees on a PIP are entitled to: a designated mentor or coach (upon request), access to relevant training and skill-building resources, and regular documented feedback sessions from their manager.</w:t>
      </w:r>
    </w:p>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10.3 Resignation and Notice Period</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Can my manager reject my resignation?</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No. Resignations cannot legally be rejected. However, the manager may request a discussion to attempt retention. The organization reserves the right to negotiate the effective date.</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What happens if I don't serve my full notice period?</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If you leave before completing your notice period without organizational consent, the shortfall days are deducted from your final settlement at your last-drawn basic daily rate.</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Will I receive my Relieving Letter if I don't complete the exit process?</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The Relieving Letter is issued only upon completion of the clearance process, including asset return and exit interview. Incomplete clearances will delay or withhold this document.</w:t>
      </w:r>
    </w:p>
    <w:p>
      <w:pPr>
        <w:spacing w:after="0" w:before="8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10.4 Final Settlement and Rehire</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When will I receive my final payslip and Form 16?</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Your final payslip will be issued with the F&amp;F statement within 30–45 days of your last working day. Form 16 is issued annually per statutory timelines, typically by June 15 of the following fiscal year.</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If I left due to a layoff and want to come back, do I get priority consideration?</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Yes. Employees separated due to organizational restructuring or role redundancy are maintained on a Priority Rehire List and are actively considered for relevant open positions for up to 24 months.</w:t>
      </w:r>
    </w:p>
    <w:p>
      <w:pPr>
        <w:spacing w:after="40" w:before="120" w:line="276"/>
      </w:pPr>
      <w:r>
        <w:rPr>
          <w:rFonts w:ascii="Arial" w:cs="Arial" w:eastAsia="Arial" w:hAnsi="Arial"/>
          <w:b/>
          <w:bCs/>
          <w:color w:val="2E6DA4"/>
          <w:sz w:val="20"/>
          <w:szCs w:val="20"/>
        </w:rPr>
        <w:t xml:space="preserve">Q: </w:t>
      </w:r>
      <w:r>
        <w:rPr>
          <w:rFonts w:ascii="Arial" w:cs="Arial" w:eastAsia="Arial" w:hAnsi="Arial"/>
          <w:b/>
          <w:bCs/>
          <w:color w:val="1E3A5F"/>
          <w:sz w:val="20"/>
          <w:szCs w:val="20"/>
        </w:rPr>
        <w:t xml:space="preserve">Does my previous service count toward gratuity or leave if I am rehired?</w:t>
      </w:r>
    </w:p>
    <w:p>
      <w:pPr>
        <w:spacing w:after="80" w:before="0" w:line="276"/>
        <w:ind w:left="360"/>
      </w:pPr>
      <w:r>
        <w:rPr>
          <w:rFonts w:ascii="Arial" w:cs="Arial" w:eastAsia="Arial" w:hAnsi="Arial"/>
          <w:b/>
          <w:bCs/>
          <w:color w:val="1A7A6E"/>
          <w:sz w:val="20"/>
          <w:szCs w:val="20"/>
        </w:rPr>
        <w:t xml:space="preserve">A: </w:t>
      </w:r>
      <w:r>
        <w:rPr>
          <w:rFonts w:ascii="Arial" w:cs="Arial" w:eastAsia="Arial" w:hAnsi="Arial"/>
          <w:color w:val="333333"/>
          <w:sz w:val="20"/>
          <w:szCs w:val="20"/>
        </w:rPr>
        <w:t xml:space="preserve">Prior service is generally not counted toward statutory benefits in a rehire scenario unless explicitly agreed in writing in the new offer letter, in accordance with applicable law.</w:t>
      </w:r>
    </w:p>
    <w:p>
      <w:pPr>
        <w:spacing w:after="0" w:before="100"/>
      </w:pPr>
      <w:r>
        <w:rPr>
          <w:rFonts w:ascii="Arial" w:cs="Arial" w:eastAsia="Arial" w:hAnsi="Arial"/>
          <w:color w:val="333333"/>
          <w:sz w:val="20"/>
          <w:szCs w:val="20"/>
        </w:rPr>
        <w:t xml:space="preserve"/>
      </w:r>
    </w:p>
    <w:p>
      <w:r>
        <w:br w:type="page"/>
      </w:r>
    </w:p>
    <w:p>
      <w:pPr>
        <w:pStyle w:val="Heading1"/>
        <w:pBdr>
          <w:bottom w:val="single" w:color="2E6DA4" w:sz="8" w:space="4"/>
        </w:pBdr>
        <w:spacing w:after="160" w:before="320" w:line="276"/>
      </w:pPr>
      <w:r>
        <w:rPr>
          <w:rFonts w:ascii="Arial" w:cs="Arial" w:eastAsia="Arial" w:hAnsi="Arial"/>
          <w:b/>
          <w:bCs/>
          <w:color w:val="1E3A5F"/>
          <w:sz w:val="32"/>
          <w:szCs w:val="32"/>
        </w:rPr>
        <w:t xml:space="preserve">11. Policy Compliance and Amendments</w:t>
      </w:r>
    </w:p>
    <w:p>
      <w:pPr>
        <w:pStyle w:val="Heading2"/>
        <w:spacing w:after="100" w:before="240" w:line="276"/>
      </w:pPr>
      <w:r>
        <w:rPr>
          <w:rFonts w:ascii="Arial" w:cs="Arial" w:eastAsia="Arial" w:hAnsi="Arial"/>
          <w:b/>
          <w:bCs/>
          <w:color w:val="2E6DA4"/>
          <w:sz w:val="24"/>
          <w:szCs w:val="24"/>
        </w:rPr>
        <w:t xml:space="preserve">11.1 Non-Compliance</w:t>
      </w:r>
    </w:p>
    <w:p>
      <w:pPr>
        <w:spacing w:after="60" w:before="60" w:line="276"/>
      </w:pPr>
      <w:r>
        <w:rPr>
          <w:rFonts w:ascii="Arial" w:cs="Arial" w:eastAsia="Arial" w:hAnsi="Arial"/>
          <w:color w:val="333333"/>
          <w:sz w:val="20"/>
          <w:szCs w:val="20"/>
        </w:rPr>
        <w:t xml:space="preserve">Any manager, HR professional, or employee found to be circumventing this policy — whether through procedural shortcuts, failure to document, or exercising undue influence on an employee during any lifecycle stage — will be subject to disciplinary action up to and including termination.</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11.2 Policy Amendments</w:t>
      </w:r>
    </w:p>
    <w:p>
      <w:pPr>
        <w:spacing w:after="60" w:before="60" w:line="276"/>
      </w:pPr>
      <w:r>
        <w:rPr>
          <w:rFonts w:ascii="Arial" w:cs="Arial" w:eastAsia="Arial" w:hAnsi="Arial"/>
          <w:color w:val="333333"/>
          <w:sz w:val="20"/>
          <w:szCs w:val="20"/>
        </w:rPr>
        <w:t xml:space="preserve">This policy is reviewed annually by the HR Leadership team in consultation with Legal and Compliance. Material amendments are communicated to all employees via official channels at least 30 days before the effective date of change. Employees are required to acknowledge revised policies via the HRMS portal.</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11.3 Grievance Mechanism</w:t>
      </w:r>
    </w:p>
    <w:p>
      <w:pPr>
        <w:spacing w:after="60" w:before="60" w:line="276"/>
      </w:pPr>
      <w:r>
        <w:rPr>
          <w:rFonts w:ascii="Arial" w:cs="Arial" w:eastAsia="Arial" w:hAnsi="Arial"/>
          <w:color w:val="333333"/>
          <w:sz w:val="20"/>
          <w:szCs w:val="20"/>
        </w:rPr>
        <w:t xml:space="preserve">Employees who believe this policy has been applied unfairly may raise a formal grievance through:</w:t>
      </w:r>
    </w:p>
    <w:p>
      <w:pPr>
        <w:pStyle w:val="ListParagraph"/>
        <w:numPr>
          <w:ilvl w:val="0"/>
          <w:numId w:val="2"/>
        </w:numPr>
        <w:spacing w:after="40" w:before="40" w:line="276"/>
      </w:pPr>
      <w:r>
        <w:rPr>
          <w:rFonts w:ascii="Arial" w:cs="Arial" w:eastAsia="Arial" w:hAnsi="Arial"/>
          <w:color w:val="333333"/>
          <w:sz w:val="20"/>
          <w:szCs w:val="20"/>
        </w:rPr>
        <w:t xml:space="preserve">Their HRBP or HR Head</w:t>
      </w:r>
    </w:p>
    <w:p>
      <w:pPr>
        <w:pStyle w:val="ListParagraph"/>
        <w:numPr>
          <w:ilvl w:val="0"/>
          <w:numId w:val="2"/>
        </w:numPr>
        <w:spacing w:after="40" w:before="40" w:line="276"/>
      </w:pPr>
      <w:r>
        <w:rPr>
          <w:rFonts w:ascii="Arial" w:cs="Arial" w:eastAsia="Arial" w:hAnsi="Arial"/>
          <w:color w:val="333333"/>
          <w:sz w:val="20"/>
          <w:szCs w:val="20"/>
        </w:rPr>
        <w:t xml:space="preserve">The anonymous Ethics Hotline (available 24/7)</w:t>
      </w:r>
    </w:p>
    <w:p>
      <w:pPr>
        <w:pStyle w:val="ListParagraph"/>
        <w:numPr>
          <w:ilvl w:val="0"/>
          <w:numId w:val="2"/>
        </w:numPr>
        <w:spacing w:after="40" w:before="40" w:line="276"/>
      </w:pPr>
      <w:r>
        <w:rPr>
          <w:rFonts w:ascii="Arial" w:cs="Arial" w:eastAsia="Arial" w:hAnsi="Arial"/>
          <w:color w:val="333333"/>
          <w:sz w:val="20"/>
          <w:szCs w:val="20"/>
        </w:rPr>
        <w:t xml:space="preserve">Direct communication with the CHRO for unresolved matters</w:t>
      </w:r>
    </w:p>
    <w:p>
      <w:pPr>
        <w:spacing w:after="0" w:before="60"/>
      </w:pPr>
      <w:r>
        <w:rPr>
          <w:rFonts w:ascii="Arial" w:cs="Arial" w:eastAsia="Arial" w:hAnsi="Arial"/>
          <w:color w:val="333333"/>
          <w:sz w:val="20"/>
          <w:szCs w:val="20"/>
        </w:rPr>
        <w:t xml:space="preserve"/>
      </w:r>
    </w:p>
    <w:p>
      <w:pPr>
        <w:pStyle w:val="Heading2"/>
        <w:spacing w:after="100" w:before="240" w:line="276"/>
      </w:pPr>
      <w:r>
        <w:rPr>
          <w:rFonts w:ascii="Arial" w:cs="Arial" w:eastAsia="Arial" w:hAnsi="Arial"/>
          <w:b/>
          <w:bCs/>
          <w:color w:val="2E6DA4"/>
          <w:sz w:val="24"/>
          <w:szCs w:val="24"/>
        </w:rPr>
        <w:t xml:space="preserve">11.4 Related Policies</w:t>
      </w:r>
    </w:p>
    <w:p>
      <w:pPr>
        <w:pStyle w:val="ListParagraph"/>
        <w:numPr>
          <w:ilvl w:val="0"/>
          <w:numId w:val="2"/>
        </w:numPr>
        <w:spacing w:after="40" w:before="40" w:line="276"/>
      </w:pPr>
      <w:r>
        <w:rPr>
          <w:rFonts w:ascii="Arial" w:cs="Arial" w:eastAsia="Arial" w:hAnsi="Arial"/>
          <w:color w:val="333333"/>
          <w:sz w:val="20"/>
          <w:szCs w:val="20"/>
        </w:rPr>
        <w:t xml:space="preserve">Code of Conduct &amp; Ethics Policy</w:t>
      </w:r>
    </w:p>
    <w:p>
      <w:pPr>
        <w:pStyle w:val="ListParagraph"/>
        <w:numPr>
          <w:ilvl w:val="0"/>
          <w:numId w:val="2"/>
        </w:numPr>
        <w:spacing w:after="40" w:before="40" w:line="276"/>
      </w:pPr>
      <w:r>
        <w:rPr>
          <w:rFonts w:ascii="Arial" w:cs="Arial" w:eastAsia="Arial" w:hAnsi="Arial"/>
          <w:color w:val="333333"/>
          <w:sz w:val="20"/>
          <w:szCs w:val="20"/>
        </w:rPr>
        <w:t xml:space="preserve">Compensation &amp; Benefits Policy</w:t>
      </w:r>
    </w:p>
    <w:p>
      <w:pPr>
        <w:pStyle w:val="ListParagraph"/>
        <w:numPr>
          <w:ilvl w:val="0"/>
          <w:numId w:val="2"/>
        </w:numPr>
        <w:spacing w:after="40" w:before="40" w:line="276"/>
      </w:pPr>
      <w:r>
        <w:rPr>
          <w:rFonts w:ascii="Arial" w:cs="Arial" w:eastAsia="Arial" w:hAnsi="Arial"/>
          <w:color w:val="333333"/>
          <w:sz w:val="20"/>
          <w:szCs w:val="20"/>
        </w:rPr>
        <w:t xml:space="preserve">Grievance Redressal Policy</w:t>
      </w:r>
    </w:p>
    <w:p>
      <w:pPr>
        <w:pStyle w:val="ListParagraph"/>
        <w:numPr>
          <w:ilvl w:val="0"/>
          <w:numId w:val="2"/>
        </w:numPr>
        <w:spacing w:after="40" w:before="40" w:line="276"/>
      </w:pPr>
      <w:r>
        <w:rPr>
          <w:rFonts w:ascii="Arial" w:cs="Arial" w:eastAsia="Arial" w:hAnsi="Arial"/>
          <w:color w:val="333333"/>
          <w:sz w:val="20"/>
          <w:szCs w:val="20"/>
        </w:rPr>
        <w:t xml:space="preserve">Data Privacy &amp; Confidentiality Policy</w:t>
      </w:r>
    </w:p>
    <w:p>
      <w:pPr>
        <w:pStyle w:val="ListParagraph"/>
        <w:numPr>
          <w:ilvl w:val="0"/>
          <w:numId w:val="2"/>
        </w:numPr>
        <w:spacing w:after="40" w:before="40" w:line="276"/>
      </w:pPr>
      <w:r>
        <w:rPr>
          <w:rFonts w:ascii="Arial" w:cs="Arial" w:eastAsia="Arial" w:hAnsi="Arial"/>
          <w:color w:val="333333"/>
          <w:sz w:val="20"/>
          <w:szCs w:val="20"/>
        </w:rPr>
        <w:t xml:space="preserve">Anti-Discrimination and Equal Opportunity Policy</w:t>
      </w:r>
    </w:p>
    <w:p>
      <w:pPr>
        <w:spacing w:after="0" w:before="120"/>
      </w:pPr>
      <w:r>
        <w:rPr>
          <w:rFonts w:ascii="Arial" w:cs="Arial" w:eastAsia="Arial" w:hAnsi="Arial"/>
          <w:color w:val="333333"/>
          <w:sz w:val="20"/>
          <w:szCs w:val="20"/>
        </w:rPr>
        <w:t xml:space="preserve"/>
      </w:r>
    </w:p>
    <w:p>
      <w:pPr>
        <w:spacing w:after="0" w:before="0" w:line="276"/>
        <w:jc w:val="center"/>
      </w:pPr>
      <w:r>
        <w:rPr>
          <w:rFonts w:ascii="Arial" w:cs="Arial" w:eastAsia="Arial" w:hAnsi="Arial"/>
          <w:i/>
          <w:iCs/>
          <w:color w:val="555555"/>
          <w:sz w:val="20"/>
          <w:szCs w:val="20"/>
        </w:rPr>
        <w:t xml:space="preserve">— End of Employee Lifecycle Policy —</w:t>
      </w:r>
    </w:p>
    <w:p>
      <w:pPr>
        <w:spacing w:after="0" w:before="40"/>
      </w:pPr>
      <w:r>
        <w:rPr>
          <w:rFonts w:ascii="Arial" w:cs="Arial" w:eastAsia="Arial" w:hAnsi="Arial"/>
          <w:color w:val="333333"/>
          <w:sz w:val="20"/>
          <w:szCs w:val="20"/>
        </w:rPr>
        <w:t xml:space="preserve"/>
      </w:r>
    </w:p>
    <w:p>
      <w:pPr>
        <w:spacing w:after="0" w:before="0" w:line="276"/>
        <w:jc w:val="center"/>
      </w:pPr>
      <w:r>
        <w:rPr>
          <w:rFonts w:ascii="Arial" w:cs="Arial" w:eastAsia="Arial" w:hAnsi="Arial"/>
          <w:color w:val="CCCCCC"/>
          <w:sz w:val="18"/>
          <w:szCs w:val="18"/>
        </w:rPr>
        <w:t xml:space="preserve">Document Version 2.0  |  June 2026  |  HR &amp; People Operations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line="276"/>
    </w:pPr>
    <w:r>
      <w:rPr>
        <w:rFonts w:ascii="Arial" w:cs="Arial" w:eastAsia="Arial" w:hAnsi="Arial"/>
        <w:color w:val="555555"/>
        <w:sz w:val="16"/>
        <w:szCs w:val="16"/>
      </w:rPr>
      <w:t xml:space="preserve">Confidential | Internal Use Only</w:t>
    </w:r>
    <w:r>
      <w:rPr>
        <w:rFonts w:ascii="Arial" w:cs="Arial" w:eastAsia="Arial" w:hAnsi="Arial"/>
        <w:color w:val="555555"/>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single" w:color="2E6DA4" w:sz="6" w:space="1"/>
            <w:right w:val="none" w:color="FFFFFF" w:sz="0"/>
          </w:tcBorders>
          <w:tcMar>
            <w:top w:type="dxa" w:w="60"/>
            <w:left w:type="dxa" w:w="0"/>
            <w:bottom w:type="dxa" w:w="60"/>
            <w:right w:type="dxa" w:w="120"/>
          </w:tcMar>
        </w:tcPr>
        <w:p>
          <w:pPr>
            <w:spacing w:after="0" w:before="0" w:line="276"/>
          </w:pPr>
          <w:r>
            <w:rPr>
              <w:rFonts w:ascii="Arial" w:cs="Arial" w:eastAsia="Arial" w:hAnsi="Arial"/>
              <w:b/>
              <w:bCs/>
              <w:color w:val="1E3A5F"/>
              <w:sz w:val="16"/>
              <w:szCs w:val="16"/>
            </w:rPr>
            <w:t xml:space="preserve">EMPLOYEE LIFECYCLE POLICY</w:t>
          </w:r>
        </w:p>
      </w:tc>
      <w:tc>
        <w:tcPr>
          <w:tcW w:type="dxa" w:w="2880"/>
          <w:tcBorders>
            <w:top w:val="none" w:color="FFFFFF" w:sz="0"/>
            <w:left w:val="none" w:color="FFFFFF" w:sz="0"/>
            <w:bottom w:val="single" w:color="2E6DA4" w:sz="6" w:space="1"/>
            <w:right w:val="none" w:color="FFFFFF" w:sz="0"/>
          </w:tcBorders>
          <w:tcMar>
            <w:top w:type="dxa" w:w="60"/>
            <w:left w:type="dxa" w:w="120"/>
            <w:bottom w:type="dxa" w:w="60"/>
            <w:right w:type="dxa" w:w="0"/>
          </w:tcMar>
        </w:tcPr>
        <w:p>
          <w:pPr>
            <w:spacing w:after="0" w:before="0" w:line="276"/>
            <w:jc w:val="right"/>
          </w:pPr>
          <w:r>
            <w:rPr>
              <w:rFonts w:ascii="Arial" w:cs="Arial" w:eastAsia="Arial" w:hAnsi="Arial"/>
              <w:color w:val="555555"/>
              <w:sz w:val="16"/>
              <w:szCs w:val="16"/>
            </w:rPr>
            <w:t xml:space="preserve">HR &amp; People Operations |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2026-06-05T06:26:26.240Z</dcterms:created>
  <dcterms:modified xsi:type="dcterms:W3CDTF">2026-06-05T06:26:26.240Z</dcterms:modified>
</cp:coreProperties>
</file>

<file path=docProps/custom.xml><?xml version="1.0" encoding="utf-8"?>
<Properties xmlns="http://schemas.openxmlformats.org/officeDocument/2006/custom-properties" xmlns:vt="http://schemas.openxmlformats.org/officeDocument/2006/docPropsVTypes"/>
</file>