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b/>
          <w:sz w:val="32"/>
        </w:rPr>
        <w:t>UMAPRASATH UDAIYAR</w:t>
      </w:r>
    </w:p>
    <w:p>
      <w:pPr>
        <w:spacing w:before="0" w:after="0" w:line="240" w:lineRule="auto"/>
        <w:jc w:val="center"/>
      </w:pPr>
      <w:r>
        <w:rPr>
          <w:b/>
          <w:sz w:val="22"/>
        </w:rPr>
        <w:t>VP Engineering • Architecture • Transformation • AI-Driven Productivity</w:t>
      </w:r>
    </w:p>
    <w:p>
      <w:pPr>
        <w:spacing w:before="0" w:after="0" w:line="240" w:lineRule="auto"/>
        <w:jc w:val="center"/>
      </w:pPr>
      <w:r>
        <w:rPr>
          <w:sz w:val="20"/>
        </w:rPr>
        <w:t>+1 980-401-2087 • umaprasath.lru@gmail.com • linkedin.com/in/umaprasathudaiyar • Remote (US)</w:t>
      </w:r>
    </w:p>
    <w:p>
      <w:pPr>
        <w:spacing w:before="0" w:after="0" w:line="240" w:lineRule="auto"/>
      </w:pPr>
      <w:r>
        <w:rPr>
          <w:b/>
          <w:sz w:val="20"/>
        </w:rPr>
        <w:t>EXECUTIVE SUMMARY</w:t>
      </w:r>
    </w:p>
    <w:p>
      <w:pPr>
        <w:pStyle w:val="ListBullet"/>
        <w:spacing w:before="0" w:after="0" w:line="240" w:lineRule="auto"/>
      </w:pPr>
      <w:r>
        <w:rPr>
          <w:sz w:val="20"/>
        </w:rPr>
        <w:t>Senior technology executive with 23+ years leading enterprise-scale engineering across financial services, wealth management, consumer lending, e-commerce, and digital health.</w:t>
      </w:r>
    </w:p>
    <w:p>
      <w:pPr>
        <w:pStyle w:val="ListBullet"/>
        <w:spacing w:before="0" w:after="0" w:line="240" w:lineRule="auto"/>
      </w:pPr>
      <w:r>
        <w:rPr>
          <w:sz w:val="20"/>
        </w:rPr>
        <w:t>Built and scaled distributed orgs of 45–110+ engineers with full budget ownership ($3M–$5M), aligning architecture and execution to measurable business outcomes.</w:t>
      </w:r>
    </w:p>
    <w:p>
      <w:pPr>
        <w:pStyle w:val="ListBullet"/>
        <w:spacing w:before="0" w:after="0" w:line="240" w:lineRule="auto"/>
      </w:pPr>
      <w:r>
        <w:rPr>
          <w:sz w:val="20"/>
        </w:rPr>
        <w:t>Modernized architectures (monolith → service-oriented), raised quality/reliability, and improved delivery throughput via DevSecOps automation and AI-enabled workflows (including agentic automation and Claude Code/GitLab Duo-class assistants).</w:t>
      </w:r>
    </w:p>
    <w:p>
      <w:pPr>
        <w:spacing w:before="0" w:after="0" w:line="240" w:lineRule="auto"/>
      </w:pPr>
      <w:r>
        <w:rPr>
          <w:b/>
          <w:sz w:val="20"/>
        </w:rPr>
        <w:t>SIGNATURE STRENGTHS (FIT FOR GITLAB ELT PILLAR)</w:t>
      </w:r>
    </w:p>
    <w:p>
      <w:pPr>
        <w:pStyle w:val="ListBullet"/>
        <w:spacing w:before="0" w:after="0" w:line="240" w:lineRule="auto"/>
      </w:pPr>
      <w:r>
        <w:rPr>
          <w:sz w:val="20"/>
        </w:rPr>
        <w:t>Horizontal execution &amp; engineering excellence: standards, governance, reusable primitives, and embedded teams that unblock verticals.</w:t>
      </w:r>
    </w:p>
    <w:p>
      <w:pPr>
        <w:pStyle w:val="ListBullet"/>
        <w:spacing w:before="0" w:after="0" w:line="240" w:lineRule="auto"/>
      </w:pPr>
      <w:r>
        <w:rPr>
          <w:sz w:val="20"/>
        </w:rPr>
        <w:t>Architecture modernization: domain decomposition, API/platform primitives, event-driven patterns, and cloud-native scalability for enterprise customers.</w:t>
      </w:r>
    </w:p>
    <w:p>
      <w:pPr>
        <w:pStyle w:val="ListBullet"/>
        <w:spacing w:before="0" w:after="0" w:line="240" w:lineRule="auto"/>
      </w:pPr>
      <w:r>
        <w:rPr>
          <w:sz w:val="20"/>
        </w:rPr>
        <w:t>World-scale operations: SLO-driven reliability, observability, incident learning loops, and compliance-first delivery in regulated environments.</w:t>
      </w:r>
    </w:p>
    <w:p>
      <w:pPr>
        <w:pStyle w:val="ListBullet"/>
        <w:spacing w:before="0" w:after="0" w:line="240" w:lineRule="auto"/>
      </w:pPr>
      <w:r>
        <w:rPr>
          <w:sz w:val="20"/>
        </w:rPr>
        <w:t>AI-assisted productivity: applied AI/automation to reduce non-creative work and accelerate teams; operationalized LLM-assisted development workflows to speed refactoring and review cycles.</w:t>
      </w:r>
    </w:p>
    <w:p>
      <w:pPr>
        <w:pStyle w:val="ListBullet"/>
        <w:spacing w:before="0" w:after="0" w:line="240" w:lineRule="auto"/>
      </w:pPr>
      <w:r>
        <w:rPr>
          <w:sz w:val="20"/>
        </w:rPr>
        <w:t>Cost &amp; COGS discipline: cloud and vendor optimization without compromising availability or security.</w:t>
      </w:r>
    </w:p>
    <w:p>
      <w:pPr>
        <w:spacing w:before="0" w:after="0" w:line="240" w:lineRule="auto"/>
      </w:pPr>
      <w:r>
        <w:rPr>
          <w:b/>
          <w:sz w:val="20"/>
        </w:rPr>
        <w:t>PROFESSIONAL EXPERIENCE</w:t>
      </w:r>
    </w:p>
    <w:p>
      <w:pPr>
        <w:spacing w:before="0" w:after="0" w:line="240" w:lineRule="auto"/>
      </w:pPr>
      <w:r>
        <w:rPr>
          <w:b/>
          <w:sz w:val="20"/>
        </w:rPr>
        <w:t>LendingPoint — Senior Vice President, Architecture &amp; Applications | Irving, TX (Remote) | Mar 2025 – Dec 2025</w:t>
      </w:r>
    </w:p>
    <w:p>
      <w:pPr>
        <w:pStyle w:val="ListBullet"/>
        <w:spacing w:before="0" w:after="0" w:line="240" w:lineRule="auto"/>
      </w:pPr>
      <w:r>
        <w:rPr>
          <w:sz w:val="20"/>
        </w:rPr>
        <w:t>Reported to CTO; owned $5M budget and led 45+ technologists across enterprise architecture and application development for a $500M+ lending platform.</w:t>
      </w:r>
    </w:p>
    <w:p>
      <w:pPr>
        <w:pStyle w:val="ListBullet"/>
        <w:spacing w:before="0" w:after="0" w:line="240" w:lineRule="auto"/>
      </w:pPr>
      <w:r>
        <w:rPr>
          <w:sz w:val="20"/>
        </w:rPr>
        <w:t>Set target architecture and execution strategy for core financial systems (payments, ledger, reconciliation), driving cloud modernization to improve reliability and reduce operational cost.</w:t>
      </w:r>
    </w:p>
    <w:p>
      <w:pPr>
        <w:pStyle w:val="ListBullet"/>
        <w:spacing w:before="0" w:after="0" w:line="240" w:lineRule="auto"/>
      </w:pPr>
      <w:r>
        <w:rPr>
          <w:sz w:val="20"/>
        </w:rPr>
        <w:t>Established architecture governance and engineering standards; evaluated AI/ML opportunities and developer productivity tooling to sustain competitive advantage.</w:t>
      </w:r>
    </w:p>
    <w:p>
      <w:pPr>
        <w:spacing w:before="0" w:after="0" w:line="240" w:lineRule="auto"/>
      </w:pPr>
      <w:r>
        <w:rPr>
          <w:b/>
          <w:sz w:val="20"/>
        </w:rPr>
        <w:t>Fidelity Investments — Director of Software Engineering | Salt Lake City, UT | Aug 2023 – Mar 2025</w:t>
      </w:r>
    </w:p>
    <w:p>
      <w:pPr>
        <w:pStyle w:val="ListBullet"/>
        <w:spacing w:before="0" w:after="0" w:line="240" w:lineRule="auto"/>
      </w:pPr>
      <w:r>
        <w:rPr>
          <w:sz w:val="20"/>
        </w:rPr>
        <w:t>Led 60+ engineering leads, software engineers, and QA across Money Movement, Customer Management, and Account Management; owned $5M budget and AWS roadmap.</w:t>
      </w:r>
    </w:p>
    <w:p>
      <w:pPr>
        <w:pStyle w:val="ListBullet"/>
        <w:spacing w:before="0" w:after="0" w:line="240" w:lineRule="auto"/>
      </w:pPr>
      <w:r>
        <w:rPr>
          <w:sz w:val="20"/>
        </w:rPr>
        <w:t>Delivered secure, fault-tolerant payment and transfer capabilities integrating banking/payment APIs (including Plaid) and ledger systems for ACH, internal transfers, and wire settlements.</w:t>
      </w:r>
    </w:p>
    <w:p>
      <w:pPr>
        <w:pStyle w:val="ListBullet"/>
        <w:spacing w:before="0" w:after="0" w:line="240" w:lineRule="auto"/>
      </w:pPr>
      <w:r>
        <w:rPr>
          <w:sz w:val="20"/>
        </w:rPr>
        <w:t>Influenced cross-product architecture and compliance via Architecture Review Forum governance, improving consistency of design decisions across a matrixed organization.</w:t>
      </w:r>
    </w:p>
    <w:p>
      <w:pPr>
        <w:spacing w:before="0" w:after="0" w:line="240" w:lineRule="auto"/>
      </w:pPr>
      <w:r>
        <w:rPr>
          <w:b/>
          <w:sz w:val="20"/>
        </w:rPr>
        <w:t>My Muscle Chef — Head of Engineering | Sydney, Australia | Sep 2020 – Nov 2022</w:t>
      </w:r>
    </w:p>
    <w:p>
      <w:pPr>
        <w:pStyle w:val="ListBullet"/>
        <w:spacing w:before="0" w:after="0" w:line="240" w:lineRule="auto"/>
      </w:pPr>
      <w:r>
        <w:rPr>
          <w:sz w:val="20"/>
        </w:rPr>
        <w:t>Executive leadership for a $350M B2C/B2B e-commerce business; managed $3M technology budget and a 45+ engineering organization.</w:t>
      </w:r>
    </w:p>
    <w:p>
      <w:pPr>
        <w:pStyle w:val="ListBullet"/>
        <w:spacing w:before="0" w:after="0" w:line="240" w:lineRule="auto"/>
      </w:pPr>
      <w:r>
        <w:rPr>
          <w:sz w:val="20"/>
        </w:rPr>
        <w:t>Led platform modernization to a headless architecture; improved conversion by 4% and increased incremental annual revenue through faster experimentation and reliability.</w:t>
      </w:r>
    </w:p>
    <w:p>
      <w:pPr>
        <w:pStyle w:val="ListBullet"/>
        <w:spacing w:before="0" w:after="0" w:line="240" w:lineRule="auto"/>
      </w:pPr>
      <w:r>
        <w:rPr>
          <w:sz w:val="20"/>
        </w:rPr>
        <w:t>Negotiated enterprise partnerships and rationalized vendors, reducing costs by 15% while accelerating roadmap delivery.</w:t>
      </w:r>
    </w:p>
    <w:p>
      <w:pPr>
        <w:spacing w:before="0" w:after="0" w:line="240" w:lineRule="auto"/>
      </w:pPr>
      <w:r>
        <w:rPr>
          <w:b/>
          <w:sz w:val="20"/>
        </w:rPr>
        <w:t>Healthdirect Australia — Engineering Manager | Sydney, Australia | Dec 2016 – Sep 2020</w:t>
      </w:r>
    </w:p>
    <w:p>
      <w:pPr>
        <w:pStyle w:val="ListBullet"/>
        <w:spacing w:before="0" w:after="0" w:line="240" w:lineRule="auto"/>
      </w:pPr>
      <w:r>
        <w:rPr>
          <w:sz w:val="20"/>
        </w:rPr>
        <w:t>Led 3 engineering teams delivering API platforms serving 5M+ monthly transactions for government healthcare programs.</w:t>
      </w:r>
    </w:p>
    <w:p>
      <w:pPr>
        <w:pStyle w:val="ListBullet"/>
        <w:spacing w:before="0" w:after="0" w:line="240" w:lineRule="auto"/>
      </w:pPr>
      <w:r>
        <w:rPr>
          <w:sz w:val="20"/>
        </w:rPr>
        <w:t>Delivered compliant, mission-critical API infrastructure achieving 99.95% uptime; built talent programs resulting in 8 senior-level promotions and improved retention.</w:t>
      </w:r>
    </w:p>
    <w:p>
      <w:pPr>
        <w:spacing w:before="0" w:after="0" w:line="240" w:lineRule="auto"/>
      </w:pPr>
      <w:r>
        <w:rPr>
          <w:sz w:val="20"/>
        </w:rPr>
        <w:t>Earlier: Tata Consultancy Services (Delivery Manager / Architect / Centre of Excellence, APAC) • Hewlett Packard Singapore (Project Lead) • emeDigital Australia (Head of Digital)</w:t>
      </w:r>
    </w:p>
    <w:p>
      <w:pPr>
        <w:spacing w:before="0" w:after="0" w:line="240" w:lineRule="auto"/>
      </w:pPr>
      <w:r>
        <w:rPr>
          <w:b/>
          <w:sz w:val="20"/>
        </w:rPr>
        <w:t>INNOVATION (AI + AUTOMATION)</w:t>
      </w:r>
    </w:p>
    <w:p>
      <w:pPr>
        <w:pStyle w:val="ListBullet"/>
        <w:spacing w:before="0" w:after="0" w:line="240" w:lineRule="auto"/>
      </w:pPr>
      <w:r>
        <w:rPr>
          <w:sz w:val="20"/>
        </w:rPr>
        <w:t>AI in Lending: built an AI-powered credit decisioning and loan origination platform integrating predictive analytics, risk scoring, and human-in-the-loop automation (lending-ai.trotlabs.com).</w:t>
      </w:r>
    </w:p>
    <w:p>
      <w:pPr>
        <w:pStyle w:val="ListBullet"/>
        <w:spacing w:before="0" w:after="0" w:line="240" w:lineRule="auto"/>
      </w:pPr>
      <w:r>
        <w:rPr>
          <w:sz w:val="20"/>
        </w:rPr>
        <w:t>Agentic AI in Support Ops: implemented AI-driven workflow automation (Vonage AI) to optimize customer support operations and reduce cost-to-serve.</w:t>
      </w:r>
    </w:p>
    <w:p>
      <w:pPr>
        <w:spacing w:before="0" w:after="0" w:line="240" w:lineRule="auto"/>
      </w:pPr>
      <w:r>
        <w:rPr>
          <w:b/>
          <w:sz w:val="20"/>
        </w:rPr>
        <w:t>EDUCATION</w:t>
      </w:r>
    </w:p>
    <w:p>
      <w:pPr>
        <w:spacing w:before="0" w:after="0" w:line="240" w:lineRule="auto"/>
      </w:pPr>
      <w:r>
        <w:rPr>
          <w:sz w:val="20"/>
        </w:rPr>
        <w:t>Stanford University Graduate School of Business — LEAD Certificate (Business Administration &amp; Management)</w:t>
      </w:r>
    </w:p>
    <w:p>
      <w:pPr>
        <w:spacing w:before="0" w:after="0" w:line="240" w:lineRule="auto"/>
      </w:pPr>
      <w:r>
        <w:rPr>
          <w:sz w:val="20"/>
        </w:rPr>
        <w:t>University of Madras — Bachelor of Engineering, Computer Science</w:t>
      </w:r>
    </w:p>
    <w:p>
      <w:pPr>
        <w:spacing w:before="0" w:after="0" w:line="240" w:lineRule="auto"/>
      </w:pPr>
      <w:r>
        <w:rPr>
          <w:b/>
          <w:sz w:val="20"/>
        </w:rPr>
        <w:t>TECHNOLOGY &amp; OPERATING MODEL (SELECT)</w:t>
      </w:r>
    </w:p>
    <w:p>
      <w:pPr>
        <w:spacing w:before="0" w:after="0" w:line="240" w:lineRule="auto"/>
      </w:pPr>
      <w:r>
        <w:rPr>
          <w:sz w:val="20"/>
        </w:rPr>
        <w:t>Cloud: AWS, Azure, Oracle Cloud Infrastructure • Platforms: Kubernetes, Kafka • Data: Postgres, MongoDB, DynamoDB • Practices: DevSecOps, CI/CD, Observability, IAM/CIAM, Architecture Governance</w:t>
      </w:r>
    </w:p>
    <w:sectPr w:rsidR="00FC693F" w:rsidRPr="0006063C" w:rsidSect="00034616"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