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Reason or Recall?</w:t>
      </w:r>
    </w:p>
    <w:p>
      <w:pPr>
        <w:spacing w:after="120"/>
        <w:jc w:val="center"/>
      </w:pPr>
      <w:r>
        <w:rPr>
          <w:b/>
          <w:bCs/>
          <w:sz w:val="26"/>
          <w:szCs w:val="26"/>
        </w:rPr>
        <w:t xml:space="preserve">A Contamination-Controlled, Compute-Matched Study of Small Fine-Tuned versus Large General Language Models on Financial Numerical Reasoning</w:t>
      </w:r>
    </w:p>
    <w:p>
      <w:pPr>
        <w:spacing w:after="60"/>
        <w:jc w:val="center"/>
      </w:pPr>
      <w:r>
        <w:rPr>
          <w:i/>
          <w:iCs/>
          <w:sz w:val="22"/>
          <w:szCs w:val="22"/>
        </w:rPr>
        <w:t xml:space="preserve">Research Proposal — submitted for supervisor review</w:t>
      </w:r>
    </w:p>
    <w:p>
      <w:pPr>
        <w:pBdr>
          <w:bottom w:val="single" w:color="999999" w:sz="6" w:space="1"/>
        </w:pBdr>
        <w:spacing w:after="160" w:before="60"/>
      </w:pPr>
      <w:r>
        <w:t xml:space="preserve"/>
      </w:r>
    </w:p>
    <w:p>
      <w:pPr>
        <w:spacing w:after="40"/>
      </w:pPr>
      <w:r>
        <w:rPr>
          <w:b/>
          <w:bCs/>
        </w:rPr>
        <w:t xml:space="preserve">Field:  </w:t>
      </w:r>
      <w:r>
        <w:t xml:space="preserve">Deep Learning / Natural Language Processing</w:t>
      </w:r>
    </w:p>
    <w:p>
      <w:pPr>
        <w:spacing w:after="40"/>
      </w:pPr>
      <w:r>
        <w:rPr>
          <w:b/>
          <w:bCs/>
        </w:rPr>
        <w:t xml:space="preserve">Date:  </w:t>
      </w:r>
      <w:r>
        <w:t xml:space="preserve">22 September 2026</w:t>
      </w:r>
    </w:p>
    <w:p>
      <w:pPr>
        <w:spacing w:after="40"/>
      </w:pPr>
      <w:r>
        <w:rPr>
          <w:b/>
          <w:bCs/>
        </w:rPr>
        <w:t xml:space="preserve">Author:  </w:t>
      </w:r>
      <w:r>
        <w:t xml:space="preserve">____________________________</w:t>
      </w:r>
    </w:p>
    <w:p>
      <w:pPr>
        <w:spacing w:after="40"/>
      </w:pPr>
      <w:r>
        <w:rPr>
          <w:b/>
          <w:bCs/>
        </w:rPr>
        <w:t xml:space="preserve">Supervisor:  </w:t>
      </w:r>
      <w:r>
        <w:t xml:space="preserve">____________________________</w:t>
      </w:r>
    </w:p>
    <w:p>
      <w:pPr>
        <w:spacing w:after="120"/>
      </w:pPr>
      <w:r>
        <w:t xml:space="preserve"/>
      </w:r>
    </w:p>
    <w:p>
      <w:pPr>
        <w:pStyle w:val="Heading1"/>
      </w:pPr>
      <w:r>
        <w:t xml:space="preserve">1. Summary</w:t>
      </w:r>
    </w:p>
    <w:p>
      <w:pPr>
        <w:spacing w:after="140" w:line="300"/>
        <w:jc w:val="both"/>
      </w:pPr>
      <w:r>
        <w:t xml:space="preserve">This proposal investigates whether small, parameter-efficiently fine-tuned language models (≤8 billion parameters) can match large general models on </w:t>
      </w:r>
      <w:r>
        <w:rPr>
          <w:b/>
          <w:bCs/>
        </w:rPr>
        <w:t xml:space="preserve">financial numerical reasoning</w:t>
      </w:r>
      <w:r>
        <w:t xml:space="preserve"> — and, crucially, whether they do so for the right reasons: genuine, transferable reasoning rather than memorization of long-public benchmarks. Recent work has shown that small models distilled with program-based reasoning traces can rival much larger models on standard financial question-answering datasets. This project asks a sharper and still-open question: once evaluation is </w:t>
      </w:r>
      <w:r>
        <w:rPr>
          <w:b/>
          <w:bCs/>
        </w:rPr>
        <w:t xml:space="preserve">(i) contamination-controlled</w:t>
      </w:r>
      <w:r>
        <w:t xml:space="preserve"> — using data created after the models’ training cutoffs — and </w:t>
      </w:r>
      <w:r>
        <w:rPr>
          <w:b/>
          <w:bCs/>
        </w:rPr>
        <w:t xml:space="preserve">(ii) compute-matched</w:t>
      </w:r>
      <w:r>
        <w:t xml:space="preserve"> — comparing systems at equal inference cost — how much of that apparent parity survives, and does fine-tuning transfer reasoning or merely surface recalled answers?</w:t>
      </w:r>
    </w:p>
    <w:p>
      <w:pPr>
        <w:spacing w:after="140" w:line="300"/>
        <w:jc w:val="both"/>
      </w:pPr>
      <w:r>
        <w:t xml:space="preserve">The study is executed in </w:t>
      </w:r>
      <w:r>
        <w:rPr>
          <w:b/>
          <w:bCs/>
        </w:rPr>
        <w:t xml:space="preserve">two phases so that the entire method is validated at zero cost before any money is spent</w:t>
      </w:r>
      <w:r>
        <w:t xml:space="preserve">. Phase 1 runs entirely on free cloud GPUs (Kaggle) and compares small models against a large baseline of up to ~32 billion parameters. Phase 2 (a single paid job) extends the large-model comparison to ≥70 billion parameters, and is entered only once the free-phase pipeline and results are proven.</w:t>
      </w:r>
    </w:p>
    <w:p>
      <w:pPr>
        <w:pStyle w:val="Heading1"/>
      </w:pPr>
      <w:r>
        <w:t xml:space="preserve">2. Background and Motivation</w:t>
      </w:r>
    </w:p>
    <w:p>
      <w:pPr>
        <w:spacing w:after="140" w:line="300"/>
        <w:jc w:val="both"/>
      </w:pPr>
      <w:r>
        <w:t xml:space="preserve">Financial numerical reasoning — answering questions that require multi-step arithmetic over financial tables and their accompanying text — is a demanding test of a model’s reasoning ability and a task with clear practical value. Deploying very large models for every such query is costly, which motivates the central question of whether smaller, specialized models can serve instead. A substantial body of work on reasoning distillation [7, 8, 9] shows that small models fine-tuned on reasoning traces from a larger teacher can approach or exceed the teacher on focused tasks.</w:t>
      </w:r>
    </w:p>
    <w:p>
      <w:pPr>
        <w:spacing w:after="140" w:line="300"/>
        <w:jc w:val="both"/>
      </w:pPr>
      <w:r>
        <w:t xml:space="preserve">However, headline benchmark scores can be inflated when a model has already seen the evaluation data during pretraining — a well-documented phenomenon known as </w:t>
      </w:r>
      <w:r>
        <w:rPr>
          <w:b/>
          <w:bCs/>
        </w:rPr>
        <w:t xml:space="preserve">data contamination</w:t>
      </w:r>
      <w:r>
        <w:t xml:space="preserve"> [14, 15, 16] — which is especially relevant for financial benchmarks assembled from public filings [17]. Distinguishing reasoning from recall is therefore both a scientific and a practical necessity, and it is the gap this proposal targets.</w:t>
      </w:r>
    </w:p>
    <w:p>
      <w:pPr>
        <w:pStyle w:val="Heading1"/>
      </w:pPr>
      <w:r>
        <w:t xml:space="preserve">3. Related Work and Rationale for Topic Selection</w:t>
      </w:r>
    </w:p>
    <w:p>
      <w:pPr>
        <w:spacing w:after="140" w:line="300"/>
        <w:jc w:val="both"/>
      </w:pPr>
      <w:r>
        <w:rPr>
          <w:i/>
          <w:iCs/>
        </w:rPr>
        <w:t xml:space="preserve">The topic was finalized by tracing the literature to the point where a genuinely open question remains. The reasoning chain, with supporting references, is as follows.</w:t>
      </w:r>
    </w:p>
    <w:p>
      <w:pPr>
        <w:pStyle w:val="ListParagraph"/>
        <w:numPr>
          <w:ilvl w:val="0"/>
          <w:numId w:val="1"/>
        </w:numPr>
        <w:spacing w:after="80" w:line="288"/>
        <w:jc w:val="both"/>
      </w:pPr>
      <w:r>
        <w:rPr>
          <w:b/>
          <w:bCs/>
        </w:rPr>
        <w:t xml:space="preserve">Task and benchmarks. </w:t>
      </w:r>
      <w:r>
        <w:t xml:space="preserve">The task is defined by three established, public datasets: FinQA [1], ConvFinQA [2], and TAT-QA [3], each requiring numerical reasoning over hybrid tabular–textual financial context.</w:t>
      </w:r>
    </w:p>
    <w:p>
      <w:pPr>
        <w:pStyle w:val="ListParagraph"/>
        <w:numPr>
          <w:ilvl w:val="0"/>
          <w:numId w:val="1"/>
        </w:numPr>
        <w:spacing w:after="80" w:line="288"/>
        <w:jc w:val="both"/>
      </w:pPr>
      <w:r>
        <w:rPr>
          <w:b/>
          <w:bCs/>
        </w:rPr>
        <w:t xml:space="preserve">Method foundation. </w:t>
      </w:r>
      <w:r>
        <w:t xml:space="preserve">Program-of-Thoughts prompting [6] separates reasoning from computation by having the model emit an executable program whose execution yields the answer; reasoning-distillation methods [7, 8, 9] transfer such capability from a large teacher into smaller student models.</w:t>
      </w:r>
    </w:p>
    <w:p>
      <w:pPr>
        <w:pStyle w:val="ListParagraph"/>
        <w:numPr>
          <w:ilvl w:val="0"/>
          <w:numId w:val="1"/>
        </w:numPr>
        <w:spacing w:after="80" w:line="288"/>
        <w:jc w:val="both"/>
      </w:pPr>
      <w:r>
        <w:rPr>
          <w:b/>
          <w:bCs/>
        </w:rPr>
        <w:t xml:space="preserve">The decisive precedent. </w:t>
      </w:r>
      <w:r>
        <w:t xml:space="preserve">A Findings of EMNLP 2024 study [4] combines these ideas — distilling program-based reasoning from a large teacher into small models — and reports that models as small as ~3.8B rival or exceed much larger models on exactly FinQA, ConvFinQA, and TAT-QA. This establishes that the </w:t>
      </w:r>
      <w:r>
        <w:rPr>
          <w:i/>
          <w:iCs/>
        </w:rPr>
        <w:t xml:space="preserve">method</w:t>
      </w:r>
      <w:r>
        <w:t xml:space="preserve"> question (“can a small model match a large one here?”) is already answered affirmatively; it cannot be the contribution of a new project.</w:t>
      </w:r>
    </w:p>
    <w:p>
      <w:pPr>
        <w:pStyle w:val="ListParagraph"/>
        <w:numPr>
          <w:ilvl w:val="0"/>
          <w:numId w:val="1"/>
        </w:numPr>
        <w:spacing w:after="80" w:line="288"/>
        <w:jc w:val="both"/>
      </w:pPr>
      <w:r>
        <w:rPr>
          <w:b/>
          <w:bCs/>
        </w:rPr>
        <w:t xml:space="preserve">The open question. </w:t>
      </w:r>
      <w:r>
        <w:t xml:space="preserve">Study [4] evaluates on the original benchmarks, whose data predates current pretraining cutoffs. Given documented contamination effects [14, 15, 16] and their specific relevance to financial benchmarks [17], the unresolved and publishable question is whether this parity reflects transferable reasoning or benchmark memorization. A very recent study [5] independently innovates on how financial reasoning is measured, confirming that the measurement angle is active and time-sensitive.</w:t>
      </w:r>
    </w:p>
    <w:p>
      <w:pPr>
        <w:pStyle w:val="ListParagraph"/>
        <w:numPr>
          <w:ilvl w:val="0"/>
          <w:numId w:val="1"/>
        </w:numPr>
        <w:spacing w:after="80" w:line="288"/>
        <w:jc w:val="both"/>
      </w:pPr>
      <w:r>
        <w:rPr>
          <w:b/>
          <w:bCs/>
        </w:rPr>
        <w:t xml:space="preserve">Efficiency and feasibility. </w:t>
      </w:r>
      <w:r>
        <w:t xml:space="preserve">The study relies on parameter-efficient fine-tuning — LoRA [11] and its quantized variant QLoRA [12] — which makes fine-tuning of models up to ~8B feasible on a single consumer GPU; recent work confirms QLoRA’s effectiveness on financial tasks [13].</w:t>
      </w:r>
    </w:p>
    <w:p>
      <w:pPr>
        <w:spacing w:after="140" w:line="300"/>
        <w:jc w:val="both"/>
      </w:pPr>
      <w:r>
        <w:rPr>
          <w:b/>
          <w:bCs/>
        </w:rPr>
        <w:t xml:space="preserve">Rationale, in one sentence: </w:t>
      </w:r>
      <w:r>
        <w:t xml:space="preserve">the finalized topic reframes the contribution from </w:t>
      </w:r>
      <w:r>
        <w:rPr>
          <w:i/>
          <w:iCs/>
        </w:rPr>
        <w:t xml:space="preserve">method</w:t>
      </w:r>
      <w:r>
        <w:t xml:space="preserve"> to </w:t>
      </w:r>
      <w:r>
        <w:rPr>
          <w:i/>
          <w:iCs/>
        </w:rPr>
        <w:t xml:space="preserve">measurement</w:t>
      </w:r>
      <w:r>
        <w:t xml:space="preserve"> — a contamination-controlled, compute-matched, reason-versus-recall evaluation — an angle not occupied by any existing work identified in the review.</w:t>
      </w:r>
    </w:p>
    <w:p>
      <w:pPr>
        <w:pStyle w:val="Heading1"/>
      </w:pPr>
      <w:r>
        <w:t xml:space="preserve">4. Research Questions and Hypotheses</w:t>
      </w:r>
    </w:p>
    <w:p>
      <w:pPr>
        <w:spacing w:after="140" w:line="300"/>
        <w:jc w:val="both"/>
      </w:pPr>
      <w:r>
        <w:rPr>
          <w:b/>
          <w:bCs/>
        </w:rPr>
        <w:t xml:space="preserve">Research questions.</w:t>
      </w:r>
    </w:p>
    <w:p>
      <w:pPr>
        <w:pStyle w:val="ListParagraph"/>
        <w:numPr>
          <w:ilvl w:val="0"/>
          <w:numId w:val="1"/>
        </w:numPr>
        <w:spacing w:after="80" w:line="288"/>
        <w:jc w:val="both"/>
      </w:pPr>
      <w:r>
        <w:rPr>
          <w:b/>
          <w:bCs/>
        </w:rPr>
        <w:t xml:space="preserve">RQ1 (contamination gap). </w:t>
      </w:r>
      <w:r>
        <w:t xml:space="preserve">How large is the drop from standard-test accuracy to post-cutoff accuracy, per model class?</w:t>
      </w:r>
    </w:p>
    <w:p>
      <w:pPr>
        <w:pStyle w:val="ListParagraph"/>
        <w:numPr>
          <w:ilvl w:val="0"/>
          <w:numId w:val="1"/>
        </w:numPr>
        <w:spacing w:after="80" w:line="288"/>
        <w:jc w:val="both"/>
      </w:pPr>
      <w:r>
        <w:rPr>
          <w:b/>
          <w:bCs/>
        </w:rPr>
        <w:t xml:space="preserve">RQ2 (frontier). </w:t>
      </w:r>
      <w:r>
        <w:t xml:space="preserve">At equal inference compute, where do small fine-tuned models sit relative to large general models — on standard versus clean data?</w:t>
      </w:r>
    </w:p>
    <w:p>
      <w:pPr>
        <w:pStyle w:val="ListParagraph"/>
        <w:numPr>
          <w:ilvl w:val="0"/>
          <w:numId w:val="1"/>
        </w:numPr>
        <w:spacing w:after="80" w:line="288"/>
        <w:jc w:val="both"/>
      </w:pPr>
      <w:r>
        <w:rPr>
          <w:b/>
          <w:bCs/>
        </w:rPr>
        <w:t xml:space="preserve">RQ3 (reason vs. recall). </w:t>
      </w:r>
      <w:r>
        <w:t xml:space="preserve">Does fine-tuning improve reasoning faithfulness (a correct answer produced by a correct, executed program) more on clean items than on likely-seen ones?</w:t>
      </w:r>
    </w:p>
    <w:p>
      <w:pPr>
        <w:pStyle w:val="ListParagraph"/>
        <w:numPr>
          <w:ilvl w:val="0"/>
          <w:numId w:val="1"/>
        </w:numPr>
        <w:spacing w:after="80" w:line="288"/>
        <w:jc w:val="both"/>
      </w:pPr>
      <w:r>
        <w:rPr>
          <w:b/>
          <w:bCs/>
        </w:rPr>
        <w:t xml:space="preserve">RQ4 (distillation). </w:t>
      </w:r>
      <w:r>
        <w:t xml:space="preserve">Does the program-distilled model’s advantage over answer-only fine-tuning survive decontamination, in both accuracy and faithfulness?</w:t>
      </w:r>
    </w:p>
    <w:p>
      <w:pPr>
        <w:spacing w:after="140" w:line="300"/>
        <w:jc w:val="both"/>
      </w:pPr>
      <w:r>
        <w:rPr>
          <w:b/>
          <w:bCs/>
        </w:rPr>
        <w:t xml:space="preserve">Hypotheses (to be tested, not assumed).</w:t>
      </w:r>
    </w:p>
    <w:p>
      <w:pPr>
        <w:pStyle w:val="ListParagraph"/>
        <w:numPr>
          <w:ilvl w:val="0"/>
          <w:numId w:val="1"/>
        </w:numPr>
        <w:spacing w:after="80" w:line="288"/>
        <w:jc w:val="both"/>
      </w:pPr>
      <w:r>
        <w:rPr>
          <w:b/>
          <w:bCs/>
        </w:rPr>
        <w:t xml:space="preserve">H1 (two contamination pathways). </w:t>
      </w:r>
      <w:r>
        <w:t xml:space="preserve">A large general model’s standard-split score is inflated by pretraining recall of public benchmark items, whereas a small fine-tuned model’s is inflated by memorization of the training distribution; the large model is predicted to show the larger standard-versus-clean drop, and characterizing both pathways is itself a contribution.</w:t>
      </w:r>
    </w:p>
    <w:p>
      <w:pPr>
        <w:pStyle w:val="ListParagraph"/>
        <w:numPr>
          <w:ilvl w:val="0"/>
          <w:numId w:val="1"/>
        </w:numPr>
        <w:spacing w:after="80" w:line="288"/>
        <w:jc w:val="both"/>
      </w:pPr>
      <w:r>
        <w:rPr>
          <w:b/>
          <w:bCs/>
        </w:rPr>
        <w:t xml:space="preserve">H2. </w:t>
      </w:r>
      <w:r>
        <w:t xml:space="preserve">On clean data, the compute-matched frontier shifts — the small-model advantage narrows or moves.</w:t>
      </w:r>
    </w:p>
    <w:p>
      <w:pPr>
        <w:pStyle w:val="ListParagraph"/>
        <w:numPr>
          <w:ilvl w:val="0"/>
          <w:numId w:val="1"/>
        </w:numPr>
        <w:spacing w:after="80" w:line="288"/>
        <w:jc w:val="both"/>
      </w:pPr>
      <w:r>
        <w:rPr>
          <w:b/>
          <w:bCs/>
        </w:rPr>
        <w:t xml:space="preserve">H3. </w:t>
      </w:r>
      <w:r>
        <w:t xml:space="preserve">Fine-tuning raises faithfulness more than raw accuracy, and this holds on clean items (evidence of transferred reasoning).</w:t>
      </w:r>
    </w:p>
    <w:p>
      <w:pPr>
        <w:pStyle w:val="ListParagraph"/>
        <w:numPr>
          <w:ilvl w:val="0"/>
          <w:numId w:val="1"/>
        </w:numPr>
        <w:spacing w:after="80" w:line="288"/>
        <w:jc w:val="both"/>
      </w:pPr>
      <w:r>
        <w:rPr>
          <w:b/>
          <w:bCs/>
        </w:rPr>
        <w:t xml:space="preserve">H4. </w:t>
      </w:r>
      <w:r>
        <w:t xml:space="preserve">Program-based distillation’s advantage over answer-only fine-tuning partially survives decontamination but is smaller on clean data.</w:t>
      </w:r>
    </w:p>
    <w:p>
      <w:pPr>
        <w:pStyle w:val="Heading1"/>
      </w:pPr>
      <w:r>
        <w:t xml:space="preserve">5. Methodology</w:t>
      </w:r>
    </w:p>
    <w:p>
      <w:pPr>
        <w:pStyle w:val="Heading2"/>
      </w:pPr>
      <w:r>
        <w:t xml:space="preserve">5.1 Datasets</w:t>
      </w:r>
    </w:p>
    <w:p>
      <w:pPr>
        <w:spacing w:after="140" w:line="300"/>
        <w:jc w:val="both"/>
      </w:pPr>
      <w:r>
        <w:t xml:space="preserve">FinQA [1] (8,281 expert-annotated QA pairs; train/dev/test split 6,251 / 883 / 1,147), ConvFinQA [2] (3,892 conversations / 14,115 questions; split 3,037 / 421 / 434, with the labelled dev split used as the standard-data anchor because the test answers were held out for a leaderboard), and TAT-QA [3] (16,552 questions over 2,757 reports). Version 1 concentrates on FinQA, with the other two datasets added in a later iteration. Dataset licenses will be confirmed before any derived data is released.</w:t>
      </w:r>
    </w:p>
    <w:p>
      <w:pPr>
        <w:pStyle w:val="Heading2"/>
      </w:pPr>
      <w:r>
        <w:t xml:space="preserve">5.2 Models</w:t>
      </w:r>
    </w:p>
    <w:p>
      <w:pPr>
        <w:spacing w:after="140" w:line="300"/>
        <w:jc w:val="both"/>
      </w:pPr>
      <w:r>
        <w:rPr>
          <w:b/>
          <w:bCs/>
        </w:rPr>
        <w:t xml:space="preserve">Students </w:t>
      </w:r>
      <w:r>
        <w:t xml:space="preserve">(≤8B, fine-tuned with 4-bit QLoRA on a single 16 GB GPU): a within-family scale sweep on Qwen2.5-3B and Qwen2.5-7B, with Llama-3.1-8B-Instruct as a cross-family check and, optionally, Phi-4-mini and SmolLM3.</w:t>
      </w:r>
    </w:p>
    <w:p>
      <w:pPr>
        <w:spacing w:after="140" w:line="300"/>
        <w:jc w:val="both"/>
      </w:pPr>
      <w:r>
        <w:rPr>
          <w:b/>
          <w:bCs/>
        </w:rPr>
        <w:t xml:space="preserve">Large-general baseline and distillation teacher, in two tiers. </w:t>
      </w:r>
      <w:r>
        <w:t xml:space="preserve">Phase 1 (free): a </w:t>
      </w:r>
      <w:r>
        <w:rPr>
          <w:b/>
          <w:bCs/>
        </w:rPr>
        <w:t xml:space="preserve">~32B open model</w:t>
      </w:r>
      <w:r>
        <w:t xml:space="preserve"> (for example Qwen2.5-32B) served in 4-bit across the free dual-T4 configuration (32 GB total), used both as the large-general comparison baseline and as the source of distilled reasoning traces, at no cost. Phase 2 (Job 4): a </w:t>
      </w:r>
      <w:r>
        <w:rPr>
          <w:b/>
          <w:bCs/>
        </w:rPr>
        <w:t xml:space="preserve">≥70B open model or a frontier API</w:t>
      </w:r>
      <w:r>
        <w:t xml:space="preserve">, run on paid compute to test whether the Phase 1 findings hold at larger scale. Each model’s training cutoff is recorded, as it defines the contamination boundary. The small-versus-large contrast is therefore “3–8B versus ~32B” in Phase 1, extended to “versus ≥70B” in Phase 2.</w:t>
      </w:r>
    </w:p>
    <w:p>
      <w:pPr>
        <w:pStyle w:val="Heading2"/>
      </w:pPr>
      <w:r>
        <w:t xml:space="preserve">5.3 Contamination-Controlled Evaluation Set (the key artifact)</w:t>
      </w:r>
    </w:p>
    <w:p>
      <w:pPr>
        <w:spacing w:after="140" w:line="300"/>
        <w:jc w:val="both"/>
      </w:pPr>
      <w:r>
        <w:t xml:space="preserve">A held-out set is constructed automatically from U.S. SEC EDGAR filings dated after every model’s training cutoff. Tables and surrounding text are parsed programmatically; questions are generated by deterministic numerical templates (percentage change, ratio, sum/difference over extracted cells) and, optionally, with LLM assistance — each item retained only if its gold program executes to a checkable value. The target size is ~150–400 items. Because correctness is established by execution, no domain expertise is required to build or validate the set.</w:t>
      </w:r>
    </w:p>
    <w:p>
      <w:pPr>
        <w:pStyle w:val="Heading2"/>
      </w:pPr>
      <w:r>
        <w:t xml:space="preserve">5.4 Training Pipeline</w:t>
      </w:r>
    </w:p>
    <w:p>
      <w:pPr>
        <w:spacing w:after="140" w:line="300"/>
        <w:jc w:val="both"/>
      </w:pPr>
      <w:r>
        <w:t xml:space="preserve">Ingest and preprocess (table linearization; number normalization for thousands separators, scale words, parenthesized negatives, and percentages); generate teacher program traces and retain only those that execute to the gold answer; fine-tune each student with QLoRA (4-bit NF4 base, low-rank adapters) under each supervision format; validate each epoch and early-stop on development accuracy and faithfulness; analyze errors and iterate. All program execution occurs in a sandboxed interpreter with no file or network access and a per-program timeout.</w:t>
      </w:r>
    </w:p>
    <w:p>
      <w:pPr>
        <w:pStyle w:val="Heading2"/>
      </w:pPr>
      <w:r>
        <w:t xml:space="preserve">5.5 Faithfulness Measurement</w:t>
      </w:r>
    </w:p>
    <w:p>
      <w:pPr>
        <w:spacing w:after="140" w:line="300"/>
        <w:jc w:val="both"/>
      </w:pPr>
      <w:r>
        <w:t xml:space="preserve">For program-emitting arms (A7, A8), faithfulness is the fraction of correct answers whose emitted program actually executes to that answer, with an added check that the program references the same table cells as the gold program. For the remaining arms, a </w:t>
      </w:r>
      <w:r>
        <w:rPr>
          <w:b/>
          <w:bCs/>
        </w:rPr>
        <w:t xml:space="preserve">post-hoc program-induction proxy</w:t>
      </w:r>
      <w:r>
        <w:t xml:space="preserve"> — prompting the model to produce an executable program for its own already-given answer — extends a comparable measure to all arms. This proxy is reported as an explicit, weaker signal (post-hoc induction can rationalize rather than reveal the underlying computation) and never replaces the primary program-based measure.</w:t>
      </w:r>
    </w:p>
    <w:p>
      <w:pPr>
        <w:pStyle w:val="Heading2"/>
      </w:pPr>
      <w:r>
        <w:t xml:space="preserve">5.6 Experimental Design and Metrics</w:t>
      </w:r>
    </w:p>
    <w:p>
      <w:pPr>
        <w:spacing w:after="140" w:line="300"/>
        <w:jc w:val="both"/>
      </w:pPr>
      <w:r>
        <w:t xml:space="preserve">Eight arms are compared; every arm is evaluated on both the standard split and the contamination-controlled set, and the standard-versus-clean difference is the core signal.</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1500"/>
        <w:gridCol w:w="3000"/>
        <w:gridCol w:w="3600"/>
      </w:tblGrid>
      <w:tr>
        <w:trPr>
          <w:tblHeader/>
        </w:trPr>
        <w:tc>
          <w:tcPr>
            <w:tcW w:type="dxa" w:w="900"/>
            <w:shd w:fill="1F3864" w:color="auto" w:val="clear"/>
            <w:tcMar>
              <w:top w:type="dxa" w:w="60"/>
              <w:left w:type="dxa" w:w="90"/>
              <w:bottom w:type="dxa" w:w="60"/>
              <w:right w:type="dxa" w:w="90"/>
            </w:tcMar>
          </w:tcPr>
          <w:p>
            <w:pPr>
              <w:spacing w:after="0" w:line="264"/>
            </w:pPr>
            <w:r>
              <w:rPr>
                <w:b/>
                <w:bCs/>
                <w:color w:val="FFFFFF"/>
                <w:sz w:val="20"/>
                <w:szCs w:val="20"/>
              </w:rPr>
              <w:t xml:space="preserve">Arm</w:t>
            </w:r>
          </w:p>
        </w:tc>
        <w:tc>
          <w:tcPr>
            <w:tcW w:type="dxa" w:w="1500"/>
            <w:shd w:fill="1F3864" w:color="auto" w:val="clear"/>
            <w:tcMar>
              <w:top w:type="dxa" w:w="60"/>
              <w:left w:type="dxa" w:w="90"/>
              <w:bottom w:type="dxa" w:w="60"/>
              <w:right w:type="dxa" w:w="90"/>
            </w:tcMar>
          </w:tcPr>
          <w:p>
            <w:pPr>
              <w:spacing w:after="0" w:line="264"/>
            </w:pPr>
            <w:r>
              <w:rPr>
                <w:b/>
                <w:bCs/>
                <w:color w:val="FFFFFF"/>
                <w:sz w:val="20"/>
                <w:szCs w:val="20"/>
              </w:rPr>
              <w:t xml:space="preserve">Model</w:t>
            </w:r>
          </w:p>
        </w:tc>
        <w:tc>
          <w:tcPr>
            <w:tcW w:type="dxa" w:w="3000"/>
            <w:shd w:fill="1F3864" w:color="auto" w:val="clear"/>
            <w:tcMar>
              <w:top w:type="dxa" w:w="60"/>
              <w:left w:type="dxa" w:w="90"/>
              <w:bottom w:type="dxa" w:w="60"/>
              <w:right w:type="dxa" w:w="90"/>
            </w:tcMar>
          </w:tcPr>
          <w:p>
            <w:pPr>
              <w:spacing w:after="0" w:line="264"/>
            </w:pPr>
            <w:r>
              <w:rPr>
                <w:b/>
                <w:bCs/>
                <w:color w:val="FFFFFF"/>
                <w:sz w:val="20"/>
                <w:szCs w:val="20"/>
              </w:rPr>
              <w:t xml:space="preserve">Supervision</w:t>
            </w:r>
          </w:p>
        </w:tc>
        <w:tc>
          <w:tcPr>
            <w:tcW w:type="dxa" w:w="3600"/>
            <w:shd w:fill="1F3864" w:color="auto" w:val="clear"/>
            <w:tcMar>
              <w:top w:type="dxa" w:w="60"/>
              <w:left w:type="dxa" w:w="90"/>
              <w:bottom w:type="dxa" w:w="60"/>
              <w:right w:type="dxa" w:w="90"/>
            </w:tcMar>
          </w:tcPr>
          <w:p>
            <w:pPr>
              <w:spacing w:after="0" w:line="264"/>
            </w:pPr>
            <w:r>
              <w:rPr>
                <w:b/>
                <w:bCs/>
                <w:color w:val="FFFFFF"/>
                <w:sz w:val="20"/>
                <w:szCs w:val="20"/>
              </w:rPr>
              <w:t xml:space="preserve">Purpose</w:t>
            </w:r>
          </w:p>
        </w:tc>
      </w:tr>
      <w:tr>
        <w:tc>
          <w:tcPr>
            <w:tcW w:type="dxa" w:w="900"/>
            <w:tcMar>
              <w:top w:type="dxa" w:w="60"/>
              <w:left w:type="dxa" w:w="90"/>
              <w:bottom w:type="dxa" w:w="60"/>
              <w:right w:type="dxa" w:w="90"/>
            </w:tcMar>
          </w:tcPr>
          <w:p>
            <w:pPr>
              <w:spacing w:after="0" w:line="264"/>
            </w:pPr>
            <w:r>
              <w:rPr>
                <w:b w:val="false"/>
                <w:bCs w:val="false"/>
                <w:sz w:val="20"/>
                <w:szCs w:val="20"/>
              </w:rPr>
              <w:t xml:space="preserve">A1 / A2</w:t>
            </w:r>
          </w:p>
        </w:tc>
        <w:tc>
          <w:tcPr>
            <w:tcW w:type="dxa" w:w="1500"/>
            <w:tcMar>
              <w:top w:type="dxa" w:w="60"/>
              <w:left w:type="dxa" w:w="90"/>
              <w:bottom w:type="dxa" w:w="60"/>
              <w:right w:type="dxa" w:w="90"/>
            </w:tcMar>
          </w:tcPr>
          <w:p>
            <w:pPr>
              <w:spacing w:after="0" w:line="264"/>
            </w:pPr>
            <w:r>
              <w:rPr>
                <w:b w:val="false"/>
                <w:bCs w:val="false"/>
                <w:sz w:val="20"/>
                <w:szCs w:val="20"/>
              </w:rPr>
              <w:t xml:space="preserve">Small (≤8B)</w:t>
            </w:r>
          </w:p>
        </w:tc>
        <w:tc>
          <w:tcPr>
            <w:tcW w:type="dxa" w:w="3000"/>
            <w:tcMar>
              <w:top w:type="dxa" w:w="60"/>
              <w:left w:type="dxa" w:w="90"/>
              <w:bottom w:type="dxa" w:w="60"/>
              <w:right w:type="dxa" w:w="90"/>
            </w:tcMar>
          </w:tcPr>
          <w:p>
            <w:pPr>
              <w:spacing w:after="0" w:line="264"/>
            </w:pPr>
            <w:r>
              <w:rPr>
                <w:b w:val="false"/>
                <w:bCs w:val="false"/>
                <w:sz w:val="20"/>
                <w:szCs w:val="20"/>
              </w:rPr>
              <w:t xml:space="preserve">Zero-shot / few-shot</w:t>
            </w:r>
          </w:p>
        </w:tc>
        <w:tc>
          <w:tcPr>
            <w:tcW w:type="dxa" w:w="3600"/>
            <w:tcMar>
              <w:top w:type="dxa" w:w="60"/>
              <w:left w:type="dxa" w:w="90"/>
              <w:bottom w:type="dxa" w:w="60"/>
              <w:right w:type="dxa" w:w="90"/>
            </w:tcMar>
          </w:tcPr>
          <w:p>
            <w:pPr>
              <w:spacing w:after="0" w:line="264"/>
            </w:pPr>
            <w:r>
              <w:rPr>
                <w:b w:val="false"/>
                <w:bCs w:val="false"/>
                <w:sz w:val="20"/>
                <w:szCs w:val="20"/>
              </w:rPr>
              <w:t xml:space="preserve">Small-model floor and prompting ceiling</w:t>
            </w:r>
          </w:p>
        </w:tc>
      </w:tr>
      <w:tr>
        <w:tc>
          <w:tcPr>
            <w:tcW w:type="dxa" w:w="900"/>
            <w:shd w:fill="EFF3FA" w:color="auto" w:val="clear"/>
            <w:tcMar>
              <w:top w:type="dxa" w:w="60"/>
              <w:left w:type="dxa" w:w="90"/>
              <w:bottom w:type="dxa" w:w="60"/>
              <w:right w:type="dxa" w:w="90"/>
            </w:tcMar>
          </w:tcPr>
          <w:p>
            <w:pPr>
              <w:spacing w:after="0" w:line="264"/>
            </w:pPr>
            <w:r>
              <w:rPr>
                <w:b w:val="false"/>
                <w:bCs w:val="false"/>
                <w:sz w:val="20"/>
                <w:szCs w:val="20"/>
              </w:rPr>
              <w:t xml:space="preserve">A3 / A4</w:t>
            </w:r>
          </w:p>
        </w:tc>
        <w:tc>
          <w:tcPr>
            <w:tcW w:type="dxa" w:w="1500"/>
            <w:shd w:fill="EFF3FA" w:color="auto" w:val="clear"/>
            <w:tcMar>
              <w:top w:type="dxa" w:w="60"/>
              <w:left w:type="dxa" w:w="90"/>
              <w:bottom w:type="dxa" w:w="60"/>
              <w:right w:type="dxa" w:w="90"/>
            </w:tcMar>
          </w:tcPr>
          <w:p>
            <w:pPr>
              <w:spacing w:after="0" w:line="264"/>
            </w:pPr>
            <w:r>
              <w:rPr>
                <w:b w:val="false"/>
                <w:bCs w:val="false"/>
                <w:sz w:val="20"/>
                <w:szCs w:val="20"/>
              </w:rPr>
              <w:t xml:space="preserve">Large</w:t>
            </w:r>
          </w:p>
        </w:tc>
        <w:tc>
          <w:tcPr>
            <w:tcW w:type="dxa" w:w="3000"/>
            <w:shd w:fill="EFF3FA" w:color="auto" w:val="clear"/>
            <w:tcMar>
              <w:top w:type="dxa" w:w="60"/>
              <w:left w:type="dxa" w:w="90"/>
              <w:bottom w:type="dxa" w:w="60"/>
              <w:right w:type="dxa" w:w="90"/>
            </w:tcMar>
          </w:tcPr>
          <w:p>
            <w:pPr>
              <w:spacing w:after="0" w:line="264"/>
            </w:pPr>
            <w:r>
              <w:rPr>
                <w:b w:val="false"/>
                <w:bCs w:val="false"/>
                <w:sz w:val="20"/>
                <w:szCs w:val="20"/>
              </w:rPr>
              <w:t xml:space="preserve">Zero-shot / few-shot</w:t>
            </w:r>
          </w:p>
        </w:tc>
        <w:tc>
          <w:tcPr>
            <w:tcW w:type="dxa" w:w="3600"/>
            <w:shd w:fill="EFF3FA" w:color="auto" w:val="clear"/>
            <w:tcMar>
              <w:top w:type="dxa" w:w="60"/>
              <w:left w:type="dxa" w:w="90"/>
              <w:bottom w:type="dxa" w:w="60"/>
              <w:right w:type="dxa" w:w="90"/>
            </w:tcMar>
          </w:tcPr>
          <w:p>
            <w:pPr>
              <w:spacing w:after="0" w:line="264"/>
            </w:pPr>
            <w:r>
              <w:rPr>
                <w:b w:val="false"/>
                <w:bCs w:val="false"/>
                <w:sz w:val="20"/>
                <w:szCs w:val="20"/>
              </w:rPr>
              <w:t xml:space="preserve">Large-general baseline</w:t>
            </w:r>
          </w:p>
        </w:tc>
      </w:tr>
      <w:tr>
        <w:tc>
          <w:tcPr>
            <w:tcW w:type="dxa" w:w="900"/>
            <w:tcMar>
              <w:top w:type="dxa" w:w="60"/>
              <w:left w:type="dxa" w:w="90"/>
              <w:bottom w:type="dxa" w:w="60"/>
              <w:right w:type="dxa" w:w="90"/>
            </w:tcMar>
          </w:tcPr>
          <w:p>
            <w:pPr>
              <w:spacing w:after="0" w:line="264"/>
            </w:pPr>
            <w:r>
              <w:rPr>
                <w:b w:val="false"/>
                <w:bCs w:val="false"/>
                <w:sz w:val="20"/>
                <w:szCs w:val="20"/>
              </w:rPr>
              <w:t xml:space="preserve">A5</w:t>
            </w:r>
          </w:p>
        </w:tc>
        <w:tc>
          <w:tcPr>
            <w:tcW w:type="dxa" w:w="1500"/>
            <w:tcMar>
              <w:top w:type="dxa" w:w="60"/>
              <w:left w:type="dxa" w:w="90"/>
              <w:bottom w:type="dxa" w:w="60"/>
              <w:right w:type="dxa" w:w="90"/>
            </w:tcMar>
          </w:tcPr>
          <w:p>
            <w:pPr>
              <w:spacing w:after="0" w:line="264"/>
            </w:pPr>
            <w:r>
              <w:rPr>
                <w:b w:val="false"/>
                <w:bCs w:val="false"/>
                <w:sz w:val="20"/>
                <w:szCs w:val="20"/>
              </w:rPr>
              <w:t xml:space="preserve">Small</w:t>
            </w:r>
          </w:p>
        </w:tc>
        <w:tc>
          <w:tcPr>
            <w:tcW w:type="dxa" w:w="3000"/>
            <w:tcMar>
              <w:top w:type="dxa" w:w="60"/>
              <w:left w:type="dxa" w:w="90"/>
              <w:bottom w:type="dxa" w:w="60"/>
              <w:right w:type="dxa" w:w="90"/>
            </w:tcMar>
          </w:tcPr>
          <w:p>
            <w:pPr>
              <w:spacing w:after="0" w:line="264"/>
            </w:pPr>
            <w:r>
              <w:rPr>
                <w:b w:val="false"/>
                <w:bCs w:val="false"/>
                <w:sz w:val="20"/>
                <w:szCs w:val="20"/>
              </w:rPr>
              <w:t xml:space="preserve">QLoRA, answer-only</w:t>
            </w:r>
          </w:p>
        </w:tc>
        <w:tc>
          <w:tcPr>
            <w:tcW w:type="dxa" w:w="3600"/>
            <w:tcMar>
              <w:top w:type="dxa" w:w="60"/>
              <w:left w:type="dxa" w:w="90"/>
              <w:bottom w:type="dxa" w:w="60"/>
              <w:right w:type="dxa" w:w="90"/>
            </w:tcMar>
          </w:tcPr>
          <w:p>
            <w:pPr>
              <w:spacing w:after="0" w:line="264"/>
            </w:pPr>
            <w:r>
              <w:rPr>
                <w:b w:val="false"/>
                <w:bCs w:val="false"/>
                <w:sz w:val="20"/>
                <w:szCs w:val="20"/>
              </w:rPr>
              <w:t xml:space="preserve">Effect of fine-tuning alone</w:t>
            </w:r>
          </w:p>
        </w:tc>
      </w:tr>
      <w:tr>
        <w:tc>
          <w:tcPr>
            <w:tcW w:type="dxa" w:w="900"/>
            <w:shd w:fill="EFF3FA" w:color="auto" w:val="clear"/>
            <w:tcMar>
              <w:top w:type="dxa" w:w="60"/>
              <w:left w:type="dxa" w:w="90"/>
              <w:bottom w:type="dxa" w:w="60"/>
              <w:right w:type="dxa" w:w="90"/>
            </w:tcMar>
          </w:tcPr>
          <w:p>
            <w:pPr>
              <w:spacing w:after="0" w:line="264"/>
            </w:pPr>
            <w:r>
              <w:rPr>
                <w:b w:val="false"/>
                <w:bCs w:val="false"/>
                <w:sz w:val="20"/>
                <w:szCs w:val="20"/>
              </w:rPr>
              <w:t xml:space="preserve">A6</w:t>
            </w:r>
          </w:p>
        </w:tc>
        <w:tc>
          <w:tcPr>
            <w:tcW w:type="dxa" w:w="1500"/>
            <w:shd w:fill="EFF3FA" w:color="auto" w:val="clear"/>
            <w:tcMar>
              <w:top w:type="dxa" w:w="60"/>
              <w:left w:type="dxa" w:w="90"/>
              <w:bottom w:type="dxa" w:w="60"/>
              <w:right w:type="dxa" w:w="90"/>
            </w:tcMar>
          </w:tcPr>
          <w:p>
            <w:pPr>
              <w:spacing w:after="0" w:line="264"/>
            </w:pPr>
            <w:r>
              <w:rPr>
                <w:b w:val="false"/>
                <w:bCs w:val="false"/>
                <w:sz w:val="20"/>
                <w:szCs w:val="20"/>
              </w:rPr>
              <w:t xml:space="preserve">Small</w:t>
            </w:r>
          </w:p>
        </w:tc>
        <w:tc>
          <w:tcPr>
            <w:tcW w:type="dxa" w:w="3000"/>
            <w:shd w:fill="EFF3FA" w:color="auto" w:val="clear"/>
            <w:tcMar>
              <w:top w:type="dxa" w:w="60"/>
              <w:left w:type="dxa" w:w="90"/>
              <w:bottom w:type="dxa" w:w="60"/>
              <w:right w:type="dxa" w:w="90"/>
            </w:tcMar>
          </w:tcPr>
          <w:p>
            <w:pPr>
              <w:spacing w:after="0" w:line="264"/>
            </w:pPr>
            <w:r>
              <w:rPr>
                <w:b w:val="false"/>
                <w:bCs w:val="false"/>
                <w:sz w:val="20"/>
                <w:szCs w:val="20"/>
              </w:rPr>
              <w:t xml:space="preserve">QLoRA + Chain-of-Thought</w:t>
            </w:r>
          </w:p>
        </w:tc>
        <w:tc>
          <w:tcPr>
            <w:tcW w:type="dxa" w:w="3600"/>
            <w:shd w:fill="EFF3FA" w:color="auto" w:val="clear"/>
            <w:tcMar>
              <w:top w:type="dxa" w:w="60"/>
              <w:left w:type="dxa" w:w="90"/>
              <w:bottom w:type="dxa" w:w="60"/>
              <w:right w:type="dxa" w:w="90"/>
            </w:tcMar>
          </w:tcPr>
          <w:p>
            <w:pPr>
              <w:spacing w:after="0" w:line="264"/>
            </w:pPr>
            <w:r>
              <w:rPr>
                <w:b w:val="false"/>
                <w:bCs w:val="false"/>
                <w:sz w:val="20"/>
                <w:szCs w:val="20"/>
              </w:rPr>
              <w:t xml:space="preserve">Effect of a natural-language rationale</w:t>
            </w:r>
          </w:p>
        </w:tc>
      </w:tr>
      <w:tr>
        <w:tc>
          <w:tcPr>
            <w:tcW w:type="dxa" w:w="900"/>
            <w:tcMar>
              <w:top w:type="dxa" w:w="60"/>
              <w:left w:type="dxa" w:w="90"/>
              <w:bottom w:type="dxa" w:w="60"/>
              <w:right w:type="dxa" w:w="90"/>
            </w:tcMar>
          </w:tcPr>
          <w:p>
            <w:pPr>
              <w:spacing w:after="0" w:line="264"/>
            </w:pPr>
            <w:r>
              <w:rPr>
                <w:b w:val="false"/>
                <w:bCs w:val="false"/>
                <w:sz w:val="20"/>
                <w:szCs w:val="20"/>
              </w:rPr>
              <w:t xml:space="preserve">A7</w:t>
            </w:r>
          </w:p>
        </w:tc>
        <w:tc>
          <w:tcPr>
            <w:tcW w:type="dxa" w:w="1500"/>
            <w:tcMar>
              <w:top w:type="dxa" w:w="60"/>
              <w:left w:type="dxa" w:w="90"/>
              <w:bottom w:type="dxa" w:w="60"/>
              <w:right w:type="dxa" w:w="90"/>
            </w:tcMar>
          </w:tcPr>
          <w:p>
            <w:pPr>
              <w:spacing w:after="0" w:line="264"/>
            </w:pPr>
            <w:r>
              <w:rPr>
                <w:b w:val="false"/>
                <w:bCs w:val="false"/>
                <w:sz w:val="20"/>
                <w:szCs w:val="20"/>
              </w:rPr>
              <w:t xml:space="preserve">Small</w:t>
            </w:r>
          </w:p>
        </w:tc>
        <w:tc>
          <w:tcPr>
            <w:tcW w:type="dxa" w:w="3000"/>
            <w:tcMar>
              <w:top w:type="dxa" w:w="60"/>
              <w:left w:type="dxa" w:w="90"/>
              <w:bottom w:type="dxa" w:w="60"/>
              <w:right w:type="dxa" w:w="90"/>
            </w:tcMar>
          </w:tcPr>
          <w:p>
            <w:pPr>
              <w:spacing w:after="0" w:line="264"/>
            </w:pPr>
            <w:r>
              <w:rPr>
                <w:b w:val="false"/>
                <w:bCs w:val="false"/>
                <w:sz w:val="20"/>
                <w:szCs w:val="20"/>
              </w:rPr>
              <w:t xml:space="preserve">QLoRA + Program-of-Thoughts (gold)</w:t>
            </w:r>
          </w:p>
        </w:tc>
        <w:tc>
          <w:tcPr>
            <w:tcW w:type="dxa" w:w="3600"/>
            <w:tcMar>
              <w:top w:type="dxa" w:w="60"/>
              <w:left w:type="dxa" w:w="90"/>
              <w:bottom w:type="dxa" w:w="60"/>
              <w:right w:type="dxa" w:w="90"/>
            </w:tcMar>
          </w:tcPr>
          <w:p>
            <w:pPr>
              <w:spacing w:after="0" w:line="264"/>
            </w:pPr>
            <w:r>
              <w:rPr>
                <w:b w:val="false"/>
                <w:bCs w:val="false"/>
                <w:sz w:val="20"/>
                <w:szCs w:val="20"/>
              </w:rPr>
              <w:t xml:space="preserve">Faithful reasoning under gold supervision</w:t>
            </w:r>
          </w:p>
        </w:tc>
      </w:tr>
      <w:tr>
        <w:tc>
          <w:tcPr>
            <w:tcW w:type="dxa" w:w="900"/>
            <w:shd w:fill="EFF3FA" w:color="auto" w:val="clear"/>
            <w:tcMar>
              <w:top w:type="dxa" w:w="60"/>
              <w:left w:type="dxa" w:w="90"/>
              <w:bottom w:type="dxa" w:w="60"/>
              <w:right w:type="dxa" w:w="90"/>
            </w:tcMar>
          </w:tcPr>
          <w:p>
            <w:pPr>
              <w:spacing w:after="0" w:line="264"/>
            </w:pPr>
            <w:r>
              <w:rPr>
                <w:b w:val="false"/>
                <w:bCs w:val="false"/>
                <w:sz w:val="20"/>
                <w:szCs w:val="20"/>
              </w:rPr>
              <w:t xml:space="preserve">A8</w:t>
            </w:r>
          </w:p>
        </w:tc>
        <w:tc>
          <w:tcPr>
            <w:tcW w:type="dxa" w:w="1500"/>
            <w:shd w:fill="EFF3FA" w:color="auto" w:val="clear"/>
            <w:tcMar>
              <w:top w:type="dxa" w:w="60"/>
              <w:left w:type="dxa" w:w="90"/>
              <w:bottom w:type="dxa" w:w="60"/>
              <w:right w:type="dxa" w:w="90"/>
            </w:tcMar>
          </w:tcPr>
          <w:p>
            <w:pPr>
              <w:spacing w:after="0" w:line="264"/>
            </w:pPr>
            <w:r>
              <w:rPr>
                <w:b w:val="false"/>
                <w:bCs w:val="false"/>
                <w:sz w:val="20"/>
                <w:szCs w:val="20"/>
              </w:rPr>
              <w:t xml:space="preserve">Small</w:t>
            </w:r>
          </w:p>
        </w:tc>
        <w:tc>
          <w:tcPr>
            <w:tcW w:type="dxa" w:w="3000"/>
            <w:shd w:fill="EFF3FA" w:color="auto" w:val="clear"/>
            <w:tcMar>
              <w:top w:type="dxa" w:w="60"/>
              <w:left w:type="dxa" w:w="90"/>
              <w:bottom w:type="dxa" w:w="60"/>
              <w:right w:type="dxa" w:w="90"/>
            </w:tcMar>
          </w:tcPr>
          <w:p>
            <w:pPr>
              <w:spacing w:after="0" w:line="264"/>
            </w:pPr>
            <w:r>
              <w:rPr>
                <w:b w:val="false"/>
                <w:bCs w:val="false"/>
                <w:sz w:val="20"/>
                <w:szCs w:val="20"/>
              </w:rPr>
              <w:t xml:space="preserve">QLoRA + distilled PoT (verified)</w:t>
            </w:r>
          </w:p>
        </w:tc>
        <w:tc>
          <w:tcPr>
            <w:tcW w:type="dxa" w:w="3600"/>
            <w:shd w:fill="EFF3FA" w:color="auto" w:val="clear"/>
            <w:tcMar>
              <w:top w:type="dxa" w:w="60"/>
              <w:left w:type="dxa" w:w="90"/>
              <w:bottom w:type="dxa" w:w="60"/>
              <w:right w:type="dxa" w:w="90"/>
            </w:tcMar>
          </w:tcPr>
          <w:p>
            <w:pPr>
              <w:spacing w:after="0" w:line="264"/>
            </w:pPr>
            <w:r>
              <w:rPr>
                <w:b w:val="false"/>
                <w:bCs w:val="false"/>
                <w:sz w:val="20"/>
                <w:szCs w:val="20"/>
              </w:rPr>
              <w:t xml:space="preserve">Reproduction of [4] as a reference point</w:t>
            </w:r>
          </w:p>
        </w:tc>
      </w:tr>
    </w:tbl>
    <w:p>
      <w:pPr>
        <w:spacing w:after="60"/>
      </w:pPr>
      <w:r>
        <w:t xml:space="preserve"/>
      </w:r>
    </w:p>
    <w:p>
      <w:pPr>
        <w:spacing w:after="140" w:line="300"/>
        <w:jc w:val="both"/>
      </w:pPr>
      <w:r>
        <w:rPr>
          <w:i/>
          <w:iCs/>
        </w:rPr>
        <w:t xml:space="preserve">In the arm matrix, “Large” and the distillation teacher denote the ~32B model during Phase 1 and the ≥70B model during Phase 2 (Job 4); the large-model arms (A3, A4) and the distilled-PoT arm (A8) are therefore run once per tier.</w:t>
      </w:r>
    </w:p>
    <w:p>
      <w:pPr>
        <w:spacing w:after="140" w:line="300"/>
        <w:jc w:val="both"/>
      </w:pPr>
      <w:r>
        <w:rPr>
          <w:b/>
          <w:bCs/>
        </w:rPr>
        <w:t xml:space="preserve">Metrics: </w:t>
      </w:r>
      <w:r>
        <w:t xml:space="preserve">Exact Match; contamination gap (Exact Match on standard minus clean data, per model class — the headline measure); execution accuracy on program arms; faithfulness (primary plus the labelled cross-arm proxy), each reported for standard and clean data; program executability rate; and an accuracy-per-compute (FLOP and dollar) frontier.</w:t>
      </w:r>
    </w:p>
    <w:p>
      <w:pPr>
        <w:pStyle w:val="Heading1"/>
      </w:pPr>
      <w:r>
        <w:t xml:space="preserve">6. Compute Plan and Phased Execution</w:t>
      </w:r>
    </w:p>
    <w:p>
      <w:pPr>
        <w:spacing w:after="140" w:line="300"/>
        <w:jc w:val="both"/>
      </w:pPr>
      <w:r>
        <w:t xml:space="preserve">The project is deliberately structured so that the entire methodology — dataset construction, fine-tuning, evaluation, faithfulness measurement, and the contamination protocol — is validated end-to-end </w:t>
      </w:r>
      <w:r>
        <w:rPr>
          <w:b/>
          <w:bCs/>
        </w:rPr>
        <w:t xml:space="preserve">at zero cost</w:t>
      </w:r>
      <w:r>
        <w:t xml:space="preserve"> before any money is spent. Compute is organized into four jobs across two phases.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3000"/>
        <w:gridCol w:w="2500"/>
        <w:gridCol w:w="1200"/>
        <w:gridCol w:w="1600"/>
      </w:tblGrid>
      <w:tr>
        <w:trPr>
          <w:tblHeader/>
        </w:trPr>
        <w:tc>
          <w:tcPr>
            <w:tcW w:type="dxa" w:w="700"/>
            <w:shd w:fill="1F3864" w:color="auto" w:val="clear"/>
            <w:tcMar>
              <w:top w:type="dxa" w:w="60"/>
              <w:left w:type="dxa" w:w="90"/>
              <w:bottom w:type="dxa" w:w="60"/>
              <w:right w:type="dxa" w:w="90"/>
            </w:tcMar>
          </w:tcPr>
          <w:p>
            <w:pPr>
              <w:spacing w:after="0" w:line="264"/>
            </w:pPr>
            <w:r>
              <w:rPr>
                <w:b/>
                <w:bCs/>
                <w:color w:val="FFFFFF"/>
                <w:sz w:val="20"/>
                <w:szCs w:val="20"/>
              </w:rPr>
              <w:t xml:space="preserve">Job</w:t>
            </w:r>
          </w:p>
        </w:tc>
        <w:tc>
          <w:tcPr>
            <w:tcW w:type="dxa" w:w="3000"/>
            <w:shd w:fill="1F3864" w:color="auto" w:val="clear"/>
            <w:tcMar>
              <w:top w:type="dxa" w:w="60"/>
              <w:left w:type="dxa" w:w="90"/>
              <w:bottom w:type="dxa" w:w="60"/>
              <w:right w:type="dxa" w:w="90"/>
            </w:tcMar>
          </w:tcPr>
          <w:p>
            <w:pPr>
              <w:spacing w:after="0" w:line="264"/>
            </w:pPr>
            <w:r>
              <w:rPr>
                <w:b/>
                <w:bCs/>
                <w:color w:val="FFFFFF"/>
                <w:sz w:val="20"/>
                <w:szCs w:val="20"/>
              </w:rPr>
              <w:t xml:space="preserve">Task</w:t>
            </w:r>
          </w:p>
        </w:tc>
        <w:tc>
          <w:tcPr>
            <w:tcW w:type="dxa" w:w="2500"/>
            <w:shd w:fill="1F3864" w:color="auto" w:val="clear"/>
            <w:tcMar>
              <w:top w:type="dxa" w:w="60"/>
              <w:left w:type="dxa" w:w="90"/>
              <w:bottom w:type="dxa" w:w="60"/>
              <w:right w:type="dxa" w:w="90"/>
            </w:tcMar>
          </w:tcPr>
          <w:p>
            <w:pPr>
              <w:spacing w:after="0" w:line="264"/>
            </w:pPr>
            <w:r>
              <w:rPr>
                <w:b/>
                <w:bCs/>
                <w:color w:val="FFFFFF"/>
                <w:sz w:val="20"/>
                <w:szCs w:val="20"/>
              </w:rPr>
              <w:t xml:space="preserve">Hardware</w:t>
            </w:r>
          </w:p>
        </w:tc>
        <w:tc>
          <w:tcPr>
            <w:tcW w:type="dxa" w:w="1200"/>
            <w:shd w:fill="1F3864" w:color="auto" w:val="clear"/>
            <w:tcMar>
              <w:top w:type="dxa" w:w="60"/>
              <w:left w:type="dxa" w:w="90"/>
              <w:bottom w:type="dxa" w:w="60"/>
              <w:right w:type="dxa" w:w="90"/>
            </w:tcMar>
          </w:tcPr>
          <w:p>
            <w:pPr>
              <w:spacing w:after="0" w:line="264"/>
            </w:pPr>
            <w:r>
              <w:rPr>
                <w:b/>
                <w:bCs/>
                <w:color w:val="FFFFFF"/>
                <w:sz w:val="20"/>
                <w:szCs w:val="20"/>
              </w:rPr>
              <w:t xml:space="preserve">Cost</w:t>
            </w:r>
          </w:p>
        </w:tc>
        <w:tc>
          <w:tcPr>
            <w:tcW w:type="dxa" w:w="1600"/>
            <w:shd w:fill="1F3864" w:color="auto" w:val="clear"/>
            <w:tcMar>
              <w:top w:type="dxa" w:w="60"/>
              <w:left w:type="dxa" w:w="90"/>
              <w:bottom w:type="dxa" w:w="60"/>
              <w:right w:type="dxa" w:w="90"/>
            </w:tcMar>
          </w:tcPr>
          <w:p>
            <w:pPr>
              <w:spacing w:after="0" w:line="264"/>
            </w:pPr>
            <w:r>
              <w:rPr>
                <w:b/>
                <w:bCs/>
                <w:color w:val="FFFFFF"/>
                <w:sz w:val="20"/>
                <w:szCs w:val="20"/>
              </w:rPr>
              <w:t xml:space="preserve">Phase</w:t>
            </w:r>
          </w:p>
        </w:tc>
      </w:tr>
      <w:tr>
        <w:tc>
          <w:tcPr>
            <w:tcW w:type="dxa" w:w="700"/>
            <w:tcMar>
              <w:top w:type="dxa" w:w="60"/>
              <w:left w:type="dxa" w:w="90"/>
              <w:bottom w:type="dxa" w:w="60"/>
              <w:right w:type="dxa" w:w="90"/>
            </w:tcMar>
          </w:tcPr>
          <w:p>
            <w:pPr>
              <w:spacing w:after="0" w:line="264"/>
            </w:pPr>
            <w:r>
              <w:rPr>
                <w:b w:val="false"/>
                <w:bCs w:val="false"/>
                <w:sz w:val="20"/>
                <w:szCs w:val="20"/>
              </w:rPr>
              <w:t xml:space="preserve">1</w:t>
            </w:r>
          </w:p>
        </w:tc>
        <w:tc>
          <w:tcPr>
            <w:tcW w:type="dxa" w:w="3000"/>
            <w:tcMar>
              <w:top w:type="dxa" w:w="60"/>
              <w:left w:type="dxa" w:w="90"/>
              <w:bottom w:type="dxa" w:w="60"/>
              <w:right w:type="dxa" w:w="90"/>
            </w:tcMar>
          </w:tcPr>
          <w:p>
            <w:pPr>
              <w:spacing w:after="0" w:line="264"/>
            </w:pPr>
            <w:r>
              <w:rPr>
                <w:b w:val="false"/>
                <w:bCs w:val="false"/>
                <w:sz w:val="20"/>
                <w:szCs w:val="20"/>
              </w:rPr>
              <w:t xml:space="preserve">Student QLoRA fine-tuning (≤8B)</w:t>
            </w:r>
          </w:p>
        </w:tc>
        <w:tc>
          <w:tcPr>
            <w:tcW w:type="dxa" w:w="2500"/>
            <w:tcMar>
              <w:top w:type="dxa" w:w="60"/>
              <w:left w:type="dxa" w:w="90"/>
              <w:bottom w:type="dxa" w:w="60"/>
              <w:right w:type="dxa" w:w="90"/>
            </w:tcMar>
          </w:tcPr>
          <w:p>
            <w:pPr>
              <w:spacing w:after="0" w:line="264"/>
            </w:pPr>
            <w:r>
              <w:rPr>
                <w:b w:val="false"/>
                <w:bCs w:val="false"/>
                <w:sz w:val="20"/>
                <w:szCs w:val="20"/>
              </w:rPr>
              <w:t xml:space="preserve">Kaggle T4 (16 GB)</w:t>
            </w:r>
          </w:p>
        </w:tc>
        <w:tc>
          <w:tcPr>
            <w:tcW w:type="dxa" w:w="1200"/>
            <w:tcMar>
              <w:top w:type="dxa" w:w="60"/>
              <w:left w:type="dxa" w:w="90"/>
              <w:bottom w:type="dxa" w:w="60"/>
              <w:right w:type="dxa" w:w="90"/>
            </w:tcMar>
          </w:tcPr>
          <w:p>
            <w:pPr>
              <w:spacing w:after="0" w:line="264"/>
            </w:pPr>
            <w:r>
              <w:rPr>
                <w:b w:val="false"/>
                <w:bCs w:val="false"/>
                <w:sz w:val="20"/>
                <w:szCs w:val="20"/>
              </w:rPr>
              <w:t xml:space="preserve">Free</w:t>
            </w:r>
          </w:p>
        </w:tc>
        <w:tc>
          <w:tcPr>
            <w:tcW w:type="dxa" w:w="1600"/>
            <w:tcMar>
              <w:top w:type="dxa" w:w="60"/>
              <w:left w:type="dxa" w:w="90"/>
              <w:bottom w:type="dxa" w:w="60"/>
              <w:right w:type="dxa" w:w="90"/>
            </w:tcMar>
          </w:tcPr>
          <w:p>
            <w:pPr>
              <w:spacing w:after="0" w:line="264"/>
            </w:pPr>
            <w:r>
              <w:rPr>
                <w:b w:val="false"/>
                <w:bCs w:val="false"/>
                <w:sz w:val="20"/>
                <w:szCs w:val="20"/>
              </w:rPr>
              <w:t xml:space="preserve">1</w:t>
            </w:r>
          </w:p>
        </w:tc>
      </w:tr>
      <w:tr>
        <w:tc>
          <w:tcPr>
            <w:tcW w:type="dxa" w:w="700"/>
            <w:shd w:fill="EFF3FA" w:color="auto" w:val="clear"/>
            <w:tcMar>
              <w:top w:type="dxa" w:w="60"/>
              <w:left w:type="dxa" w:w="90"/>
              <w:bottom w:type="dxa" w:w="60"/>
              <w:right w:type="dxa" w:w="90"/>
            </w:tcMar>
          </w:tcPr>
          <w:p>
            <w:pPr>
              <w:spacing w:after="0" w:line="264"/>
            </w:pPr>
            <w:r>
              <w:rPr>
                <w:b w:val="false"/>
                <w:bCs w:val="false"/>
                <w:sz w:val="20"/>
                <w:szCs w:val="20"/>
              </w:rPr>
              <w:t xml:space="preserve">2</w:t>
            </w:r>
          </w:p>
        </w:tc>
        <w:tc>
          <w:tcPr>
            <w:tcW w:type="dxa" w:w="3000"/>
            <w:shd w:fill="EFF3FA" w:color="auto" w:val="clear"/>
            <w:tcMar>
              <w:top w:type="dxa" w:w="60"/>
              <w:left w:type="dxa" w:w="90"/>
              <w:bottom w:type="dxa" w:w="60"/>
              <w:right w:type="dxa" w:w="90"/>
            </w:tcMar>
          </w:tcPr>
          <w:p>
            <w:pPr>
              <w:spacing w:after="0" w:line="264"/>
            </w:pPr>
            <w:r>
              <w:rPr>
                <w:b w:val="false"/>
                <w:bCs w:val="false"/>
                <w:sz w:val="20"/>
                <w:szCs w:val="20"/>
              </w:rPr>
              <w:t xml:space="preserve">Student inference &amp; evaluation</w:t>
            </w:r>
          </w:p>
        </w:tc>
        <w:tc>
          <w:tcPr>
            <w:tcW w:type="dxa" w:w="2500"/>
            <w:shd w:fill="EFF3FA" w:color="auto" w:val="clear"/>
            <w:tcMar>
              <w:top w:type="dxa" w:w="60"/>
              <w:left w:type="dxa" w:w="90"/>
              <w:bottom w:type="dxa" w:w="60"/>
              <w:right w:type="dxa" w:w="90"/>
            </w:tcMar>
          </w:tcPr>
          <w:p>
            <w:pPr>
              <w:spacing w:after="0" w:line="264"/>
            </w:pPr>
            <w:r>
              <w:rPr>
                <w:b w:val="false"/>
                <w:bCs w:val="false"/>
                <w:sz w:val="20"/>
                <w:szCs w:val="20"/>
              </w:rPr>
              <w:t xml:space="preserve">Kaggle T4</w:t>
            </w:r>
          </w:p>
        </w:tc>
        <w:tc>
          <w:tcPr>
            <w:tcW w:type="dxa" w:w="1200"/>
            <w:shd w:fill="EFF3FA" w:color="auto" w:val="clear"/>
            <w:tcMar>
              <w:top w:type="dxa" w:w="60"/>
              <w:left w:type="dxa" w:w="90"/>
              <w:bottom w:type="dxa" w:w="60"/>
              <w:right w:type="dxa" w:w="90"/>
            </w:tcMar>
          </w:tcPr>
          <w:p>
            <w:pPr>
              <w:spacing w:after="0" w:line="264"/>
            </w:pPr>
            <w:r>
              <w:rPr>
                <w:b w:val="false"/>
                <w:bCs w:val="false"/>
                <w:sz w:val="20"/>
                <w:szCs w:val="20"/>
              </w:rPr>
              <w:t xml:space="preserve">Free</w:t>
            </w:r>
          </w:p>
        </w:tc>
        <w:tc>
          <w:tcPr>
            <w:tcW w:type="dxa" w:w="1600"/>
            <w:shd w:fill="EFF3FA" w:color="auto" w:val="clear"/>
            <w:tcMar>
              <w:top w:type="dxa" w:w="60"/>
              <w:left w:type="dxa" w:w="90"/>
              <w:bottom w:type="dxa" w:w="60"/>
              <w:right w:type="dxa" w:w="90"/>
            </w:tcMar>
          </w:tcPr>
          <w:p>
            <w:pPr>
              <w:spacing w:after="0" w:line="264"/>
            </w:pPr>
            <w:r>
              <w:rPr>
                <w:b w:val="false"/>
                <w:bCs w:val="false"/>
                <w:sz w:val="20"/>
                <w:szCs w:val="20"/>
              </w:rPr>
              <w:t xml:space="preserve">1</w:t>
            </w:r>
          </w:p>
        </w:tc>
      </w:tr>
      <w:tr>
        <w:tc>
          <w:tcPr>
            <w:tcW w:type="dxa" w:w="700"/>
            <w:tcMar>
              <w:top w:type="dxa" w:w="60"/>
              <w:left w:type="dxa" w:w="90"/>
              <w:bottom w:type="dxa" w:w="60"/>
              <w:right w:type="dxa" w:w="90"/>
            </w:tcMar>
          </w:tcPr>
          <w:p>
            <w:pPr>
              <w:spacing w:after="0" w:line="264"/>
            </w:pPr>
            <w:r>
              <w:rPr>
                <w:b w:val="false"/>
                <w:bCs w:val="false"/>
                <w:sz w:val="20"/>
                <w:szCs w:val="20"/>
              </w:rPr>
              <w:t xml:space="preserve">3</w:t>
            </w:r>
          </w:p>
        </w:tc>
        <w:tc>
          <w:tcPr>
            <w:tcW w:type="dxa" w:w="3000"/>
            <w:tcMar>
              <w:top w:type="dxa" w:w="60"/>
              <w:left w:type="dxa" w:w="90"/>
              <w:bottom w:type="dxa" w:w="60"/>
              <w:right w:type="dxa" w:w="90"/>
            </w:tcMar>
          </w:tcPr>
          <w:p>
            <w:pPr>
              <w:spacing w:after="0" w:line="264"/>
            </w:pPr>
            <w:r>
              <w:rPr>
                <w:b w:val="false"/>
                <w:bCs w:val="false"/>
                <w:sz w:val="20"/>
                <w:szCs w:val="20"/>
              </w:rPr>
              <w:t xml:space="preserve">~32B teacher traces + large baseline</w:t>
            </w:r>
          </w:p>
        </w:tc>
        <w:tc>
          <w:tcPr>
            <w:tcW w:type="dxa" w:w="2500"/>
            <w:tcMar>
              <w:top w:type="dxa" w:w="60"/>
              <w:left w:type="dxa" w:w="90"/>
              <w:bottom w:type="dxa" w:w="60"/>
              <w:right w:type="dxa" w:w="90"/>
            </w:tcMar>
          </w:tcPr>
          <w:p>
            <w:pPr>
              <w:spacing w:after="0" w:line="264"/>
            </w:pPr>
            <w:r>
              <w:rPr>
                <w:b w:val="false"/>
                <w:bCs w:val="false"/>
                <w:sz w:val="20"/>
                <w:szCs w:val="20"/>
              </w:rPr>
              <w:t xml:space="preserve">Kaggle T4×2 (32 GB, 4-bit)</w:t>
            </w:r>
          </w:p>
        </w:tc>
        <w:tc>
          <w:tcPr>
            <w:tcW w:type="dxa" w:w="1200"/>
            <w:tcMar>
              <w:top w:type="dxa" w:w="60"/>
              <w:left w:type="dxa" w:w="90"/>
              <w:bottom w:type="dxa" w:w="60"/>
              <w:right w:type="dxa" w:w="90"/>
            </w:tcMar>
          </w:tcPr>
          <w:p>
            <w:pPr>
              <w:spacing w:after="0" w:line="264"/>
            </w:pPr>
            <w:r>
              <w:rPr>
                <w:b w:val="false"/>
                <w:bCs w:val="false"/>
                <w:sz w:val="20"/>
                <w:szCs w:val="20"/>
              </w:rPr>
              <w:t xml:space="preserve">Free</w:t>
            </w:r>
          </w:p>
        </w:tc>
        <w:tc>
          <w:tcPr>
            <w:tcW w:type="dxa" w:w="1600"/>
            <w:tcMar>
              <w:top w:type="dxa" w:w="60"/>
              <w:left w:type="dxa" w:w="90"/>
              <w:bottom w:type="dxa" w:w="60"/>
              <w:right w:type="dxa" w:w="90"/>
            </w:tcMar>
          </w:tcPr>
          <w:p>
            <w:pPr>
              <w:spacing w:after="0" w:line="264"/>
            </w:pPr>
            <w:r>
              <w:rPr>
                <w:b w:val="false"/>
                <w:bCs w:val="false"/>
                <w:sz w:val="20"/>
                <w:szCs w:val="20"/>
              </w:rPr>
              <w:t xml:space="preserve">1</w:t>
            </w:r>
          </w:p>
        </w:tc>
      </w:tr>
      <w:tr>
        <w:tc>
          <w:tcPr>
            <w:tcW w:type="dxa" w:w="700"/>
            <w:shd w:fill="EFF3FA" w:color="auto" w:val="clear"/>
            <w:tcMar>
              <w:top w:type="dxa" w:w="60"/>
              <w:left w:type="dxa" w:w="90"/>
              <w:bottom w:type="dxa" w:w="60"/>
              <w:right w:type="dxa" w:w="90"/>
            </w:tcMar>
          </w:tcPr>
          <w:p>
            <w:pPr>
              <w:spacing w:after="0" w:line="264"/>
            </w:pPr>
            <w:r>
              <w:rPr>
                <w:b w:val="false"/>
                <w:bCs w:val="false"/>
                <w:sz w:val="20"/>
                <w:szCs w:val="20"/>
              </w:rPr>
              <w:t xml:space="preserve">4</w:t>
            </w:r>
          </w:p>
        </w:tc>
        <w:tc>
          <w:tcPr>
            <w:tcW w:type="dxa" w:w="3000"/>
            <w:shd w:fill="EFF3FA" w:color="auto" w:val="clear"/>
            <w:tcMar>
              <w:top w:type="dxa" w:w="60"/>
              <w:left w:type="dxa" w:w="90"/>
              <w:bottom w:type="dxa" w:w="60"/>
              <w:right w:type="dxa" w:w="90"/>
            </w:tcMar>
          </w:tcPr>
          <w:p>
            <w:pPr>
              <w:spacing w:after="0" w:line="264"/>
            </w:pPr>
            <w:r>
              <w:rPr>
                <w:b w:val="false"/>
                <w:bCs w:val="false"/>
                <w:sz w:val="20"/>
                <w:szCs w:val="20"/>
              </w:rPr>
              <w:t xml:space="preserve">≥70B teacher + baseline (scaling)</w:t>
            </w:r>
          </w:p>
        </w:tc>
        <w:tc>
          <w:tcPr>
            <w:tcW w:type="dxa" w:w="2500"/>
            <w:shd w:fill="EFF3FA" w:color="auto" w:val="clear"/>
            <w:tcMar>
              <w:top w:type="dxa" w:w="60"/>
              <w:left w:type="dxa" w:w="90"/>
              <w:bottom w:type="dxa" w:w="60"/>
              <w:right w:type="dxa" w:w="90"/>
            </w:tcMar>
          </w:tcPr>
          <w:p>
            <w:pPr>
              <w:spacing w:after="0" w:line="264"/>
            </w:pPr>
            <w:r>
              <w:rPr>
                <w:b w:val="false"/>
                <w:bCs w:val="false"/>
                <w:sz w:val="20"/>
                <w:szCs w:val="20"/>
              </w:rPr>
              <w:t xml:space="preserve">Open-70B API or rented A100-80GB</w:t>
            </w:r>
          </w:p>
        </w:tc>
        <w:tc>
          <w:tcPr>
            <w:tcW w:type="dxa" w:w="1200"/>
            <w:shd w:fill="EFF3FA" w:color="auto" w:val="clear"/>
            <w:tcMar>
              <w:top w:type="dxa" w:w="60"/>
              <w:left w:type="dxa" w:w="90"/>
              <w:bottom w:type="dxa" w:w="60"/>
              <w:right w:type="dxa" w:w="90"/>
            </w:tcMar>
          </w:tcPr>
          <w:p>
            <w:pPr>
              <w:spacing w:after="0" w:line="264"/>
            </w:pPr>
            <w:r>
              <w:rPr>
                <w:b w:val="false"/>
                <w:bCs w:val="false"/>
                <w:sz w:val="20"/>
                <w:szCs w:val="20"/>
              </w:rPr>
              <w:t xml:space="preserve">~$40–100</w:t>
            </w:r>
          </w:p>
        </w:tc>
        <w:tc>
          <w:tcPr>
            <w:tcW w:type="dxa" w:w="1600"/>
            <w:shd w:fill="EFF3FA" w:color="auto" w:val="clear"/>
            <w:tcMar>
              <w:top w:type="dxa" w:w="60"/>
              <w:left w:type="dxa" w:w="90"/>
              <w:bottom w:type="dxa" w:w="60"/>
              <w:right w:type="dxa" w:w="90"/>
            </w:tcMar>
          </w:tcPr>
          <w:p>
            <w:pPr>
              <w:spacing w:after="0" w:line="264"/>
            </w:pPr>
            <w:r>
              <w:rPr>
                <w:b w:val="false"/>
                <w:bCs w:val="false"/>
                <w:sz w:val="20"/>
                <w:szCs w:val="20"/>
              </w:rPr>
              <w:t xml:space="preserve">2</w:t>
            </w:r>
          </w:p>
        </w:tc>
      </w:tr>
    </w:tbl>
    <w:p>
      <w:pPr>
        <w:spacing w:after="60"/>
      </w:pPr>
      <w:r>
        <w:t xml:space="preserve"/>
      </w:r>
    </w:p>
    <w:p>
      <w:pPr>
        <w:spacing w:after="140" w:line="300"/>
        <w:jc w:val="both"/>
      </w:pPr>
      <w:r>
        <w:rPr>
          <w:b/>
          <w:bCs/>
        </w:rPr>
        <w:t xml:space="preserve">Phase 1 (Jobs 1–3, free). </w:t>
      </w:r>
      <w:r>
        <w:t xml:space="preserve">All small-model training and evaluation, and the ~32B large baseline and teacher, run on Kaggle’s free tier: a weekly quota of roughly 30 GPU-hours on 16 GB NVIDIA T4 GPUs, with the dual-T4 option providing 32 GB of memory for the ~32B model in 4-bit. Jobs 1 and 2 are estimated at ~120–180 GPU-hours in total; Job 3 adds ~32B trace generation and baseline evaluation. At ~30 GPU-hours per week, Phase 1 spans roughly six to eight weeks of quota — comfortably within the project timeline and at no financial cost. The dual-T4 accelerator is used rather than the P100, because the P100 lacks support for the 4-bit kernels the method requires.</w:t>
      </w:r>
    </w:p>
    <w:p>
      <w:pPr>
        <w:spacing w:after="140" w:line="300"/>
        <w:jc w:val="both"/>
      </w:pPr>
      <w:r>
        <w:rPr>
          <w:b/>
          <w:bCs/>
        </w:rPr>
        <w:t xml:space="preserve">Phase 2 (Job 4, paid). </w:t>
      </w:r>
      <w:r>
        <w:t xml:space="preserve">Only after Phase 1 confirms the pipeline and reports the ~32B results does the study extend the large-model comparison to ≥70B, which does not fit on free hardware (a 70B model needs roughly 40 GB in 4-bit, above the 32 GB ceiling of the free tier). Job 4 runs on either a serverless open-70B API (an estimated ~$40 for the roughly 70–80 million tokens involved) or a rented A100-80GB GPU for ~15–20 hours (~$20–60). Because Phase 1 has already de-risked every component, the paid job is entered with a proven method and a precise, known workload.</w:t>
      </w:r>
    </w:p>
    <w:p>
      <w:pPr>
        <w:spacing w:after="140" w:line="300"/>
        <w:jc w:val="both"/>
      </w:pPr>
      <w:r>
        <w:rPr>
          <w:b/>
          <w:bCs/>
        </w:rPr>
        <w:t xml:space="preserve">Timeline. </w:t>
      </w:r>
      <w:r>
        <w:t xml:space="preserve">Roughly 8–12 weeks of part-time work overall: Phase 1 across the first several weeks, and Phase 2 as a short, well-scoped extension once Phase 1 is complete.</w:t>
      </w:r>
    </w:p>
    <w:p>
      <w:pPr>
        <w:pStyle w:val="Heading1"/>
      </w:pPr>
      <w:r>
        <w:t xml:space="preserve">7. Risks and Mitigations</w:t>
      </w:r>
    </w:p>
    <w:p>
      <w:pPr>
        <w:pStyle w:val="ListParagraph"/>
        <w:numPr>
          <w:ilvl w:val="0"/>
          <w:numId w:val="1"/>
        </w:numPr>
        <w:spacing w:after="80" w:line="288"/>
        <w:jc w:val="both"/>
      </w:pPr>
      <w:r>
        <w:rPr>
          <w:b/>
          <w:bCs/>
        </w:rPr>
        <w:t xml:space="preserve">Free-tier throughput for the ~32B model. </w:t>
      </w:r>
      <w:r>
        <w:t xml:space="preserve">Inference on the dual-T4 setup is slow (the two cards have no high-speed interconnect), so Job 3’s trace generation consumes a meaningful share of the weekly quota; mitigated by capping the number of teacher samples, reusing released reasoning traces from [4] if available (which would remove trace generation from Job 3 entirely), and drawing on a second free pool (Colab’s separate weekly T4 allowance).</w:t>
      </w:r>
    </w:p>
    <w:p>
      <w:pPr>
        <w:pStyle w:val="ListParagraph"/>
        <w:numPr>
          <w:ilvl w:val="0"/>
          <w:numId w:val="1"/>
        </w:numPr>
        <w:spacing w:after="80" w:line="288"/>
        <w:jc w:val="both"/>
      </w:pPr>
      <w:r>
        <w:rPr>
          <w:b/>
          <w:bCs/>
        </w:rPr>
        <w:t xml:space="preserve">Active research area. </w:t>
      </w:r>
      <w:r>
        <w:t xml:space="preserve">The measurement lane is moving quickly [5]; mitigated by the jointly unoccupied combination of contamination control, compute-matching, and the reason-versus-recall analysis, and by a scheduled preemption re-check at draft freeze.</w:t>
      </w:r>
    </w:p>
    <w:p>
      <w:pPr>
        <w:pStyle w:val="ListParagraph"/>
        <w:numPr>
          <w:ilvl w:val="0"/>
          <w:numId w:val="1"/>
        </w:numPr>
        <w:spacing w:after="80" w:line="288"/>
        <w:jc w:val="both"/>
      </w:pPr>
      <w:r>
        <w:rPr>
          <w:b/>
          <w:bCs/>
        </w:rPr>
        <w:t xml:space="preserve">Contamination cannot be proven absent. </w:t>
      </w:r>
      <w:r>
        <w:t xml:space="preserve">Temporal cutoff is a recognized proxy; results are reported as a bound and triangulated with a verbatim-reproduction / membership-inference check on benchmark items.</w:t>
      </w:r>
    </w:p>
    <w:p>
      <w:pPr>
        <w:pStyle w:val="ListParagraph"/>
        <w:numPr>
          <w:ilvl w:val="0"/>
          <w:numId w:val="1"/>
        </w:numPr>
        <w:spacing w:after="80" w:line="288"/>
        <w:jc w:val="both"/>
      </w:pPr>
      <w:r>
        <w:rPr>
          <w:b/>
          <w:bCs/>
        </w:rPr>
        <w:t xml:space="preserve">Post-hoc faithfulness is a proxy. </w:t>
      </w:r>
      <w:r>
        <w:t xml:space="preserve">Stated explicitly; all strong claims rest on the primary program-based measure.</w:t>
      </w:r>
    </w:p>
    <w:p>
      <w:pPr>
        <w:pStyle w:val="ListParagraph"/>
        <w:numPr>
          <w:ilvl w:val="0"/>
          <w:numId w:val="1"/>
        </w:numPr>
        <w:spacing w:after="80" w:line="288"/>
        <w:jc w:val="both"/>
      </w:pPr>
      <w:r>
        <w:rPr>
          <w:b/>
          <w:bCs/>
        </w:rPr>
        <w:t xml:space="preserve">Clean-set construction. </w:t>
      </w:r>
      <w:r>
        <w:t xml:space="preserve">Every item is execution-verified; template gold is deterministic; a sample is manually spot-checked.</w:t>
      </w:r>
    </w:p>
    <w:p>
      <w:pPr>
        <w:pStyle w:val="ListParagraph"/>
        <w:numPr>
          <w:ilvl w:val="0"/>
          <w:numId w:val="1"/>
        </w:numPr>
        <w:spacing w:after="80" w:line="288"/>
        <w:jc w:val="both"/>
      </w:pPr>
      <w:r>
        <w:rPr>
          <w:b/>
          <w:bCs/>
        </w:rPr>
        <w:t xml:space="preserve">Engineering and data terms. </w:t>
      </w:r>
      <w:r>
        <w:t xml:space="preserve">Small-model program-execution failures and low-rank-adaptation variance are handled by reporting executability as a finding and fixing seeds with a small sweep; dataset licenses and SEC EDGAR usage terms are confirmed before any derived data is released.</w:t>
      </w:r>
    </w:p>
    <w:p>
      <w:pPr>
        <w:pStyle w:val="Heading1"/>
      </w:pPr>
      <w:r>
        <w:t xml:space="preserve">8. Expected Contributions</w:t>
      </w:r>
    </w:p>
    <w:p>
      <w:pPr>
        <w:pStyle w:val="ListParagraph"/>
        <w:numPr>
          <w:ilvl w:val="0"/>
          <w:numId w:val="1"/>
        </w:numPr>
        <w:spacing w:after="80" w:line="288"/>
        <w:jc w:val="both"/>
      </w:pPr>
      <w:r>
        <w:t xml:space="preserve">The first contamination-controlled re-evaluation of small-versus-large parity on financial numerical reasoning, separating pretraining recall from training-distribution memorization.</w:t>
      </w:r>
    </w:p>
    <w:p>
      <w:pPr>
        <w:pStyle w:val="ListParagraph"/>
        <w:numPr>
          <w:ilvl w:val="0"/>
          <w:numId w:val="1"/>
        </w:numPr>
        <w:spacing w:after="80" w:line="288"/>
        <w:jc w:val="both"/>
      </w:pPr>
      <w:r>
        <w:t xml:space="preserve">A compute-matched efficiency frontier (accuracy per FLOP and per dollar), reported on both standard and clean data, and at two model scales (~32B in Phase 1, ≥70B in Phase 2).</w:t>
      </w:r>
    </w:p>
    <w:p>
      <w:pPr>
        <w:pStyle w:val="ListParagraph"/>
        <w:numPr>
          <w:ilvl w:val="0"/>
          <w:numId w:val="1"/>
        </w:numPr>
        <w:spacing w:after="80" w:line="288"/>
        <w:jc w:val="both"/>
      </w:pPr>
      <w:r>
        <w:t xml:space="preserve">A reason-versus-recall faithfulness analysis combining a primary program-based measure with an honest cross-arm proxy.</w:t>
      </w:r>
    </w:p>
    <w:p>
      <w:pPr>
        <w:pStyle w:val="ListParagraph"/>
        <w:numPr>
          <w:ilvl w:val="0"/>
          <w:numId w:val="1"/>
        </w:numPr>
        <w:spacing w:after="80" w:line="288"/>
        <w:jc w:val="both"/>
      </w:pPr>
      <w:r>
        <w:t xml:space="preserve">A released, reproducible post-cutoff financial-reasoning evaluation set, together with code and adapter checkpoints. Because Phase 1 is fully self-contained on free hardware, the entire study is reproducible at no cost up to the ~32B scale — a reproducibility strength in its own right.</w:t>
      </w:r>
    </w:p>
    <w:p>
      <w:pPr>
        <w:pStyle w:val="Heading1"/>
      </w:pPr>
      <w:r>
        <w:t xml:space="preserve">9. References</w:t>
      </w:r>
    </w:p>
    <w:p>
      <w:pPr>
        <w:spacing w:after="140" w:line="300"/>
        <w:jc w:val="both"/>
      </w:pPr>
      <w:r>
        <w:rPr>
          <w:i/>
          <w:iCs/>
        </w:rPr>
        <w:t xml:space="preserve">Every reference below was verified against its source (arXiv, ACL Anthology, or publisher). Each entry notes the role it played in finalizing the topic.</w:t>
      </w:r>
    </w:p>
    <w:p>
      <w:pPr>
        <w:spacing w:after="60" w:before="120"/>
      </w:pPr>
      <w:r>
        <w:rPr>
          <w:b/>
          <w:bCs/>
          <w:i/>
          <w:iCs/>
        </w:rPr>
        <w:t xml:space="preserve">A. Task definition and benchmarks</w:t>
      </w:r>
    </w:p>
    <w:p>
      <w:pPr>
        <w:spacing w:after="100" w:line="276"/>
        <w:ind w:left="360" w:hanging="360"/>
      </w:pPr>
      <w:r>
        <w:rPr>
          <w:b/>
          <w:bCs/>
        </w:rPr>
        <w:t xml:space="preserve">[1] </w:t>
      </w:r>
      <w:r>
        <w:t xml:space="preserve">Z. Chen, W. Chen, C. Smiley, S. Shah, I. Borova, D. Langdon, R. Moussa, M. Beane, T.-H. Huang, B. R. Routledge, et al. </w:t>
      </w:r>
      <w:r>
        <w:rPr>
          <w:i/>
          <w:iCs/>
        </w:rPr>
        <w:t xml:space="preserve">FinQA: A Dataset of Numerical Reasoning over Financial Data. </w:t>
      </w:r>
      <w:r>
        <w:t xml:space="preserve">EMNLP 2021. arXiv:2109.00122. </w:t>
      </w:r>
      <w:r>
        <w:rPr>
          <w:i/>
          <w:iCs/>
        </w:rPr>
        <w:t xml:space="preserve">— primary benchmark.</w:t>
      </w:r>
    </w:p>
    <w:p>
      <w:pPr>
        <w:spacing w:after="100" w:line="276"/>
        <w:ind w:left="360" w:hanging="360"/>
      </w:pPr>
      <w:r>
        <w:rPr>
          <w:b/>
          <w:bCs/>
        </w:rPr>
        <w:t xml:space="preserve">[2] </w:t>
      </w:r>
      <w:r>
        <w:t xml:space="preserve">Z. Chen, S. Li, C. Smiley, Z. Ma, S. Shah, W. Y. Wang. </w:t>
      </w:r>
      <w:r>
        <w:rPr>
          <w:i/>
          <w:iCs/>
        </w:rPr>
        <w:t xml:space="preserve">ConvFinQA: Exploring the Chain of Numerical Reasoning in Conversational Finance Question Answering. </w:t>
      </w:r>
      <w:r>
        <w:t xml:space="preserve">EMNLP 2022. arXiv:2210.03849. </w:t>
      </w:r>
      <w:r>
        <w:rPr>
          <w:i/>
          <w:iCs/>
        </w:rPr>
        <w:t xml:space="preserve">— conversational (multi-turn) benchmark; split 3,037/421/434.</w:t>
      </w:r>
    </w:p>
    <w:p>
      <w:pPr>
        <w:spacing w:after="100" w:line="276"/>
        <w:ind w:left="360" w:hanging="360"/>
      </w:pPr>
      <w:r>
        <w:rPr>
          <w:b/>
          <w:bCs/>
        </w:rPr>
        <w:t xml:space="preserve">[3] </w:t>
      </w:r>
      <w:r>
        <w:t xml:space="preserve">F. Zhu, W. Lei, Y. Huang, C. Wang, S. Zhang, J. Lv, F. Feng, T.-S. Chua. </w:t>
      </w:r>
      <w:r>
        <w:rPr>
          <w:i/>
          <w:iCs/>
        </w:rPr>
        <w:t xml:space="preserve">TAT-QA: A Question Answering Benchmark on a Hybrid of Tabular and Textual Content in Finance. </w:t>
      </w:r>
      <w:r>
        <w:t xml:space="preserve">ACL 2021. </w:t>
      </w:r>
      <w:r>
        <w:rPr>
          <w:i/>
          <w:iCs/>
        </w:rPr>
        <w:t xml:space="preserve">— hybrid table–text benchmark.</w:t>
      </w:r>
    </w:p>
    <w:p>
      <w:pPr>
        <w:spacing w:after="60" w:before="120"/>
      </w:pPr>
      <w:r>
        <w:rPr>
          <w:b/>
          <w:bCs/>
          <w:i/>
          <w:iCs/>
        </w:rPr>
        <w:t xml:space="preserve">B. Method precedent — the basis for reframing the contribution</w:t>
      </w:r>
    </w:p>
    <w:p>
      <w:pPr>
        <w:spacing w:after="100" w:line="276"/>
        <w:ind w:left="360" w:hanging="360"/>
      </w:pPr>
      <w:r>
        <w:rPr>
          <w:b/>
          <w:bCs/>
        </w:rPr>
        <w:t xml:space="preserve">[4] </w:t>
      </w:r>
      <w:r>
        <w:rPr>
          <w:i/>
          <w:iCs/>
        </w:rPr>
        <w:t xml:space="preserve">Fine-tuning Smaller Language Models for Question Answering over Financial Documents. </w:t>
      </w:r>
      <w:r>
        <w:t xml:space="preserve">Findings of EMNLP 2024. arXiv:2408.12337. </w:t>
      </w:r>
      <w:r>
        <w:rPr>
          <w:i/>
          <w:iCs/>
        </w:rPr>
        <w:t xml:space="preserve">— shows small models with distilled program-of-thoughts rival large models on FinQA/ConvFinQA/TAT-QA; establishes the method question as already answered.</w:t>
      </w:r>
    </w:p>
    <w:p>
      <w:pPr>
        <w:spacing w:after="100" w:line="276"/>
        <w:ind w:left="360" w:hanging="360"/>
      </w:pPr>
      <w:r>
        <w:rPr>
          <w:b/>
          <w:bCs/>
        </w:rPr>
        <w:t xml:space="preserve">[5] </w:t>
      </w:r>
      <w:r>
        <w:rPr>
          <w:i/>
          <w:iCs/>
        </w:rPr>
        <w:t xml:space="preserve">From Documents to Reasoning: A Validated Synthetic Data Pipeline and Semantic-Aware Fine-Tuning for Financial Numerical Reasoning. </w:t>
      </w:r>
      <w:r>
        <w:t xml:space="preserve">2026. arXiv:2608.27919. </w:t>
      </w:r>
      <w:r>
        <w:rPr>
          <w:i/>
          <w:iCs/>
        </w:rPr>
        <w:t xml:space="preserve">— recent work innovating on how financial reasoning is measured; confirms the measurement angle is active.</w:t>
      </w:r>
    </w:p>
    <w:p>
      <w:pPr>
        <w:spacing w:after="60" w:before="120"/>
      </w:pPr>
      <w:r>
        <w:rPr>
          <w:b/>
          <w:bCs/>
          <w:i/>
          <w:iCs/>
        </w:rPr>
        <w:t xml:space="preserve">C. Reasoning, program-based reasoning, and distillation</w:t>
      </w:r>
    </w:p>
    <w:p>
      <w:pPr>
        <w:spacing w:after="100" w:line="276"/>
        <w:ind w:left="360" w:hanging="360"/>
      </w:pPr>
      <w:r>
        <w:rPr>
          <w:b/>
          <w:bCs/>
        </w:rPr>
        <w:t xml:space="preserve">[6] </w:t>
      </w:r>
      <w:r>
        <w:t xml:space="preserve">W. Chen, X. Ma, X. Wang, W. W. Cohen. </w:t>
      </w:r>
      <w:r>
        <w:rPr>
          <w:i/>
          <w:iCs/>
        </w:rPr>
        <w:t xml:space="preserve">Program of Thoughts Prompting: Disentangling Computation from Reasoning for Numerical Reasoning Tasks. </w:t>
      </w:r>
      <w:r>
        <w:t xml:space="preserve">TMLR 2023. arXiv:2211.12588. </w:t>
      </w:r>
      <w:r>
        <w:rPr>
          <w:i/>
          <w:iCs/>
        </w:rPr>
        <w:t xml:space="preserve">— the executable-program reasoning method used and made faithfulness-checkable.</w:t>
      </w:r>
    </w:p>
    <w:p>
      <w:pPr>
        <w:spacing w:after="100" w:line="276"/>
        <w:ind w:left="360" w:hanging="360"/>
      </w:pPr>
      <w:r>
        <w:rPr>
          <w:b/>
          <w:bCs/>
        </w:rPr>
        <w:t xml:space="preserve">[7] </w:t>
      </w:r>
      <w:r>
        <w:t xml:space="preserve">C.-Y. Hsieh, C.-L. Li, C.-K. Yeh, H. Nakhost, Y. Fujii, A. Ratner, R. Krishna, C.-Y. Lee, T. Pfister. </w:t>
      </w:r>
      <w:r>
        <w:rPr>
          <w:i/>
          <w:iCs/>
        </w:rPr>
        <w:t xml:space="preserve">Distilling Step-by-Step! Outperforming Larger Language Models with Less Training Data and Smaller Model Sizes. </w:t>
      </w:r>
      <w:r>
        <w:t xml:space="preserve">Findings of ACL 2023. </w:t>
      </w:r>
      <w:r>
        <w:rPr>
          <w:i/>
          <w:iCs/>
        </w:rPr>
        <w:t xml:space="preserve">— foundational small-beats-large distillation result.</w:t>
      </w:r>
    </w:p>
    <w:p>
      <w:pPr>
        <w:spacing w:after="100" w:line="276"/>
        <w:ind w:left="360" w:hanging="360"/>
      </w:pPr>
      <w:r>
        <w:rPr>
          <w:b/>
          <w:bCs/>
        </w:rPr>
        <w:t xml:space="preserve">[8] </w:t>
      </w:r>
      <w:r>
        <w:t xml:space="preserve">Y. Fu, L. Ou, M. Chen, Y. Wan, H. Peng, T. Khot. </w:t>
      </w:r>
      <w:r>
        <w:rPr>
          <w:i/>
          <w:iCs/>
        </w:rPr>
        <w:t xml:space="preserve">Specializing Smaller Language Models Towards Multi-Step Reasoning. </w:t>
      </w:r>
      <w:r>
        <w:t xml:space="preserve">ICML 2023. arXiv:2301.12726. </w:t>
      </w:r>
      <w:r>
        <w:rPr>
          <w:i/>
          <w:iCs/>
        </w:rPr>
        <w:t xml:space="preserve">— documents the specialization / generality trade-off.</w:t>
      </w:r>
    </w:p>
    <w:p>
      <w:pPr>
        <w:spacing w:after="100" w:line="276"/>
        <w:ind w:left="360" w:hanging="360"/>
      </w:pPr>
      <w:r>
        <w:rPr>
          <w:b/>
          <w:bCs/>
        </w:rPr>
        <w:t xml:space="preserve">[9] </w:t>
      </w:r>
      <w:r>
        <w:t xml:space="preserve">L. C. Magister, J. Mallinson, J. Adamek, E. Malmi, A. Severyn. </w:t>
      </w:r>
      <w:r>
        <w:rPr>
          <w:i/>
          <w:iCs/>
        </w:rPr>
        <w:t xml:space="preserve">Teaching Small Language Models to Reason. </w:t>
      </w:r>
      <w:r>
        <w:t xml:space="preserve">ACL 2023. </w:t>
      </w:r>
      <w:r>
        <w:rPr>
          <w:i/>
          <w:iCs/>
        </w:rPr>
        <w:t xml:space="preserve">— teacher-generated rationales for small-model fine-tuning.</w:t>
      </w:r>
    </w:p>
    <w:p>
      <w:pPr>
        <w:spacing w:after="100" w:line="276"/>
        <w:ind w:left="360" w:hanging="360"/>
      </w:pPr>
      <w:r>
        <w:rPr>
          <w:b/>
          <w:bCs/>
        </w:rPr>
        <w:t xml:space="preserve">[10] </w:t>
      </w:r>
      <w:r>
        <w:t xml:space="preserve">Z. Lu, X. Li, D. Cai, R. Yi, F. Liu, X. Zhang, N. D. Lane, M. Xu. </w:t>
      </w:r>
      <w:r>
        <w:rPr>
          <w:i/>
          <w:iCs/>
        </w:rPr>
        <w:t xml:space="preserve">Small Language Models: Survey, Measurements, and Insights. </w:t>
      </w:r>
      <w:r>
        <w:t xml:space="preserve">2024. arXiv:2409.15790. </w:t>
      </w:r>
      <w:r>
        <w:rPr>
          <w:i/>
          <w:iCs/>
        </w:rPr>
        <w:t xml:space="preserve">— landscape survey for model selection and positioning.</w:t>
      </w:r>
    </w:p>
    <w:p>
      <w:pPr>
        <w:spacing w:after="60" w:before="120"/>
      </w:pPr>
      <w:r>
        <w:rPr>
          <w:b/>
          <w:bCs/>
          <w:i/>
          <w:iCs/>
        </w:rPr>
        <w:t xml:space="preserve">D. Parameter-efficient fine-tuning (feasibility)</w:t>
      </w:r>
    </w:p>
    <w:p>
      <w:pPr>
        <w:spacing w:after="100" w:line="276"/>
        <w:ind w:left="360" w:hanging="360"/>
      </w:pPr>
      <w:r>
        <w:rPr>
          <w:b/>
          <w:bCs/>
        </w:rPr>
        <w:t xml:space="preserve">[11] </w:t>
      </w:r>
      <w:r>
        <w:t xml:space="preserve">E. J. Hu, Y. Shen, P. Wallis, Z. Allen-Zhu, Y. Li, S. Wang, L. Wang, W. Chen. </w:t>
      </w:r>
      <w:r>
        <w:rPr>
          <w:i/>
          <w:iCs/>
        </w:rPr>
        <w:t xml:space="preserve">LoRA: Low-Rank Adaptation of Large Language Models. </w:t>
      </w:r>
      <w:r>
        <w:t xml:space="preserve">ICLR 2022. arXiv:2106.09685. </w:t>
      </w:r>
      <w:r>
        <w:rPr>
          <w:i/>
          <w:iCs/>
        </w:rPr>
        <w:t xml:space="preserve">— the low-rank fine-tuning method.</w:t>
      </w:r>
    </w:p>
    <w:p>
      <w:pPr>
        <w:spacing w:after="100" w:line="276"/>
        <w:ind w:left="360" w:hanging="360"/>
      </w:pPr>
      <w:r>
        <w:rPr>
          <w:b/>
          <w:bCs/>
        </w:rPr>
        <w:t xml:space="preserve">[12] </w:t>
      </w:r>
      <w:r>
        <w:t xml:space="preserve">T. Dettmers, A. Pagnoni, A. Holtzman, L. Zettlemoyer. </w:t>
      </w:r>
      <w:r>
        <w:rPr>
          <w:i/>
          <w:iCs/>
        </w:rPr>
        <w:t xml:space="preserve">QLoRA: Efficient Finetuning of Quantized LLMs. </w:t>
      </w:r>
      <w:r>
        <w:t xml:space="preserve">NeurIPS 2023. arXiv:2305.14314. </w:t>
      </w:r>
      <w:r>
        <w:rPr>
          <w:i/>
          <w:iCs/>
        </w:rPr>
        <w:t xml:space="preserve">— makes ≤8B fine-tuning feasible on a single 16 GB GPU.</w:t>
      </w:r>
    </w:p>
    <w:p>
      <w:pPr>
        <w:spacing w:after="100" w:line="276"/>
        <w:ind w:left="360" w:hanging="360"/>
      </w:pPr>
      <w:r>
        <w:rPr>
          <w:b/>
          <w:bCs/>
        </w:rPr>
        <w:t xml:space="preserve">[13] </w:t>
      </w:r>
      <w:r>
        <w:rPr>
          <w:i/>
          <w:iCs/>
        </w:rPr>
        <w:t xml:space="preserve">FinLoRA: Benchmarking LoRA Methods for Fine-Tuning LLMs on Financial Datasets. </w:t>
      </w:r>
      <w:r>
        <w:t xml:space="preserve">2025. arXiv:2505.19819. </w:t>
      </w:r>
      <w:r>
        <w:rPr>
          <w:i/>
          <w:iCs/>
        </w:rPr>
        <w:t xml:space="preserve">— confirms QLoRA’s effectiveness specifically on financial tasks.</w:t>
      </w:r>
    </w:p>
    <w:p>
      <w:pPr>
        <w:spacing w:after="60" w:before="120"/>
      </w:pPr>
      <w:r>
        <w:rPr>
          <w:b/>
          <w:bCs/>
          <w:i/>
          <w:iCs/>
        </w:rPr>
        <w:t xml:space="preserve">E. Data contamination and clean evaluation (the core contribution)</w:t>
      </w:r>
    </w:p>
    <w:p>
      <w:pPr>
        <w:spacing w:after="100" w:line="276"/>
        <w:ind w:left="360" w:hanging="360"/>
      </w:pPr>
      <w:r>
        <w:rPr>
          <w:b/>
          <w:bCs/>
        </w:rPr>
        <w:t xml:space="preserve">[14] </w:t>
      </w:r>
      <w:r>
        <w:t xml:space="preserve">C. Xu, S. Guan, D. Greene, M.-T. Kechadi. </w:t>
      </w:r>
      <w:r>
        <w:rPr>
          <w:i/>
          <w:iCs/>
        </w:rPr>
        <w:t xml:space="preserve">Benchmark Data Contamination of Large Language Models: A Survey. </w:t>
      </w:r>
      <w:r>
        <w:t xml:space="preserve">2024. arXiv:2406.04244. </w:t>
      </w:r>
      <w:r>
        <w:rPr>
          <w:i/>
          <w:iCs/>
        </w:rPr>
        <w:t xml:space="preserve">— defines and surveys the contamination problem.</w:t>
      </w:r>
    </w:p>
    <w:p>
      <w:pPr>
        <w:spacing w:after="100" w:line="276"/>
        <w:ind w:left="360" w:hanging="360"/>
      </w:pPr>
      <w:r>
        <w:rPr>
          <w:b/>
          <w:bCs/>
        </w:rPr>
        <w:t xml:space="preserve">[15] </w:t>
      </w:r>
      <w:r>
        <w:t xml:space="preserve">Y. Fu, O. Uzuner, M. Yetisgen, F. Xia. </w:t>
      </w:r>
      <w:r>
        <w:rPr>
          <w:i/>
          <w:iCs/>
        </w:rPr>
        <w:t xml:space="preserve">Does Data Contamination Detection Work (Well) for LLMs? A Survey and Evaluation on Detection Assumptions. </w:t>
      </w:r>
      <w:r>
        <w:t xml:space="preserve">2024. arXiv:2410.18966. </w:t>
      </w:r>
      <w:r>
        <w:rPr>
          <w:i/>
          <w:iCs/>
        </w:rPr>
        <w:t xml:space="preserve">— detection methods and their limits.</w:t>
      </w:r>
    </w:p>
    <w:p>
      <w:pPr>
        <w:spacing w:after="100" w:line="276"/>
        <w:ind w:left="360" w:hanging="360"/>
      </w:pPr>
      <w:r>
        <w:rPr>
          <w:b/>
          <w:bCs/>
        </w:rPr>
        <w:t xml:space="preserve">[16] </w:t>
      </w:r>
      <w:r>
        <w:t xml:space="preserve">S. Yang, W.-L. Chiang, L. Zheng, J. E. Gonzalez, I. Stoica. </w:t>
      </w:r>
      <w:r>
        <w:rPr>
          <w:i/>
          <w:iCs/>
        </w:rPr>
        <w:t xml:space="preserve">Rethinking Benchmark and Contamination for Language Models with Rephrased Samples. </w:t>
      </w:r>
      <w:r>
        <w:t xml:space="preserve">2023. arXiv:2311.04850. </w:t>
      </w:r>
      <w:r>
        <w:rPr>
          <w:i/>
          <w:iCs/>
        </w:rPr>
        <w:t xml:space="preserve">— motivates temporal-cutoff / fresh-data evaluation.</w:t>
      </w:r>
    </w:p>
    <w:p>
      <w:pPr>
        <w:spacing w:after="100" w:line="276"/>
        <w:ind w:left="360" w:hanging="360"/>
      </w:pPr>
      <w:r>
        <w:rPr>
          <w:b/>
          <w:bCs/>
        </w:rPr>
        <w:t xml:space="preserve">[17] </w:t>
      </w:r>
      <w:r>
        <w:rPr>
          <w:i/>
          <w:iCs/>
        </w:rPr>
        <w:t xml:space="preserve">EDINET-Bench: Evaluating LLMs on Complex Financial Tasks using Japanese Financial Statements. </w:t>
      </w:r>
      <w:r>
        <w:t xml:space="preserve">2025. arXiv:2506.08762. </w:t>
      </w:r>
      <w:r>
        <w:rPr>
          <w:i/>
          <w:iCs/>
        </w:rPr>
        <w:t xml:space="preserve">— shows contamination is a live concern for financial benchmarks specifically.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pPr>
      <w:spacing w:after="60"/>
    </w:pPr>
    <w:rPr>
      <w:rFonts w:ascii="Times New Roman" w:cs="Times New Roman" w:eastAsia="Times New Roman" w:hAnsi="Times New Roman"/>
      <w:b/>
      <w:bCs/>
      <w:color w:val="1F3864"/>
      <w:sz w:val="40"/>
      <w:szCs w:val="40"/>
    </w:rPr>
  </w:style>
  <w:style w:type="paragraph" w:styleId="Heading1">
    <w:name w:val="Heading 1"/>
    <w:basedOn w:val="Normal"/>
    <w:next w:val="Normal"/>
    <w:qFormat/>
    <w:pPr>
      <w:spacing w:after="100" w:before="24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70" w:before="160"/>
    </w:pPr>
    <w:rPr>
      <w:rFonts w:ascii="Times New Roman" w:cs="Times New Roman" w:eastAsia="Times New Roman" w:hAnsi="Times New Roman"/>
      <w:b/>
      <w:bCs/>
      <w:color w:val="2E4C7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 or Recall? Financial Numerical Reasoning Proposal (v2)</dc:title>
  <dc:creator>Research Proposal</dc:creator>
  <cp:lastModifiedBy>Un-named</cp:lastModifiedBy>
  <cp:revision>1</cp:revision>
  <dcterms:created xsi:type="dcterms:W3CDTF">2026-09-22T05:50:35.262Z</dcterms:created>
  <dcterms:modified xsi:type="dcterms:W3CDTF">2026-09-22T05:50:35.271Z</dcterms:modified>
</cp:coreProperties>
</file>

<file path=docProps/custom.xml><?xml version="1.0" encoding="utf-8"?>
<Properties xmlns="http://schemas.openxmlformats.org/officeDocument/2006/custom-properties" xmlns:vt="http://schemas.openxmlformats.org/officeDocument/2006/docPropsVTypes"/>
</file>