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53E"/>
          <w:sz w:val="32"/>
        </w:rPr>
        <w:t>Annexe A — Charte de Gouvernance OSCAR</w:t>
      </w:r>
    </w:p>
    <w:p>
      <w:pPr>
        <w:jc w:val="center"/>
      </w:pPr>
      <w:r>
        <w:rPr>
          <w:b/>
          <w:sz w:val="24"/>
        </w:rPr>
        <w:t>Projet de Loi Constitutionnelle</w:t>
      </w:r>
    </w:p>
    <w:p/>
    <w:p>
      <w:pPr>
        <w:jc w:val="center"/>
      </w:pPr>
      <w:r>
        <w:rPr>
          <w:color w:val="00853E"/>
        </w:rPr>
        <w:t>══════════════════════════════════════════════════</w:t>
      </w:r>
    </w:p>
    <w:p/>
    <w:p>
      <w:pPr>
        <w:spacing w:after="80"/>
      </w:pPr>
      <w:r>
        <w:t>CHARTRE DE GOUVERNANCE OSCAR</w:t>
      </w:r>
    </w:p>
    <w:p>
      <w:pPr>
        <w:spacing w:after="80"/>
      </w:pPr>
      <w:r>
        <w:t>Projet de Loi Constitutionnelle</w:t>
      </w:r>
    </w:p>
    <w:p/>
    <w:p>
      <w:pPr>
        <w:spacing w:after="80"/>
      </w:pPr>
      <w:r>
        <w:rPr>
          <w:b/>
        </w:rPr>
        <w:t>Article 1 — Principes Fondamentaux</w:t>
      </w:r>
    </w:p>
    <w:p>
      <w:pPr>
        <w:spacing w:after="80"/>
      </w:pPr>
      <w:r>
        <w:t>L'État du Sénégal se gouverne selon les principes d'orientations résultats, de souveraineté, de compétence, d'agilité et de responsabilité, dénommés « Principes OSCAR ».</w:t>
      </w:r>
    </w:p>
    <w:p/>
    <w:p>
      <w:pPr>
        <w:spacing w:after="80"/>
      </w:pPr>
      <w:r>
        <w:rPr>
          <w:b/>
        </w:rPr>
        <w:t>Article 2 — Contrat Citoyen</w:t>
      </w:r>
    </w:p>
    <w:p>
      <w:pPr>
        <w:spacing w:after="80"/>
      </w:pPr>
      <w:r>
        <w:t>Tout mandat présidentiel donne lieu à l'établissement d'un Contrat Citoyen définissant des engagements chiffrés et mesurables. Le non-respect de ces engagements peut faire l'objet d'un référendum révocatoire à l'initiative citoyenne.</w:t>
      </w:r>
    </w:p>
    <w:p/>
    <w:p>
      <w:pPr>
        <w:spacing w:after="80"/>
      </w:pPr>
      <w:r>
        <w:rPr>
          <w:b/>
        </w:rPr>
        <w:t>Article 3 — Performance Ministérielle</w:t>
      </w:r>
    </w:p>
    <w:p>
      <w:pPr>
        <w:spacing w:after="80"/>
      </w:pPr>
      <w:r>
        <w:t>Chaque ministre signe un contrat de performance annuel avec des indicateurs mesurables publics. L'évaluation est réalisée par un organe indépendant.</w:t>
      </w:r>
    </w:p>
    <w:p/>
    <w:p>
      <w:pPr>
        <w:spacing w:after="80"/>
      </w:pPr>
      <w:r>
        <w:rPr>
          <w:b/>
        </w:rPr>
        <w:t>Article 4 — Souveraineté Numérique</w:t>
      </w:r>
    </w:p>
    <w:p>
      <w:pPr>
        <w:spacing w:after="80"/>
      </w:pPr>
      <w:r>
        <w:t>L'État garantit la souveraineté numérique par le Registre Numérique Unique d'Identité (RNUI), hébergé sur le territoire national et géré sous contrôle citoyen.</w:t>
      </w:r>
    </w:p>
    <w:p/>
    <w:p>
      <w:pPr>
        <w:spacing w:after="80"/>
      </w:pPr>
      <w:r>
        <w:rPr>
          <w:b/>
        </w:rPr>
        <w:t>Article 5 — Transparence Budgétaire</w:t>
      </w:r>
    </w:p>
    <w:p>
      <w:pPr>
        <w:spacing w:after="80"/>
      </w:pPr>
      <w:r>
        <w:t>Tout citoyen a accès en temps réel aux données d'exécution budgétaire de l'État via le Tableau de Bord de la Nation (TBN).</w:t>
      </w:r>
    </w:p>
    <w:p/>
    <w:p>
      <w:pPr>
        <w:spacing w:after="80"/>
      </w:pPr>
      <w:r>
        <w:rPr>
          <w:b/>
        </w:rPr>
        <w:t>Article 6 — Méritocratie</w:t>
      </w:r>
    </w:p>
    <w:p>
      <w:pPr>
        <w:spacing w:after="80"/>
      </w:pPr>
      <w:r>
        <w:t>Les nominations aux postes de responsabilité de l'État sont soumises à des critères de compétence objectifs, évalués par une commission indépendante.</w:t>
      </w:r>
    </w:p>
    <w:p/>
    <w:p>
      <w:pPr>
        <w:spacing w:after="80"/>
      </w:pPr>
      <w:r>
        <w:t>[Document complet disponible dans le Livre Blanc OSCAR — Chapitre 3 et suivants]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