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53E"/>
          <w:sz w:val="32"/>
        </w:rPr>
        <w:t>Annexe D — Indicateurs Clés du TBN</w:t>
      </w:r>
    </w:p>
    <w:p>
      <w:pPr>
        <w:jc w:val="center"/>
      </w:pPr>
      <w:r>
        <w:rPr>
          <w:b/>
          <w:sz w:val="24"/>
        </w:rPr>
        <w:t>Tableau de Bord de la Nation</w:t>
      </w:r>
    </w:p>
    <w:p/>
    <w:p>
      <w:pPr>
        <w:jc w:val="center"/>
      </w:pPr>
      <w:r>
        <w:rPr>
          <w:color w:val="00853E"/>
        </w:rPr>
        <w:t>══════════════════════════════════════════════════</w:t>
      </w:r>
    </w:p>
    <w:p/>
    <w:p>
      <w:pPr>
        <w:spacing w:after="80"/>
      </w:pPr>
      <w:r>
        <w:t>INDICATEURS CLÉS DU TABLEAU DE BORD DE LA NATION (TBN)</w:t>
      </w:r>
    </w:p>
    <w:p/>
    <w:p>
      <w:pPr>
        <w:spacing w:after="80"/>
      </w:pPr>
      <w:r>
        <w:rPr>
          <w:b/>
        </w:rPr>
        <w:t>CATÉGORIE 1 — GOUVERNANCE</w:t>
      </w:r>
    </w:p>
    <w:p>
      <w:pPr>
        <w:spacing w:after="80"/>
      </w:pPr>
      <w:r>
        <w:t>- IG-01 : Indice de performance ministérielle (score composite /100)</w:t>
      </w:r>
    </w:p>
    <w:p>
      <w:pPr>
        <w:spacing w:after="80"/>
      </w:pPr>
      <w:r>
        <w:t>- IG-02 : Taux de transparence budgétaire (%)</w:t>
      </w:r>
    </w:p>
    <w:p>
      <w:pPr>
        <w:spacing w:after="80"/>
      </w:pPr>
      <w:r>
        <w:t>- IG-03 : Délai moyen des procédures administratives (jours)</w:t>
      </w:r>
    </w:p>
    <w:p>
      <w:pPr>
        <w:spacing w:after="80"/>
      </w:pPr>
      <w:r>
        <w:t>- IG-04 : Taux de satisfaction citoyenne (%)</w:t>
      </w:r>
    </w:p>
    <w:p>
      <w:pPr>
        <w:spacing w:after="80"/>
      </w:pPr>
      <w:r>
        <w:t>- IG-05 : Nombre de services intégrés au RNUI</w:t>
      </w:r>
    </w:p>
    <w:p/>
    <w:p>
      <w:pPr>
        <w:spacing w:after="80"/>
      </w:pPr>
      <w:r>
        <w:rPr>
          <w:b/>
        </w:rPr>
        <w:t>CATÉGORIE 2 — ÉCONOMIE</w:t>
      </w:r>
    </w:p>
    <w:p>
      <w:pPr>
        <w:spacing w:after="80"/>
      </w:pPr>
      <w:r>
        <w:t>- IE-01 : Taux de croissance du PIB (%)</w:t>
      </w:r>
    </w:p>
    <w:p>
      <w:pPr>
        <w:spacing w:after="80"/>
      </w:pPr>
      <w:r>
        <w:t>- IE-02 : Taux de chômage des 18-35 ans (%)</w:t>
      </w:r>
    </w:p>
    <w:p>
      <w:pPr>
        <w:spacing w:after="80"/>
      </w:pPr>
      <w:r>
        <w:t>- IE-03 : Indice de facilité des affaires (classement)</w:t>
      </w:r>
    </w:p>
    <w:p>
      <w:pPr>
        <w:spacing w:after="80"/>
      </w:pPr>
      <w:r>
        <w:t>- IE-04 : Taux de collecte fiscale (%)</w:t>
      </w:r>
    </w:p>
    <w:p>
      <w:pPr>
        <w:spacing w:after="80"/>
      </w:pPr>
      <w:r>
        <w:t>- IE-05 : Part du budget investissement (%)</w:t>
      </w:r>
    </w:p>
    <w:p/>
    <w:p>
      <w:pPr>
        <w:spacing w:after="80"/>
      </w:pPr>
      <w:r>
        <w:rPr>
          <w:b/>
        </w:rPr>
        <w:t>CATÉGORIE 3 — SOCIAL</w:t>
      </w:r>
    </w:p>
    <w:p>
      <w:pPr>
        <w:spacing w:after="80"/>
      </w:pPr>
      <w:r>
        <w:t>- IS-01 : Taux de scolarisation (%)</w:t>
      </w:r>
    </w:p>
    <w:p>
      <w:pPr>
        <w:spacing w:after="80"/>
      </w:pPr>
      <w:r>
        <w:t>- IS-02 : Taux de couverture santé (%)</w:t>
      </w:r>
    </w:p>
    <w:p>
      <w:pPr>
        <w:spacing w:after="80"/>
      </w:pPr>
      <w:r>
        <w:t>- IS-03 : Indice de développement humain (classement)</w:t>
      </w:r>
    </w:p>
    <w:p>
      <w:pPr>
        <w:spacing w:after="80"/>
      </w:pPr>
      <w:r>
        <w:t>- IS-04 : Accès à l'eau potable (%)</w:t>
      </w:r>
    </w:p>
    <w:p>
      <w:pPr>
        <w:spacing w:after="80"/>
      </w:pPr>
      <w:r>
        <w:t>- IS-05 : Taux d'électrification rural (%)</w:t>
      </w:r>
    </w:p>
    <w:p/>
    <w:p>
      <w:pPr>
        <w:spacing w:after="80"/>
      </w:pPr>
      <w:r>
        <w:rPr>
          <w:b/>
        </w:rPr>
        <w:t>CATÉGORIE 4 — SOUVERAINETÉ</w:t>
      </w:r>
    </w:p>
    <w:p>
      <w:pPr>
        <w:spacing w:after="80"/>
      </w:pPr>
      <w:r>
        <w:t>- ISO-01 : Taux de souveraineté numérique (%)</w:t>
      </w:r>
    </w:p>
    <w:p>
      <w:pPr>
        <w:spacing w:after="80"/>
      </w:pPr>
      <w:r>
        <w:t>- ISO-02 : Couverture RNUI par région (%)</w:t>
      </w:r>
    </w:p>
    <w:p>
      <w:pPr>
        <w:spacing w:after="80"/>
      </w:pPr>
      <w:r>
        <w:t>- ISO-03 : Résilience alimentaire (indice)</w:t>
      </w:r>
    </w:p>
    <w:p>
      <w:pPr>
        <w:spacing w:after="80"/>
      </w:pPr>
      <w:r>
        <w:t>- ISO-04 : Indépendance énergétique (%)</w:t>
      </w:r>
    </w:p>
    <w:p/>
    <w:p>
      <w:pPr>
        <w:spacing w:after="80"/>
      </w:pPr>
      <w:r>
        <w:t>[Données sources : ANSD, Banque Mondiale, BAD, indice Ibrahim]</w:t>
      </w:r>
    </w:p>
    <w:p>
      <w:pPr>
        <w:spacing w:after="80"/>
      </w:pPr>
      <w:r>
        <w:t>[Document complet disponible dans le Livre Blanc OSCAR — Annexe 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