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53E"/>
          <w:sz w:val="32"/>
        </w:rPr>
        <w:t>Annexe E — Calendrier de Transition 2026-2035</w:t>
      </w:r>
    </w:p>
    <w:p>
      <w:pPr>
        <w:jc w:val="center"/>
      </w:pPr>
      <w:r>
        <w:rPr>
          <w:b/>
          <w:sz w:val="24"/>
        </w:rPr>
        <w:t>Feuille de Route Détaillée</w:t>
      </w:r>
    </w:p>
    <w:p/>
    <w:p>
      <w:pPr>
        <w:jc w:val="center"/>
      </w:pPr>
      <w:r>
        <w:rPr>
          <w:color w:val="00853E"/>
        </w:rPr>
        <w:t>══════════════════════════════════════════════════</w:t>
      </w:r>
    </w:p>
    <w:p/>
    <w:p>
      <w:pPr>
        <w:spacing w:after="80"/>
      </w:pPr>
      <w:r>
        <w:t>CALENDRIER DE TRANSITION 2026-2035</w:t>
      </w:r>
    </w:p>
    <w:p/>
    <w:p>
      <w:pPr>
        <w:spacing w:after="80"/>
      </w:pPr>
      <w:r>
        <w:rPr>
          <w:b/>
        </w:rPr>
        <w:t>═══ PHASE 1 : FONDATIONS (2026-2028) ═══</w:t>
      </w:r>
    </w:p>
    <w:p/>
    <w:p>
      <w:pPr>
        <w:spacing w:after="80"/>
      </w:pPr>
      <w:r>
        <w:t>2026 — Année de la Conscientisation</w:t>
      </w:r>
    </w:p>
    <w:p>
      <w:pPr>
        <w:spacing w:after="80"/>
      </w:pPr>
      <w:r>
        <w:t>Q1 : Campagne de diffusion du Livre Blanc OSCAR</w:t>
      </w:r>
    </w:p>
    <w:p>
      <w:pPr>
        <w:spacing w:after="80"/>
      </w:pPr>
      <w:r>
        <w:t>Q2 : Création des groupes citoyens régionaux</w:t>
      </w:r>
    </w:p>
    <w:p>
      <w:pPr>
        <w:spacing w:after="80"/>
      </w:pPr>
      <w:r>
        <w:t>Q3 : Premières formations d'ambassadeurs OSCAR</w:t>
      </w:r>
    </w:p>
    <w:p>
      <w:pPr>
        <w:spacing w:after="80"/>
      </w:pPr>
      <w:r>
        <w:t>Q4 : Débat national sur le Contrat Citoyen</w:t>
      </w:r>
    </w:p>
    <w:p/>
    <w:p>
      <w:pPr>
        <w:spacing w:after="80"/>
      </w:pPr>
      <w:r>
        <w:t>2027 — Année de la Préparation</w:t>
      </w:r>
    </w:p>
    <w:p>
      <w:pPr>
        <w:spacing w:after="80"/>
      </w:pPr>
      <w:r>
        <w:t>Q1 : Élaboration du projet de loi constitutionnelle</w:t>
      </w:r>
    </w:p>
    <w:p>
      <w:pPr>
        <w:spacing w:after="80"/>
      </w:pPr>
      <w:r>
        <w:t>Q2 : Audit de l'infrastructure numérique existante</w:t>
      </w:r>
    </w:p>
    <w:p>
      <w:pPr>
        <w:spacing w:after="80"/>
      </w:pPr>
      <w:r>
        <w:t>Q3 : Sélection des 3 régions pilotes pour le RNUI</w:t>
      </w:r>
    </w:p>
    <w:p>
      <w:pPr>
        <w:spacing w:after="80"/>
      </w:pPr>
      <w:r>
        <w:t>Q4 : Formation des premiers cadres « nouvelle gouvernance »</w:t>
      </w:r>
    </w:p>
    <w:p/>
    <w:p>
      <w:pPr>
        <w:spacing w:after="80"/>
      </w:pPr>
      <w:r>
        <w:t>2028 — Année du Lancement</w:t>
      </w:r>
    </w:p>
    <w:p>
      <w:pPr>
        <w:spacing w:after="80"/>
      </w:pPr>
      <w:r>
        <w:t>Q1 : Référendum sur le Contrat Citoyen</w:t>
      </w:r>
    </w:p>
    <w:p>
      <w:pPr>
        <w:spacing w:after="80"/>
      </w:pPr>
      <w:r>
        <w:t>Q2 : Création des premiers super-ministères pilotes</w:t>
      </w:r>
    </w:p>
    <w:p>
      <w:pPr>
        <w:spacing w:after="80"/>
      </w:pPr>
      <w:r>
        <w:t>Q3 : Lancement du RNUI dans les régions pilotes</w:t>
      </w:r>
    </w:p>
    <w:p>
      <w:pPr>
        <w:spacing w:after="80"/>
      </w:pPr>
      <w:r>
        <w:t>Q4 : Première publication du TBN (version beta)</w:t>
      </w:r>
    </w:p>
    <w:p/>
    <w:p>
      <w:pPr>
        <w:spacing w:after="80"/>
      </w:pPr>
      <w:r>
        <w:rPr>
          <w:b/>
        </w:rPr>
        <w:t>═══ PHASE 2 : DÉPLOIEMENT (2029-2032) ═══</w:t>
      </w:r>
    </w:p>
    <w:p/>
    <w:p>
      <w:pPr>
        <w:spacing w:after="80"/>
      </w:pPr>
      <w:r>
        <w:t>2029 : Nouveau mandat — Contrat Citoyen actif</w:t>
      </w:r>
    </w:p>
    <w:p>
      <w:pPr>
        <w:spacing w:after="80"/>
      </w:pPr>
      <w:r>
        <w:t>2030 : Transparence budgétaire 100% en temps réel</w:t>
      </w:r>
    </w:p>
    <w:p>
      <w:pPr>
        <w:spacing w:after="80"/>
      </w:pPr>
      <w:r>
        <w:t>2031 : RNUI couvre 80% du territoire</w:t>
      </w:r>
    </w:p>
    <w:p>
      <w:pPr>
        <w:spacing w:after="80"/>
      </w:pPr>
      <w:r>
        <w:t>2032 : Réduction de 50% des délais administratifs</w:t>
      </w:r>
    </w:p>
    <w:p/>
    <w:p>
      <w:pPr>
        <w:spacing w:after="80"/>
      </w:pPr>
      <w:r>
        <w:rPr>
          <w:b/>
        </w:rPr>
        <w:t>═══ PHASE 3 : CONSOLIDATION (2033-2035) ═══</w:t>
      </w:r>
    </w:p>
    <w:p/>
    <w:p>
      <w:pPr>
        <w:spacing w:after="80"/>
      </w:pPr>
      <w:r>
        <w:t>2033 : Premier audit indépendant complet</w:t>
      </w:r>
    </w:p>
    <w:p>
      <w:pPr>
        <w:spacing w:after="80"/>
      </w:pPr>
      <w:r>
        <w:t>2034 : Référendum révocatoire (si nécessaire)</w:t>
      </w:r>
    </w:p>
    <w:p>
      <w:pPr>
        <w:spacing w:after="80"/>
      </w:pPr>
      <w:r>
        <w:t>2035 : Objectif Top 3 Afrique en gouvernance</w:t>
      </w:r>
    </w:p>
    <w:p/>
    <w:p>
      <w:pPr>
        <w:spacing w:after="80"/>
      </w:pPr>
      <w:r>
        <w:t>[Document complet disponible dans le Livre Blanc OSCAR — Annexe 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