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40" w:before="0"/>
        <w:jc w:val="center"/>
      </w:pPr>
      <w:r>
        <w:rPr>
          <w:rFonts w:ascii="Calibri" w:cs="Calibri" w:eastAsia="Calibri" w:hAnsi="Calibri"/>
          <w:b/>
          <w:bCs/>
          <w:color w:val="4A4A6A"/>
          <w:sz w:val="24"/>
          <w:szCs w:val="24"/>
        </w:rPr>
        <w:t xml:space="preserve">FAST National University of Computer and Emerging Sciences</w:t>
      </w:r>
    </w:p>
    <w:p>
      <w:pPr>
        <w:spacing w:after="200" w:before="0"/>
        <w:jc w:val="center"/>
      </w:pPr>
      <w:r>
        <w:rPr>
          <w:rFonts w:ascii="Calibri" w:cs="Calibri" w:eastAsia="Calibri" w:hAnsi="Calibri"/>
          <w:color w:val="4A4A6A"/>
          <w:sz w:val="22"/>
          <w:szCs w:val="22"/>
        </w:rPr>
        <w:t xml:space="preserve">H-11/4, Islamabad</w:t>
      </w:r>
    </w:p>
    <w:p>
      <w:pPr>
        <w:pBdr>
          <w:top w:val="single" w:color="1F3A6E" w:sz="8" w:space="8"/>
          <w:bottom w:val="single" w:color="1F3A6E" w:sz="8" w:space="8"/>
        </w:pBdr>
        <w:shd w:fill="1F3A6E" w:val="clear"/>
        <w:spacing w:after="60" w:before="0"/>
        <w:jc w:val="center"/>
      </w:pPr>
      <w:r>
        <w:rPr>
          <w:rFonts w:ascii="Calibri" w:cs="Calibri" w:eastAsia="Calibri" w:hAnsi="Calibri"/>
          <w:b/>
          <w:bCs/>
          <w:color w:val="FFFFFF"/>
          <w:sz w:val="72"/>
          <w:szCs w:val="72"/>
        </w:rPr>
        <w:t xml:space="preserve">  LogicVault  </w:t>
      </w:r>
    </w:p>
    <w:p>
      <w:pPr>
        <w:spacing w:after="100" w:before="0"/>
      </w:pPr>
      <w:r>
        <w:t xml:space="preserve"/>
      </w:r>
    </w:p>
    <w:p>
      <w:pPr>
        <w:spacing w:after="60" w:before="0"/>
        <w:jc w:val="center"/>
      </w:pPr>
      <w:r>
        <w:rPr>
          <w:rFonts w:ascii="Calibri" w:cs="Calibri" w:eastAsia="Calibri" w:hAnsi="Calibri"/>
          <w:b/>
          <w:bCs/>
          <w:i/>
          <w:iCs/>
          <w:color w:val="2E86AB"/>
          <w:sz w:val="30"/>
          <w:szCs w:val="30"/>
        </w:rPr>
        <w:t xml:space="preserve">Preserving the Human Logic of Software Projects</w:t>
      </w:r>
    </w:p>
    <w:p>
      <w:pPr>
        <w:spacing w:after="300" w:before="0"/>
        <w:jc w:val="center"/>
      </w:pPr>
      <w:r>
        <w:rPr>
          <w:rFonts w:ascii="Calibri" w:cs="Calibri" w:eastAsia="Calibri" w:hAnsi="Calibri"/>
          <w:color w:val="4A4A6A"/>
          <w:sz w:val="22"/>
          <w:szCs w:val="22"/>
        </w:rPr>
        <w:t xml:space="preserve">Final Year Project Proposal — BS Computer Science</w:t>
      </w:r>
    </w:p>
    <w:p>
      <w:pPr>
        <w:spacing w:after="100" w:before="0"/>
      </w:pPr>
      <w:r>
        <w:t xml:space="preserve"/>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3600"/>
        <w:gridCol w:w="3600"/>
      </w:tblGrid>
      <w:tr>
        <w:tc>
          <w:tcPr>
            <w:tcW w:type="dxa" w:w="3600"/>
            <w:shd w:fill="EAF1FB" w:val="clear"/>
          </w:tcPr>
          <w:p>
            <w:pPr>
              <w:spacing w:after="40" w:before="80"/>
            </w:pPr>
            <w:r>
              <w:rPr>
                <w:rFonts w:ascii="Calibri" w:cs="Calibri" w:eastAsia="Calibri" w:hAnsi="Calibri"/>
                <w:b/>
                <w:bCs/>
                <w:color w:val="1F3A6E"/>
                <w:sz w:val="22"/>
                <w:szCs w:val="22"/>
              </w:rPr>
              <w:t xml:space="preserve">Team Members</w:t>
            </w:r>
          </w:p>
          <w:p>
            <w:pPr>
              <w:spacing w:after="30" w:before="30"/>
            </w:pPr>
            <w:r>
              <w:rPr>
                <w:rFonts w:ascii="Calibri" w:cs="Calibri" w:eastAsia="Calibri" w:hAnsi="Calibri"/>
                <w:color w:val="1A1A2E"/>
                <w:sz w:val="20"/>
                <w:szCs w:val="20"/>
              </w:rPr>
              <w:t xml:space="preserve">Muhammad Umar  (23I-0782)</w:t>
            </w:r>
          </w:p>
          <w:p>
            <w:pPr>
              <w:spacing w:after="30" w:before="30"/>
            </w:pPr>
            <w:r>
              <w:rPr>
                <w:rFonts w:ascii="Calibri" w:cs="Calibri" w:eastAsia="Calibri" w:hAnsi="Calibri"/>
                <w:color w:val="1A1A2E"/>
                <w:sz w:val="20"/>
                <w:szCs w:val="20"/>
              </w:rPr>
              <w:t xml:space="preserve">Muhammad Usman Al Haq  (23I-0585)</w:t>
            </w:r>
          </w:p>
          <w:p>
            <w:pPr>
              <w:spacing w:after="80" w:before="30"/>
            </w:pPr>
            <w:r>
              <w:rPr>
                <w:rFonts w:ascii="Calibri" w:cs="Calibri" w:eastAsia="Calibri" w:hAnsi="Calibri"/>
                <w:color w:val="1A1A2E"/>
                <w:sz w:val="20"/>
                <w:szCs w:val="20"/>
              </w:rPr>
              <w:t xml:space="preserve">Shahmeer Atif  (23I-0711)</w:t>
            </w:r>
          </w:p>
        </w:tc>
        <w:tc>
          <w:tcPr>
            <w:tcW w:type="dxa" w:w="3600"/>
            <w:shd w:fill="EAF1FB" w:val="clear"/>
          </w:tcPr>
          <w:p>
            <w:pPr>
              <w:spacing w:after="40" w:before="80"/>
            </w:pPr>
            <w:r>
              <w:rPr>
                <w:rFonts w:ascii="Calibri" w:cs="Calibri" w:eastAsia="Calibri" w:hAnsi="Calibri"/>
                <w:b/>
                <w:bCs/>
                <w:color w:val="1F3A6E"/>
                <w:sz w:val="22"/>
                <w:szCs w:val="22"/>
              </w:rPr>
              <w:t xml:space="preserve">Project Details</w:t>
            </w:r>
          </w:p>
          <w:p>
            <w:pPr>
              <w:spacing w:after="30" w:before="30"/>
            </w:pPr>
            <w:r>
              <w:rPr>
                <w:rFonts w:ascii="Calibri" w:cs="Calibri" w:eastAsia="Calibri" w:hAnsi="Calibri"/>
                <w:color w:val="1A1A2E"/>
                <w:sz w:val="20"/>
                <w:szCs w:val="20"/>
              </w:rPr>
              <w:t xml:space="preserve">Program:  BS Computer Science</w:t>
            </w:r>
          </w:p>
          <w:p>
            <w:pPr>
              <w:spacing w:after="30" w:before="30"/>
            </w:pPr>
            <w:r>
              <w:rPr>
                <w:rFonts w:ascii="Calibri" w:cs="Calibri" w:eastAsia="Calibri" w:hAnsi="Calibri"/>
                <w:color w:val="1A1A2E"/>
                <w:sz w:val="20"/>
                <w:szCs w:val="20"/>
              </w:rPr>
              <w:t xml:space="preserve">Duration:  2 Semesters (6–8 Months)</w:t>
            </w:r>
          </w:p>
          <w:p>
            <w:pPr>
              <w:spacing w:after="80" w:before="30"/>
            </w:pPr>
            <w:r>
              <w:rPr>
                <w:rFonts w:ascii="Calibri" w:cs="Calibri" w:eastAsia="Calibri" w:hAnsi="Calibri"/>
                <w:color w:val="1A1A2E"/>
                <w:sz w:val="20"/>
                <w:szCs w:val="20"/>
              </w:rPr>
              <w:t xml:space="preserve">Academic Year:  2024–2025</w:t>
            </w:r>
          </w:p>
        </w:tc>
      </w:tr>
    </w:tbl>
    <w:p>
      <w:pPr>
        <w:spacing w:after="200" w:before="0"/>
      </w:pPr>
      <w:r>
        <w:t xml:space="preserve"/>
      </w:r>
    </w:p>
    <w:p>
      <w:r>
        <w:br w:type="page"/>
      </w:r>
    </w:p>
    <w:p>
      <w:pPr>
        <w:pStyle w:val="Heading1"/>
        <w:pBdr>
          <w:bottom w:val="single" w:color="2E86AB" w:sz="6" w:space="6"/>
        </w:pBdr>
        <w:spacing w:after="120" w:before="320"/>
      </w:pPr>
      <w:r>
        <w:rPr>
          <w:rFonts w:ascii="Calibri" w:cs="Calibri" w:eastAsia="Calibri" w:hAnsi="Calibri"/>
          <w:b/>
          <w:bCs/>
          <w:color w:val="1F3A6E"/>
          <w:sz w:val="28"/>
          <w:szCs w:val="28"/>
        </w:rPr>
        <w:t xml:space="preserve">1. Executive Summary</w:t>
      </w:r>
    </w:p>
    <w:p>
      <w:pPr>
        <w:spacing w:after="80" w:before="60" w:line="280"/>
        <w:jc w:val="both"/>
      </w:pPr>
      <w:r>
        <w:rPr>
          <w:rFonts w:ascii="Calibri" w:cs="Calibri" w:eastAsia="Calibri" w:hAnsi="Calibri"/>
          <w:b w:val="false"/>
          <w:bCs w:val="false"/>
          <w:i w:val="false"/>
          <w:iCs w:val="false"/>
          <w:color w:val="1A1A2E"/>
          <w:sz w:val="22"/>
          <w:szCs w:val="22"/>
        </w:rPr>
        <w:t xml:space="preserve">LogicVault is an AI-powered knowledge preservation system designed specifically for software development teams working on large, long-running projects. It captures, stores, and makes queryable the human logic, architectural decisions, and contextual reasoning that traditional tools such as version control systems, issue trackers, and documentation platforms consistently fail to preserve.</w:t>
      </w:r>
    </w:p>
    <w:p>
      <w:pPr>
        <w:spacing w:after="80" w:before="60" w:line="280"/>
        <w:jc w:val="both"/>
      </w:pPr>
      <w:r>
        <w:rPr>
          <w:rFonts w:ascii="Calibri" w:cs="Calibri" w:eastAsia="Calibri" w:hAnsi="Calibri"/>
          <w:b w:val="false"/>
          <w:bCs w:val="false"/>
          <w:i w:val="false"/>
          <w:iCs w:val="false"/>
          <w:color w:val="1A1A2E"/>
          <w:sz w:val="22"/>
          <w:szCs w:val="22"/>
        </w:rPr>
        <w:t xml:space="preserve">When developers leave a team, when new members join, or when a project spans multiple years, the institutional knowledge of why things were built the way they were is lost. LogicVault solves this by maintaining a living knowledge graph of software decisions that is continuously updated from multiple sources including meeting transcripts, uploaded documents, Gitea commits, pull requests, and tickets. An AI-powered chat interface allows any team member to query this knowledge at any time and receive reasoned, codebase-verified answers.</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2. Problem Statement</w:t>
      </w:r>
    </w:p>
    <w:p>
      <w:pPr>
        <w:pStyle w:val="Heading2"/>
        <w:spacing w:after="80" w:before="240"/>
      </w:pPr>
      <w:r>
        <w:rPr>
          <w:rFonts w:ascii="Calibri" w:cs="Calibri" w:eastAsia="Calibri" w:hAnsi="Calibri"/>
          <w:b/>
          <w:bCs/>
          <w:color w:val="2E86AB"/>
          <w:sz w:val="24"/>
          <w:szCs w:val="24"/>
        </w:rPr>
        <w:t xml:space="preserve">2.1  The Knowledge Gap in Software Projects</w:t>
      </w:r>
    </w:p>
    <w:p>
      <w:pPr>
        <w:spacing w:after="80" w:before="60" w:line="280"/>
        <w:jc w:val="both"/>
      </w:pPr>
      <w:r>
        <w:rPr>
          <w:rFonts w:ascii="Calibri" w:cs="Calibri" w:eastAsia="Calibri" w:hAnsi="Calibri"/>
          <w:b w:val="false"/>
          <w:bCs w:val="false"/>
          <w:i w:val="false"/>
          <w:iCs w:val="false"/>
          <w:color w:val="1A1A2E"/>
          <w:sz w:val="22"/>
          <w:szCs w:val="22"/>
        </w:rPr>
        <w:t xml:space="preserve">Modern software teams are excellent at recording what was built. Version control systems track every line of code. Issue trackers log every ticket. Yet a critical dimension of project knowledge remains systematically unrecorded: the reasoning behind decisions.</w:t>
      </w:r>
    </w:p>
    <w:p>
      <w:pPr>
        <w:pBdr>
          <w:left w:val="thick" w:color="2E86AB" w:sz="16" w:space="12"/>
        </w:pBdr>
        <w:shd w:fill="EAF1FB" w:val="clear"/>
        <w:spacing w:after="120" w:before="120" w:line="280"/>
        <w:ind w:left="431" w:right="431"/>
      </w:pPr>
      <w:r>
        <w:rPr>
          <w:rFonts w:ascii="Calibri" w:cs="Calibri" w:eastAsia="Calibri" w:hAnsi="Calibri"/>
          <w:i/>
          <w:iCs/>
          <w:color w:val="1A1A2E"/>
          <w:sz w:val="22"/>
          <w:szCs w:val="22"/>
        </w:rPr>
        <w:t xml:space="preserve">"A senior developer leaves the company mid-project. The new hire has access to the full codebase and all Jira tickets. But nobody wrote down why the authentication module was architected the way it was, why a particular database schema trade-off was accepted, or what the client verbally insisted on during a call three months ago. The new developer spends three weeks reverse-engineering decisions that originally took three hours to make."</w:t>
      </w:r>
    </w:p>
    <w:p>
      <w:pPr>
        <w:spacing w:after="100" w:before="0"/>
      </w:pPr>
      <w:r>
        <w:t xml:space="preserve"/>
      </w:r>
    </w:p>
    <w:p>
      <w:pPr>
        <w:spacing w:after="80" w:before="60" w:line="280"/>
        <w:jc w:val="both"/>
      </w:pPr>
      <w:r>
        <w:rPr>
          <w:rFonts w:ascii="Calibri" w:cs="Calibri" w:eastAsia="Calibri" w:hAnsi="Calibri"/>
          <w:b w:val="false"/>
          <w:bCs w:val="false"/>
          <w:i w:val="false"/>
          <w:iCs w:val="false"/>
          <w:color w:val="1A1A2E"/>
          <w:sz w:val="22"/>
          <w:szCs w:val="22"/>
        </w:rPr>
        <w:t xml:space="preserve">Software projects suffer from three interconnected knowledge problems: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Code context — What the code does — well captured by Git</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Ticket context — What was planned and delivered — captured by issue trackers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Human logic context — Why decisions were made — captured nowhere</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2.2  Real-World Impact</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3400"/>
        <w:gridCol w:w="3800"/>
      </w:tblGrid>
      <w:tr>
        <w:trPr>
          <w:tblHeader/>
        </w:trPr>
        <w:tc>
          <w:tcPr>
            <w:tcW w:type="dxa" w:w="3400"/>
            <w:shd w:fill="1F3A6E" w:val="clear"/>
          </w:tcPr>
          <w:p>
            <w:pPr>
              <w:spacing w:after="80" w:before="80"/>
            </w:pPr>
            <w:r>
              <w:rPr>
                <w:rFonts w:ascii="Calibri" w:cs="Calibri" w:eastAsia="Calibri" w:hAnsi="Calibri"/>
                <w:b/>
                <w:bCs/>
                <w:color w:val="FFFFFF"/>
                <w:sz w:val="20"/>
                <w:szCs w:val="20"/>
              </w:rPr>
              <w:t xml:space="preserve">Problem</w:t>
            </w:r>
          </w:p>
        </w:tc>
        <w:tc>
          <w:tcPr>
            <w:tcW w:type="dxa" w:w="3800"/>
            <w:shd w:fill="1F3A6E" w:val="clear"/>
          </w:tcPr>
          <w:p>
            <w:pPr>
              <w:spacing w:after="80" w:before="80"/>
            </w:pPr>
            <w:r>
              <w:rPr>
                <w:rFonts w:ascii="Calibri" w:cs="Calibri" w:eastAsia="Calibri" w:hAnsi="Calibri"/>
                <w:b/>
                <w:bCs/>
                <w:color w:val="FFFFFF"/>
                <w:sz w:val="20"/>
                <w:szCs w:val="20"/>
              </w:rPr>
              <w:t xml:space="preserve">Real-World Consequence</w:t>
            </w:r>
          </w:p>
        </w:tc>
      </w:tr>
      <w:tr>
        <w:tc>
          <w:tcPr>
            <w:tcW w:type="dxa" w:w="3400"/>
            <w:shd w:fill="FFFFFF" w:val="clear"/>
          </w:tcPr>
          <w:p>
            <w:pPr>
              <w:spacing w:after="70" w:before="70"/>
            </w:pPr>
            <w:r>
              <w:rPr>
                <w:rFonts w:ascii="Calibri" w:cs="Calibri" w:eastAsia="Calibri" w:hAnsi="Calibri"/>
                <w:color w:val="1A1A2E"/>
                <w:sz w:val="20"/>
                <w:szCs w:val="20"/>
              </w:rPr>
              <w:t xml:space="preserve">Developer attrition</w:t>
            </w:r>
          </w:p>
        </w:tc>
        <w:tc>
          <w:tcPr>
            <w:tcW w:type="dxa" w:w="3800"/>
            <w:shd w:fill="FFFFFF" w:val="clear"/>
          </w:tcPr>
          <w:p>
            <w:pPr>
              <w:spacing w:after="70" w:before="70"/>
            </w:pPr>
            <w:r>
              <w:rPr>
                <w:rFonts w:ascii="Calibri" w:cs="Calibri" w:eastAsia="Calibri" w:hAnsi="Calibri"/>
                <w:color w:val="1A1A2E"/>
                <w:sz w:val="20"/>
                <w:szCs w:val="20"/>
              </w:rPr>
              <w:t xml:space="preserve">Reasoning behind critical design choices leaves with the developer</w:t>
            </w:r>
          </w:p>
        </w:tc>
      </w:tr>
      <w:tr>
        <w:tc>
          <w:tcPr>
            <w:tcW w:type="dxa" w:w="3400"/>
            <w:shd w:fill="EAF1FB" w:val="clear"/>
          </w:tcPr>
          <w:p>
            <w:pPr>
              <w:spacing w:after="70" w:before="70"/>
            </w:pPr>
            <w:r>
              <w:rPr>
                <w:rFonts w:ascii="Calibri" w:cs="Calibri" w:eastAsia="Calibri" w:hAnsi="Calibri"/>
                <w:color w:val="1A1A2E"/>
                <w:sz w:val="20"/>
                <w:szCs w:val="20"/>
              </w:rPr>
              <w:t xml:space="preserve">New team member onboarding</w:t>
            </w:r>
          </w:p>
        </w:tc>
        <w:tc>
          <w:tcPr>
            <w:tcW w:type="dxa" w:w="3800"/>
            <w:shd w:fill="EAF1FB" w:val="clear"/>
          </w:tcPr>
          <w:p>
            <w:pPr>
              <w:spacing w:after="70" w:before="70"/>
            </w:pPr>
            <w:r>
              <w:rPr>
                <w:rFonts w:ascii="Calibri" w:cs="Calibri" w:eastAsia="Calibri" w:hAnsi="Calibri"/>
                <w:color w:val="1A1A2E"/>
                <w:sz w:val="20"/>
                <w:szCs w:val="20"/>
              </w:rPr>
              <w:t xml:space="preserve">Weeks spent reverse-engineering decisions instead of building</w:t>
            </w:r>
          </w:p>
        </w:tc>
      </w:tr>
      <w:tr>
        <w:tc>
          <w:tcPr>
            <w:tcW w:type="dxa" w:w="3400"/>
            <w:shd w:fill="FFFFFF" w:val="clear"/>
          </w:tcPr>
          <w:p>
            <w:pPr>
              <w:spacing w:after="70" w:before="70"/>
            </w:pPr>
            <w:r>
              <w:rPr>
                <w:rFonts w:ascii="Calibri" w:cs="Calibri" w:eastAsia="Calibri" w:hAnsi="Calibri"/>
                <w:color w:val="1A1A2E"/>
                <w:sz w:val="20"/>
                <w:szCs w:val="20"/>
              </w:rPr>
              <w:t xml:space="preserve">Long project timelines (1–2 years)</w:t>
            </w:r>
          </w:p>
        </w:tc>
        <w:tc>
          <w:tcPr>
            <w:tcW w:type="dxa" w:w="3800"/>
            <w:shd w:fill="FFFFFF" w:val="clear"/>
          </w:tcPr>
          <w:p>
            <w:pPr>
              <w:spacing w:after="70" w:before="70"/>
            </w:pPr>
            <w:r>
              <w:rPr>
                <w:rFonts w:ascii="Calibri" w:cs="Calibri" w:eastAsia="Calibri" w:hAnsi="Calibri"/>
                <w:color w:val="1A1A2E"/>
                <w:sz w:val="20"/>
                <w:szCs w:val="20"/>
              </w:rPr>
              <w:t xml:space="preserve">Early decisions are forgotten by the same team that made them</w:t>
            </w:r>
          </w:p>
        </w:tc>
      </w:tr>
      <w:tr>
        <w:tc>
          <w:tcPr>
            <w:tcW w:type="dxa" w:w="3400"/>
            <w:shd w:fill="EAF1FB" w:val="clear"/>
          </w:tcPr>
          <w:p>
            <w:pPr>
              <w:spacing w:after="70" w:before="70"/>
            </w:pPr>
            <w:r>
              <w:rPr>
                <w:rFonts w:ascii="Calibri" w:cs="Calibri" w:eastAsia="Calibri" w:hAnsi="Calibri"/>
                <w:color w:val="1A1A2E"/>
                <w:sz w:val="20"/>
                <w:szCs w:val="20"/>
              </w:rPr>
              <w:t xml:space="preserve">Social hesitation</w:t>
            </w:r>
          </w:p>
        </w:tc>
        <w:tc>
          <w:tcPr>
            <w:tcW w:type="dxa" w:w="3800"/>
            <w:shd w:fill="EAF1FB" w:val="clear"/>
          </w:tcPr>
          <w:p>
            <w:pPr>
              <w:spacing w:after="70" w:before="70"/>
            </w:pPr>
            <w:r>
              <w:rPr>
                <w:rFonts w:ascii="Calibri" w:cs="Calibri" w:eastAsia="Calibri" w:hAnsi="Calibri"/>
                <w:color w:val="1A1A2E"/>
                <w:sz w:val="20"/>
                <w:szCs w:val="20"/>
              </w:rPr>
              <w:t xml:space="preserve">Developers avoid asking colleagues basic questions out of fear of embarrassment; AI removes this barrier</w:t>
            </w:r>
          </w:p>
        </w:tc>
      </w:tr>
      <w:tr>
        <w:tc>
          <w:tcPr>
            <w:tcW w:type="dxa" w:w="3400"/>
            <w:shd w:fill="FFFFFF" w:val="clear"/>
          </w:tcPr>
          <w:p>
            <w:pPr>
              <w:spacing w:after="70" w:before="70"/>
            </w:pPr>
            <w:r>
              <w:rPr>
                <w:rFonts w:ascii="Calibri" w:cs="Calibri" w:eastAsia="Calibri" w:hAnsi="Calibri"/>
                <w:color w:val="1A1A2E"/>
                <w:sz w:val="20"/>
                <w:szCs w:val="20"/>
              </w:rPr>
              <w:t xml:space="preserve">Conflicting implementations</w:t>
            </w:r>
          </w:p>
        </w:tc>
        <w:tc>
          <w:tcPr>
            <w:tcW w:type="dxa" w:w="3800"/>
            <w:shd w:fill="FFFFFF" w:val="clear"/>
          </w:tcPr>
          <w:p>
            <w:pPr>
              <w:spacing w:after="70" w:before="70"/>
            </w:pPr>
            <w:r>
              <w:rPr>
                <w:rFonts w:ascii="Calibri" w:cs="Calibri" w:eastAsia="Calibri" w:hAnsi="Calibri"/>
                <w:color w:val="1A1A2E"/>
                <w:sz w:val="20"/>
                <w:szCs w:val="20"/>
              </w:rPr>
              <w:t xml:space="preserve">Without recorded logic, new features contradict earlier reasoning unknowingly</w:t>
            </w:r>
          </w:p>
        </w:tc>
      </w:tr>
    </w:tbl>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2.3  Why Existing Tools Fall Short</w:t>
      </w:r>
    </w:p>
    <w:p>
      <w:pPr>
        <w:spacing w:after="80" w:before="60" w:line="280"/>
        <w:jc w:val="both"/>
      </w:pPr>
      <w:r>
        <w:rPr>
          <w:rFonts w:ascii="Calibri" w:cs="Calibri" w:eastAsia="Calibri" w:hAnsi="Calibri"/>
          <w:b w:val="false"/>
          <w:bCs w:val="false"/>
          <w:i w:val="false"/>
          <w:iCs w:val="false"/>
          <w:color w:val="1A1A2E"/>
          <w:sz w:val="22"/>
          <w:szCs w:val="22"/>
        </w:rPr>
        <w:t xml:space="preserve">Current tools address adjacent problems but not this one: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Git / Gitea — records what changed, not why</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Jira / Issue trackers — records what was planned, not the reasoning behind the plan</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Confluence / Notion — manual documentation that goes stale and is rarely updated</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GitHub Copilot / Cursor — generates code but has no grounding in project-specific logic</w:t>
      </w:r>
    </w:p>
    <w:p>
      <w:pPr>
        <w:spacing w:after="80" w:before="60" w:line="280"/>
        <w:jc w:val="both"/>
      </w:pPr>
      <w:r>
        <w:rPr>
          <w:rFonts w:ascii="Calibri" w:cs="Calibri" w:eastAsia="Calibri" w:hAnsi="Calibri"/>
          <w:b w:val="false"/>
          <w:bCs w:val="false"/>
          <w:i w:val="false"/>
          <w:iCs w:val="false"/>
          <w:color w:val="1A1A2E"/>
          <w:sz w:val="22"/>
          <w:szCs w:val="22"/>
        </w:rPr>
        <w:t xml:space="preserve">LogicVault is not a documentation tool. It is a living reasoning graph — one that updates itself as the project evolves and flags when existing reasoning may have been invalidated by new changes.</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3. Proposed Solution — LogicVault</w:t>
      </w:r>
    </w:p>
    <w:p>
      <w:pPr>
        <w:pStyle w:val="Heading2"/>
        <w:spacing w:after="80" w:before="240"/>
      </w:pPr>
      <w:r>
        <w:rPr>
          <w:rFonts w:ascii="Calibri" w:cs="Calibri" w:eastAsia="Calibri" w:hAnsi="Calibri"/>
          <w:b/>
          <w:bCs/>
          <w:color w:val="2E86AB"/>
          <w:sz w:val="24"/>
          <w:szCs w:val="24"/>
        </w:rPr>
        <w:t xml:space="preserve">3.1  Core Concept</w:t>
      </w:r>
    </w:p>
    <w:p>
      <w:pPr>
        <w:spacing w:after="80" w:before="60" w:line="280"/>
        <w:jc w:val="both"/>
      </w:pPr>
      <w:r>
        <w:rPr>
          <w:rFonts w:ascii="Calibri" w:cs="Calibri" w:eastAsia="Calibri" w:hAnsi="Calibri"/>
          <w:b w:val="false"/>
          <w:bCs w:val="false"/>
          <w:i w:val="false"/>
          <w:iCs w:val="false"/>
          <w:color w:val="1A1A2E"/>
          <w:sz w:val="22"/>
          <w:szCs w:val="22"/>
        </w:rPr>
        <w:t xml:space="preserve">LogicVault maintains a knowledge graph where nodes represent software decisions, architectural components, and documented requirements, while edges represent the reasoning relationships and dependencies between them. This graph is populated from multiple sources automatically and queried through a natural-language chat interface.</w:t>
      </w:r>
    </w:p>
    <w:p>
      <w:pPr>
        <w:spacing w:after="80" w:before="60" w:line="280"/>
        <w:jc w:val="both"/>
      </w:pPr>
      <w:r>
        <w:rPr>
          <w:rFonts w:ascii="Calibri" w:cs="Calibri" w:eastAsia="Calibri" w:hAnsi="Calibri"/>
          <w:b w:val="false"/>
          <w:bCs w:val="false"/>
          <w:i w:val="false"/>
          <w:iCs w:val="false"/>
          <w:color w:val="1A1A2E"/>
          <w:sz w:val="22"/>
          <w:szCs w:val="22"/>
        </w:rPr>
        <w:t xml:space="preserve">The system operates on three principles: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Capture — ingest knowledge from all available project sources automatically</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Connect — link decisions to code, tickets, and other decisions in a queryable graph</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Invalidate — flag reasoning as stale when the codebase or requirements change</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3.2  What LogicVault Is Not</w:t>
      </w:r>
    </w:p>
    <w:p>
      <w:pPr>
        <w:spacing w:after="80" w:before="60" w:line="280"/>
        <w:jc w:val="both"/>
      </w:pPr>
      <w:r>
        <w:rPr>
          <w:rFonts w:ascii="Calibri" w:cs="Calibri" w:eastAsia="Calibri" w:hAnsi="Calibri"/>
          <w:b w:val="false"/>
          <w:bCs w:val="false"/>
          <w:i w:val="false"/>
          <w:iCs w:val="false"/>
          <w:color w:val="1A1A2E"/>
          <w:sz w:val="22"/>
          <w:szCs w:val="22"/>
        </w:rPr>
        <w:t xml:space="preserve">LogicVault does not replace Git, Gitea, or issue trackers. It enriches them. It does not auto-generate documentation. It preserves human reasoning that already exists but is never formally recorded. It is scoped specifically to software projects and is not a general enterprise knowledge management platform.</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4. System Architecture</w:t>
      </w:r>
    </w:p>
    <w:p>
      <w:pPr>
        <w:pStyle w:val="Heading2"/>
        <w:spacing w:after="80" w:before="240"/>
      </w:pPr>
      <w:r>
        <w:rPr>
          <w:rFonts w:ascii="Calibri" w:cs="Calibri" w:eastAsia="Calibri" w:hAnsi="Calibri"/>
          <w:b/>
          <w:bCs/>
          <w:color w:val="2E86AB"/>
          <w:sz w:val="24"/>
          <w:szCs w:val="24"/>
        </w:rPr>
        <w:t xml:space="preserve">4.1  High-Level Overview</w:t>
      </w:r>
    </w:p>
    <w:p>
      <w:pPr>
        <w:spacing w:after="80" w:before="60" w:line="280"/>
        <w:jc w:val="both"/>
      </w:pPr>
      <w:r>
        <w:rPr>
          <w:rFonts w:ascii="Calibri" w:cs="Calibri" w:eastAsia="Calibri" w:hAnsi="Calibri"/>
          <w:b w:val="false"/>
          <w:bCs w:val="false"/>
          <w:i w:val="false"/>
          <w:iCs w:val="false"/>
          <w:color w:val="1A1A2E"/>
          <w:sz w:val="22"/>
          <w:szCs w:val="22"/>
        </w:rPr>
        <w:t xml:space="preserve">LogicVault is composed of four layers: the Ingestion Layer, the Knowledge Graph Layer, the AI Reasoning Layer, and the Interface Layer. Each layer has well-defined responsibilities and communicates through clean internal APIs.</w:t>
      </w:r>
    </w:p>
    <w:p>
      <w:pPr>
        <w:spacing w:after="100" w:before="0"/>
      </w:pPr>
      <w:r>
        <w:t xml:space="preserve"/>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1800"/>
        <w:gridCol w:w="2600"/>
        <w:gridCol w:w="2800"/>
      </w:tblGrid>
      <w:tr>
        <w:trPr>
          <w:tblHeader/>
        </w:trPr>
        <w:tc>
          <w:tcPr>
            <w:tcW w:type="dxa" w:w="1800"/>
            <w:shd w:fill="1F3A6E" w:val="clear"/>
          </w:tcPr>
          <w:p>
            <w:pPr>
              <w:spacing w:after="80" w:before="80"/>
            </w:pPr>
            <w:r>
              <w:rPr>
                <w:rFonts w:ascii="Calibri" w:cs="Calibri" w:eastAsia="Calibri" w:hAnsi="Calibri"/>
                <w:b/>
                <w:bCs/>
                <w:color w:val="FFFFFF"/>
                <w:sz w:val="20"/>
                <w:szCs w:val="20"/>
              </w:rPr>
              <w:t xml:space="preserve">Layer</w:t>
            </w:r>
          </w:p>
        </w:tc>
        <w:tc>
          <w:tcPr>
            <w:tcW w:type="dxa" w:w="2600"/>
            <w:shd w:fill="1F3A6E" w:val="clear"/>
          </w:tcPr>
          <w:p>
            <w:pPr>
              <w:spacing w:after="80" w:before="80"/>
            </w:pPr>
            <w:r>
              <w:rPr>
                <w:rFonts w:ascii="Calibri" w:cs="Calibri" w:eastAsia="Calibri" w:hAnsi="Calibri"/>
                <w:b/>
                <w:bCs/>
                <w:color w:val="FFFFFF"/>
                <w:sz w:val="20"/>
                <w:szCs w:val="20"/>
              </w:rPr>
              <w:t xml:space="preserve">Responsibility</w:t>
            </w:r>
          </w:p>
        </w:tc>
        <w:tc>
          <w:tcPr>
            <w:tcW w:type="dxa" w:w="2800"/>
            <w:shd w:fill="1F3A6E" w:val="clear"/>
          </w:tcPr>
          <w:p>
            <w:pPr>
              <w:spacing w:after="80" w:before="80"/>
            </w:pPr>
            <w:r>
              <w:rPr>
                <w:rFonts w:ascii="Calibri" w:cs="Calibri" w:eastAsia="Calibri" w:hAnsi="Calibri"/>
                <w:b/>
                <w:bCs/>
                <w:color w:val="FFFFFF"/>
                <w:sz w:val="20"/>
                <w:szCs w:val="20"/>
              </w:rPr>
              <w:t xml:space="preserve">Key Components</w:t>
            </w:r>
          </w:p>
        </w:tc>
      </w:tr>
      <w:tr>
        <w:tc>
          <w:tcPr>
            <w:tcW w:type="dxa" w:w="1800"/>
            <w:shd w:fill="FFFFFF" w:val="clear"/>
          </w:tcPr>
          <w:p>
            <w:pPr>
              <w:spacing w:after="70" w:before="70"/>
            </w:pPr>
            <w:r>
              <w:rPr>
                <w:rFonts w:ascii="Calibri" w:cs="Calibri" w:eastAsia="Calibri" w:hAnsi="Calibri"/>
                <w:color w:val="1A1A2E"/>
                <w:sz w:val="20"/>
                <w:szCs w:val="20"/>
              </w:rPr>
              <w:t xml:space="preserve">Ingestion Layer</w:t>
            </w:r>
          </w:p>
        </w:tc>
        <w:tc>
          <w:tcPr>
            <w:tcW w:type="dxa" w:w="2600"/>
            <w:shd w:fill="FFFFFF" w:val="clear"/>
          </w:tcPr>
          <w:p>
            <w:pPr>
              <w:spacing w:after="70" w:before="70"/>
            </w:pPr>
            <w:r>
              <w:rPr>
                <w:rFonts w:ascii="Calibri" w:cs="Calibri" w:eastAsia="Calibri" w:hAnsi="Calibri"/>
                <w:color w:val="1A1A2E"/>
                <w:sz w:val="20"/>
                <w:szCs w:val="20"/>
              </w:rPr>
              <w:t xml:space="preserve">Pull and parse data from all sources</w:t>
            </w:r>
          </w:p>
        </w:tc>
        <w:tc>
          <w:tcPr>
            <w:tcW w:type="dxa" w:w="2800"/>
            <w:shd w:fill="FFFFFF" w:val="clear"/>
          </w:tcPr>
          <w:p>
            <w:pPr>
              <w:spacing w:after="70" w:before="70"/>
            </w:pPr>
            <w:r>
              <w:rPr>
                <w:rFonts w:ascii="Calibri" w:cs="Calibri" w:eastAsia="Calibri" w:hAnsi="Calibri"/>
                <w:color w:val="1A1A2E"/>
                <w:sz w:val="20"/>
                <w:szCs w:val="20"/>
              </w:rPr>
              <w:t xml:space="preserve">Gitea Webhooks, Document Upload, Transcript Parser</w:t>
            </w:r>
          </w:p>
        </w:tc>
      </w:tr>
      <w:tr>
        <w:tc>
          <w:tcPr>
            <w:tcW w:type="dxa" w:w="1800"/>
            <w:shd w:fill="EAF1FB" w:val="clear"/>
          </w:tcPr>
          <w:p>
            <w:pPr>
              <w:spacing w:after="70" w:before="70"/>
            </w:pPr>
            <w:r>
              <w:rPr>
                <w:rFonts w:ascii="Calibri" w:cs="Calibri" w:eastAsia="Calibri" w:hAnsi="Calibri"/>
                <w:color w:val="1A1A2E"/>
                <w:sz w:val="20"/>
                <w:szCs w:val="20"/>
              </w:rPr>
              <w:t xml:space="preserve">Knowledge Graph Layer</w:t>
            </w:r>
          </w:p>
        </w:tc>
        <w:tc>
          <w:tcPr>
            <w:tcW w:type="dxa" w:w="2600"/>
            <w:shd w:fill="EAF1FB" w:val="clear"/>
          </w:tcPr>
          <w:p>
            <w:pPr>
              <w:spacing w:after="70" w:before="70"/>
            </w:pPr>
            <w:r>
              <w:rPr>
                <w:rFonts w:ascii="Calibri" w:cs="Calibri" w:eastAsia="Calibri" w:hAnsi="Calibri"/>
                <w:color w:val="1A1A2E"/>
                <w:sz w:val="20"/>
                <w:szCs w:val="20"/>
              </w:rPr>
              <w:t xml:space="preserve">Store and relate all decisions and reasoning</w:t>
            </w:r>
          </w:p>
        </w:tc>
        <w:tc>
          <w:tcPr>
            <w:tcW w:type="dxa" w:w="2800"/>
            <w:shd w:fill="EAF1FB" w:val="clear"/>
          </w:tcPr>
          <w:p>
            <w:pPr>
              <w:spacing w:after="70" w:before="70"/>
            </w:pPr>
            <w:r>
              <w:rPr>
                <w:rFonts w:ascii="Calibri" w:cs="Calibri" w:eastAsia="Calibri" w:hAnsi="Calibri"/>
                <w:color w:val="1A1A2E"/>
                <w:sz w:val="20"/>
                <w:szCs w:val="20"/>
              </w:rPr>
              <w:t xml:space="preserve">Neo4j AuraDB, Graph Schema, Invalidation Engine</w:t>
            </w:r>
          </w:p>
        </w:tc>
      </w:tr>
      <w:tr>
        <w:tc>
          <w:tcPr>
            <w:tcW w:type="dxa" w:w="1800"/>
            <w:shd w:fill="FFFFFF" w:val="clear"/>
          </w:tcPr>
          <w:p>
            <w:pPr>
              <w:spacing w:after="70" w:before="70"/>
            </w:pPr>
            <w:r>
              <w:rPr>
                <w:rFonts w:ascii="Calibri" w:cs="Calibri" w:eastAsia="Calibri" w:hAnsi="Calibri"/>
                <w:color w:val="1A1A2E"/>
                <w:sz w:val="20"/>
                <w:szCs w:val="20"/>
              </w:rPr>
              <w:t xml:space="preserve">AI Reasoning Layer</w:t>
            </w:r>
          </w:p>
        </w:tc>
        <w:tc>
          <w:tcPr>
            <w:tcW w:type="dxa" w:w="2600"/>
            <w:shd w:fill="FFFFFF" w:val="clear"/>
          </w:tcPr>
          <w:p>
            <w:pPr>
              <w:spacing w:after="70" w:before="70"/>
            </w:pPr>
            <w:r>
              <w:rPr>
                <w:rFonts w:ascii="Calibri" w:cs="Calibri" w:eastAsia="Calibri" w:hAnsi="Calibri"/>
                <w:color w:val="1A1A2E"/>
                <w:sz w:val="20"/>
                <w:szCs w:val="20"/>
              </w:rPr>
              <w:t xml:space="preserve">Understand, answer, and verify logic</w:t>
            </w:r>
          </w:p>
        </w:tc>
        <w:tc>
          <w:tcPr>
            <w:tcW w:type="dxa" w:w="2800"/>
            <w:shd w:fill="FFFFFF" w:val="clear"/>
          </w:tcPr>
          <w:p>
            <w:pPr>
              <w:spacing w:after="70" w:before="70"/>
            </w:pPr>
            <w:r>
              <w:rPr>
                <w:rFonts w:ascii="Calibri" w:cs="Calibri" w:eastAsia="Calibri" w:hAnsi="Calibri"/>
                <w:color w:val="1A1A2E"/>
                <w:sz w:val="20"/>
                <w:szCs w:val="20"/>
              </w:rPr>
              <w:t xml:space="preserve">Groq LLM API, Agentic Workers, Context Builder</w:t>
            </w:r>
          </w:p>
        </w:tc>
      </w:tr>
      <w:tr>
        <w:tc>
          <w:tcPr>
            <w:tcW w:type="dxa" w:w="1800"/>
            <w:shd w:fill="EAF1FB" w:val="clear"/>
          </w:tcPr>
          <w:p>
            <w:pPr>
              <w:spacing w:after="70" w:before="70"/>
            </w:pPr>
            <w:r>
              <w:rPr>
                <w:rFonts w:ascii="Calibri" w:cs="Calibri" w:eastAsia="Calibri" w:hAnsi="Calibri"/>
                <w:color w:val="1A1A2E"/>
                <w:sz w:val="20"/>
                <w:szCs w:val="20"/>
              </w:rPr>
              <w:t xml:space="preserve">Interface Layer</w:t>
            </w:r>
          </w:p>
        </w:tc>
        <w:tc>
          <w:tcPr>
            <w:tcW w:type="dxa" w:w="2600"/>
            <w:shd w:fill="EAF1FB" w:val="clear"/>
          </w:tcPr>
          <w:p>
            <w:pPr>
              <w:spacing w:after="70" w:before="70"/>
            </w:pPr>
            <w:r>
              <w:rPr>
                <w:rFonts w:ascii="Calibri" w:cs="Calibri" w:eastAsia="Calibri" w:hAnsi="Calibri"/>
                <w:color w:val="1A1A2E"/>
                <w:sz w:val="20"/>
                <w:szCs w:val="20"/>
              </w:rPr>
              <w:t xml:space="preserve">User-facing chat and management UI</w:t>
            </w:r>
          </w:p>
        </w:tc>
        <w:tc>
          <w:tcPr>
            <w:tcW w:type="dxa" w:w="2800"/>
            <w:shd w:fill="EAF1FB" w:val="clear"/>
          </w:tcPr>
          <w:p>
            <w:pPr>
              <w:spacing w:after="70" w:before="70"/>
            </w:pPr>
            <w:r>
              <w:rPr>
                <w:rFonts w:ascii="Calibri" w:cs="Calibri" w:eastAsia="Calibri" w:hAnsi="Calibri"/>
                <w:color w:val="1A1A2E"/>
                <w:sz w:val="20"/>
                <w:szCs w:val="20"/>
              </w:rPr>
              <w:t xml:space="preserve">React Web App, Chat Interface, Decision Entry UI</w:t>
            </w:r>
          </w:p>
        </w:tc>
      </w:tr>
    </w:tbl>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4.2  Knowledge Graph Schema</w:t>
      </w:r>
    </w:p>
    <w:p>
      <w:pPr>
        <w:spacing w:after="80" w:before="60" w:line="280"/>
        <w:jc w:val="both"/>
      </w:pPr>
      <w:r>
        <w:rPr>
          <w:rFonts w:ascii="Calibri" w:cs="Calibri" w:eastAsia="Calibri" w:hAnsi="Calibri"/>
          <w:b w:val="false"/>
          <w:bCs w:val="false"/>
          <w:i w:val="false"/>
          <w:iCs w:val="false"/>
          <w:color w:val="1A1A2E"/>
          <w:sz w:val="22"/>
          <w:szCs w:val="22"/>
        </w:rPr>
        <w:t xml:space="preserve">The graph is built around the following node types: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Decision Node — a recorded design or architectural decision with reasoning</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Component Node — a software module, service, or file cluster</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Requirement Node — a client or product requirement (formal or informal)</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Ticket Node — a Gitea issue linked to decisions and components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Commit Node — a Gitea commit linked to components and decisions it affected</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Document Node — a meeting transcript, upload, or external document</w:t>
      </w:r>
    </w:p>
    <w:p>
      <w:pPr>
        <w:spacing w:after="100" w:before="0"/>
      </w:pPr>
      <w:r>
        <w:t xml:space="preserve"/>
      </w:r>
    </w:p>
    <w:p>
      <w:pPr>
        <w:spacing w:after="80" w:before="60" w:line="280"/>
        <w:jc w:val="both"/>
      </w:pPr>
      <w:r>
        <w:rPr>
          <w:rFonts w:ascii="Calibri" w:cs="Calibri" w:eastAsia="Calibri" w:hAnsi="Calibri"/>
          <w:b w:val="false"/>
          <w:bCs w:val="false"/>
          <w:i w:val="false"/>
          <w:iCs w:val="false"/>
          <w:color w:val="1A1A2E"/>
          <w:sz w:val="22"/>
          <w:szCs w:val="22"/>
        </w:rPr>
        <w:t xml:space="preserve">Edges between nodes carry relationship types such as: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IMPLEMENTS — a component implements a decision or requirement</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DEPENDS_ON — a decision depends on another decision</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INVALIDATES — a new decision or commit invalidates a prior reasoning node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DERIVED_FROM — a decision was derived from a document or meeting</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REFERENCED_IN — a requirement or decision is referenced in a ticket or commit</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4.3  Agentic Worker Design</w:t>
      </w:r>
    </w:p>
    <w:p>
      <w:pPr>
        <w:spacing w:after="80" w:before="60" w:line="280"/>
        <w:jc w:val="both"/>
      </w:pPr>
      <w:r>
        <w:rPr>
          <w:rFonts w:ascii="Calibri" w:cs="Calibri" w:eastAsia="Calibri" w:hAnsi="Calibri"/>
          <w:b w:val="false"/>
          <w:bCs w:val="false"/>
          <w:i w:val="false"/>
          <w:iCs w:val="false"/>
          <w:color w:val="1A1A2E"/>
          <w:sz w:val="22"/>
          <w:szCs w:val="22"/>
        </w:rPr>
        <w:t xml:space="preserve">The AI layer is implemented as a set of independent, single-purpose agents. Each agent has one clearly defined trigger, one input type, and one output type. This keeps the system debuggable and prevents cascading failures across agent chains.</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2000"/>
        <w:gridCol w:w="2200"/>
        <w:gridCol w:w="3000"/>
      </w:tblGrid>
      <w:tr>
        <w:trPr>
          <w:tblHeader/>
        </w:trPr>
        <w:tc>
          <w:tcPr>
            <w:tcW w:type="dxa" w:w="2000"/>
            <w:shd w:fill="1F3A6E" w:val="clear"/>
          </w:tcPr>
          <w:p>
            <w:pPr>
              <w:spacing w:after="80" w:before="80"/>
            </w:pPr>
            <w:r>
              <w:rPr>
                <w:rFonts w:ascii="Calibri" w:cs="Calibri" w:eastAsia="Calibri" w:hAnsi="Calibri"/>
                <w:b/>
                <w:bCs/>
                <w:color w:val="FFFFFF"/>
                <w:sz w:val="20"/>
                <w:szCs w:val="20"/>
              </w:rPr>
              <w:t xml:space="preserve">Agent</w:t>
            </w:r>
          </w:p>
        </w:tc>
        <w:tc>
          <w:tcPr>
            <w:tcW w:type="dxa" w:w="2200"/>
            <w:shd w:fill="1F3A6E" w:val="clear"/>
          </w:tcPr>
          <w:p>
            <w:pPr>
              <w:spacing w:after="80" w:before="80"/>
            </w:pPr>
            <w:r>
              <w:rPr>
                <w:rFonts w:ascii="Calibri" w:cs="Calibri" w:eastAsia="Calibri" w:hAnsi="Calibri"/>
                <w:b/>
                <w:bCs/>
                <w:color w:val="FFFFFF"/>
                <w:sz w:val="20"/>
                <w:szCs w:val="20"/>
              </w:rPr>
              <w:t xml:space="preserve">Trigger</w:t>
            </w:r>
          </w:p>
        </w:tc>
        <w:tc>
          <w:tcPr>
            <w:tcW w:type="dxa" w:w="3000"/>
            <w:shd w:fill="1F3A6E" w:val="clear"/>
          </w:tcPr>
          <w:p>
            <w:pPr>
              <w:spacing w:after="80" w:before="80"/>
            </w:pPr>
            <w:r>
              <w:rPr>
                <w:rFonts w:ascii="Calibri" w:cs="Calibri" w:eastAsia="Calibri" w:hAnsi="Calibri"/>
                <w:b/>
                <w:bCs/>
                <w:color w:val="FFFFFF"/>
                <w:sz w:val="20"/>
                <w:szCs w:val="20"/>
              </w:rPr>
              <w:t xml:space="preserve">Responsibility</w:t>
            </w:r>
          </w:p>
        </w:tc>
      </w:tr>
      <w:tr>
        <w:tc>
          <w:tcPr>
            <w:tcW w:type="dxa" w:w="2000"/>
            <w:shd w:fill="FFFFFF" w:val="clear"/>
          </w:tcPr>
          <w:p>
            <w:pPr>
              <w:spacing w:after="70" w:before="70"/>
            </w:pPr>
            <w:r>
              <w:rPr>
                <w:rFonts w:ascii="Calibri" w:cs="Calibri" w:eastAsia="Calibri" w:hAnsi="Calibri"/>
                <w:color w:val="1A1A2E"/>
                <w:sz w:val="20"/>
                <w:szCs w:val="20"/>
              </w:rPr>
              <w:t xml:space="preserve">Document Ingestion Agent</w:t>
            </w:r>
          </w:p>
        </w:tc>
        <w:tc>
          <w:tcPr>
            <w:tcW w:type="dxa" w:w="2200"/>
            <w:shd w:fill="FFFFFF" w:val="clear"/>
          </w:tcPr>
          <w:p>
            <w:pPr>
              <w:spacing w:after="70" w:before="70"/>
            </w:pPr>
            <w:r>
              <w:rPr>
                <w:rFonts w:ascii="Calibri" w:cs="Calibri" w:eastAsia="Calibri" w:hAnsi="Calibri"/>
                <w:color w:val="1A1A2E"/>
                <w:sz w:val="20"/>
                <w:szCs w:val="20"/>
              </w:rPr>
              <w:t xml:space="preserve">File upload (PDF, DOCX, TXT, transcript)</w:t>
            </w:r>
          </w:p>
        </w:tc>
        <w:tc>
          <w:tcPr>
            <w:tcW w:type="dxa" w:w="3000"/>
            <w:shd w:fill="FFFFFF" w:val="clear"/>
          </w:tcPr>
          <w:p>
            <w:pPr>
              <w:spacing w:after="70" w:before="70"/>
            </w:pPr>
            <w:r>
              <w:rPr>
                <w:rFonts w:ascii="Calibri" w:cs="Calibri" w:eastAsia="Calibri" w:hAnsi="Calibri"/>
                <w:color w:val="1A1A2E"/>
                <w:sz w:val="20"/>
                <w:szCs w:val="20"/>
              </w:rPr>
              <w:t xml:space="preserve">Extract decisions and requirements, create graph nodes</w:t>
            </w:r>
          </w:p>
        </w:tc>
      </w:tr>
      <w:tr>
        <w:tc>
          <w:tcPr>
            <w:tcW w:type="dxa" w:w="2000"/>
            <w:shd w:fill="EAF1FB" w:val="clear"/>
          </w:tcPr>
          <w:p>
            <w:pPr>
              <w:spacing w:after="70" w:before="70"/>
            </w:pPr>
            <w:r>
              <w:rPr>
                <w:rFonts w:ascii="Calibri" w:cs="Calibri" w:eastAsia="Calibri" w:hAnsi="Calibri"/>
                <w:color w:val="1A1A2E"/>
                <w:sz w:val="20"/>
                <w:szCs w:val="20"/>
              </w:rPr>
              <w:t xml:space="preserve">Commit Analysis Agent</w:t>
            </w:r>
          </w:p>
        </w:tc>
        <w:tc>
          <w:tcPr>
            <w:tcW w:type="dxa" w:w="2200"/>
            <w:shd w:fill="EAF1FB" w:val="clear"/>
          </w:tcPr>
          <w:p>
            <w:pPr>
              <w:spacing w:after="70" w:before="70"/>
            </w:pPr>
            <w:r>
              <w:rPr>
                <w:rFonts w:ascii="Calibri" w:cs="Calibri" w:eastAsia="Calibri" w:hAnsi="Calibri"/>
                <w:color w:val="1A1A2E"/>
                <w:sz w:val="20"/>
                <w:szCs w:val="20"/>
              </w:rPr>
              <w:t xml:space="preserve">Gitea push webhook</w:t>
            </w:r>
          </w:p>
        </w:tc>
        <w:tc>
          <w:tcPr>
            <w:tcW w:type="dxa" w:w="3000"/>
            <w:shd w:fill="EAF1FB" w:val="clear"/>
          </w:tcPr>
          <w:p>
            <w:pPr>
              <w:spacing w:after="70" w:before="70"/>
            </w:pPr>
            <w:r>
              <w:rPr>
                <w:rFonts w:ascii="Calibri" w:cs="Calibri" w:eastAsia="Calibri" w:hAnsi="Calibri"/>
                <w:color w:val="1A1A2E"/>
                <w:sz w:val="20"/>
                <w:szCs w:val="20"/>
              </w:rPr>
              <w:t xml:space="preserve">Summarize changes, link commits to affected component nodes</w:t>
            </w:r>
          </w:p>
        </w:tc>
      </w:tr>
      <w:tr>
        <w:tc>
          <w:tcPr>
            <w:tcW w:type="dxa" w:w="2000"/>
            <w:shd w:fill="FFFFFF" w:val="clear"/>
          </w:tcPr>
          <w:p>
            <w:pPr>
              <w:spacing w:after="70" w:before="70"/>
            </w:pPr>
            <w:r>
              <w:rPr>
                <w:rFonts w:ascii="Calibri" w:cs="Calibri" w:eastAsia="Calibri" w:hAnsi="Calibri"/>
                <w:color w:val="1A1A2E"/>
                <w:sz w:val="20"/>
                <w:szCs w:val="20"/>
              </w:rPr>
              <w:t xml:space="preserve">PR Review Agent</w:t>
            </w:r>
          </w:p>
        </w:tc>
        <w:tc>
          <w:tcPr>
            <w:tcW w:type="dxa" w:w="2200"/>
            <w:shd w:fill="FFFFFF" w:val="clear"/>
          </w:tcPr>
          <w:p>
            <w:pPr>
              <w:spacing w:after="70" w:before="70"/>
            </w:pPr>
            <w:r>
              <w:rPr>
                <w:rFonts w:ascii="Calibri" w:cs="Calibri" w:eastAsia="Calibri" w:hAnsi="Calibri"/>
                <w:color w:val="1A1A2E"/>
                <w:sz w:val="20"/>
                <w:szCs w:val="20"/>
              </w:rPr>
              <w:t xml:space="preserve">Gitea pull request webhook</w:t>
            </w:r>
          </w:p>
        </w:tc>
        <w:tc>
          <w:tcPr>
            <w:tcW w:type="dxa" w:w="3000"/>
            <w:shd w:fill="FFFFFF" w:val="clear"/>
          </w:tcPr>
          <w:p>
            <w:pPr>
              <w:spacing w:after="70" w:before="70"/>
            </w:pPr>
            <w:r>
              <w:rPr>
                <w:rFonts w:ascii="Calibri" w:cs="Calibri" w:eastAsia="Calibri" w:hAnsi="Calibri"/>
                <w:color w:val="1A1A2E"/>
                <w:sz w:val="20"/>
                <w:szCs w:val="20"/>
              </w:rPr>
              <w:t xml:space="preserve">Detect reasoning changes, flag potentially invalidated decisions</w:t>
            </w:r>
          </w:p>
        </w:tc>
      </w:tr>
      <w:tr>
        <w:tc>
          <w:tcPr>
            <w:tcW w:type="dxa" w:w="2000"/>
            <w:shd w:fill="EAF1FB" w:val="clear"/>
          </w:tcPr>
          <w:p>
            <w:pPr>
              <w:spacing w:after="70" w:before="70"/>
            </w:pPr>
            <w:r>
              <w:rPr>
                <w:rFonts w:ascii="Calibri" w:cs="Calibri" w:eastAsia="Calibri" w:hAnsi="Calibri"/>
                <w:color w:val="1A1A2E"/>
                <w:sz w:val="20"/>
                <w:szCs w:val="20"/>
              </w:rPr>
              <w:t xml:space="preserve">Ticket Sync Agent</w:t>
            </w:r>
          </w:p>
        </w:tc>
        <w:tc>
          <w:tcPr>
            <w:tcW w:type="dxa" w:w="2200"/>
            <w:shd w:fill="EAF1FB" w:val="clear"/>
          </w:tcPr>
          <w:p>
            <w:pPr>
              <w:spacing w:after="70" w:before="70"/>
            </w:pPr>
            <w:r>
              <w:rPr>
                <w:rFonts w:ascii="Calibri" w:cs="Calibri" w:eastAsia="Calibri" w:hAnsi="Calibri"/>
                <w:color w:val="1A1A2E"/>
                <w:sz w:val="20"/>
                <w:szCs w:val="20"/>
              </w:rPr>
              <w:t xml:space="preserve">Gitea issue created/updated</w:t>
            </w:r>
          </w:p>
        </w:tc>
        <w:tc>
          <w:tcPr>
            <w:tcW w:type="dxa" w:w="3000"/>
            <w:shd w:fill="EAF1FB" w:val="clear"/>
          </w:tcPr>
          <w:p>
            <w:pPr>
              <w:spacing w:after="70" w:before="70"/>
            </w:pPr>
            <w:r>
              <w:rPr>
                <w:rFonts w:ascii="Calibri" w:cs="Calibri" w:eastAsia="Calibri" w:hAnsi="Calibri"/>
                <w:color w:val="1A1A2E"/>
                <w:sz w:val="20"/>
                <w:szCs w:val="20"/>
              </w:rPr>
              <w:t xml:space="preserve">Link tickets to relevant decision and component nodes</w:t>
            </w:r>
          </w:p>
        </w:tc>
      </w:tr>
      <w:tr>
        <w:tc>
          <w:tcPr>
            <w:tcW w:type="dxa" w:w="2000"/>
            <w:shd w:fill="FFFFFF" w:val="clear"/>
          </w:tcPr>
          <w:p>
            <w:pPr>
              <w:spacing w:after="70" w:before="70"/>
            </w:pPr>
            <w:r>
              <w:rPr>
                <w:rFonts w:ascii="Calibri" w:cs="Calibri" w:eastAsia="Calibri" w:hAnsi="Calibri"/>
                <w:color w:val="1A1A2E"/>
                <w:sz w:val="20"/>
                <w:szCs w:val="20"/>
              </w:rPr>
              <w:t xml:space="preserve">Query Agent</w:t>
            </w:r>
          </w:p>
        </w:tc>
        <w:tc>
          <w:tcPr>
            <w:tcW w:type="dxa" w:w="2200"/>
            <w:shd w:fill="FFFFFF" w:val="clear"/>
          </w:tcPr>
          <w:p>
            <w:pPr>
              <w:spacing w:after="70" w:before="70"/>
            </w:pPr>
            <w:r>
              <w:rPr>
                <w:rFonts w:ascii="Calibri" w:cs="Calibri" w:eastAsia="Calibri" w:hAnsi="Calibri"/>
                <w:color w:val="1A1A2E"/>
                <w:sz w:val="20"/>
                <w:szCs w:val="20"/>
              </w:rPr>
              <w:t xml:space="preserve">User chat message</w:t>
            </w:r>
          </w:p>
        </w:tc>
        <w:tc>
          <w:tcPr>
            <w:tcW w:type="dxa" w:w="3000"/>
            <w:shd w:fill="FFFFFF" w:val="clear"/>
          </w:tcPr>
          <w:p>
            <w:pPr>
              <w:spacing w:after="70" w:before="70"/>
            </w:pPr>
            <w:r>
              <w:rPr>
                <w:rFonts w:ascii="Calibri" w:cs="Calibri" w:eastAsia="Calibri" w:hAnsi="Calibri"/>
                <w:color w:val="1A1A2E"/>
                <w:sz w:val="20"/>
                <w:szCs w:val="20"/>
              </w:rPr>
              <w:t xml:space="preserve">Retrieve relevant graph context, construct grounded AI response</w:t>
            </w:r>
          </w:p>
        </w:tc>
      </w:tr>
      <w:tr>
        <w:tc>
          <w:tcPr>
            <w:tcW w:type="dxa" w:w="2000"/>
            <w:shd w:fill="EAF1FB" w:val="clear"/>
          </w:tcPr>
          <w:p>
            <w:pPr>
              <w:spacing w:after="70" w:before="70"/>
            </w:pPr>
            <w:r>
              <w:rPr>
                <w:rFonts w:ascii="Calibri" w:cs="Calibri" w:eastAsia="Calibri" w:hAnsi="Calibri"/>
                <w:color w:val="1A1A2E"/>
                <w:sz w:val="20"/>
                <w:szCs w:val="20"/>
              </w:rPr>
              <w:t xml:space="preserve">Invalidation Agent</w:t>
            </w:r>
          </w:p>
        </w:tc>
        <w:tc>
          <w:tcPr>
            <w:tcW w:type="dxa" w:w="2200"/>
            <w:shd w:fill="EAF1FB" w:val="clear"/>
          </w:tcPr>
          <w:p>
            <w:pPr>
              <w:spacing w:after="70" w:before="70"/>
            </w:pPr>
            <w:r>
              <w:rPr>
                <w:rFonts w:ascii="Calibri" w:cs="Calibri" w:eastAsia="Calibri" w:hAnsi="Calibri"/>
                <w:color w:val="1A1A2E"/>
                <w:sz w:val="20"/>
                <w:szCs w:val="20"/>
              </w:rPr>
              <w:t xml:space="preserve">Post-merge trigger</w:t>
            </w:r>
          </w:p>
        </w:tc>
        <w:tc>
          <w:tcPr>
            <w:tcW w:type="dxa" w:w="3000"/>
            <w:shd w:fill="EAF1FB" w:val="clear"/>
          </w:tcPr>
          <w:p>
            <w:pPr>
              <w:spacing w:after="70" w:before="70"/>
            </w:pPr>
            <w:r>
              <w:rPr>
                <w:rFonts w:ascii="Calibri" w:cs="Calibri" w:eastAsia="Calibri" w:hAnsi="Calibri"/>
                <w:color w:val="1A1A2E"/>
                <w:sz w:val="20"/>
                <w:szCs w:val="20"/>
              </w:rPr>
              <w:t xml:space="preserve">Check affected nodes and mark stale reasoning for human review</w:t>
            </w:r>
          </w:p>
        </w:tc>
      </w:tr>
    </w:tbl>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4.4  Logic Invalidation Mechanism</w:t>
      </w:r>
    </w:p>
    <w:p>
      <w:pPr>
        <w:spacing w:after="80" w:before="60" w:line="280"/>
        <w:jc w:val="both"/>
      </w:pPr>
      <w:r>
        <w:rPr>
          <w:rFonts w:ascii="Calibri" w:cs="Calibri" w:eastAsia="Calibri" w:hAnsi="Calibri"/>
          <w:b w:val="false"/>
          <w:bCs w:val="false"/>
          <w:i w:val="false"/>
          <w:iCs w:val="false"/>
          <w:color w:val="1A1A2E"/>
          <w:sz w:val="22"/>
          <w:szCs w:val="22"/>
        </w:rPr>
        <w:t xml:space="preserve">When a pull request is merged that touches a component node, the Invalidation Agent traverses the graph to find all Decision Nodes linked to that component via IMPLEMENTS or DEPENDS_ON edges. Each such node is flagged as 'Needs Review' and the responsible team member is notified through the interface. The system does not auto-resolve invalidations; it surfaces them for human confirmation, which maintains correctness without overreaching automation.</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4.5  Context Delivery for AI Queries</w:t>
      </w:r>
    </w:p>
    <w:p>
      <w:pPr>
        <w:spacing w:after="80" w:before="60" w:line="280"/>
        <w:jc w:val="both"/>
      </w:pPr>
      <w:r>
        <w:rPr>
          <w:rFonts w:ascii="Calibri" w:cs="Calibri" w:eastAsia="Calibri" w:hAnsi="Calibri"/>
          <w:b w:val="false"/>
          <w:bCs w:val="false"/>
          <w:i w:val="false"/>
          <w:iCs w:val="false"/>
          <w:color w:val="1A1A2E"/>
          <w:sz w:val="22"/>
          <w:szCs w:val="22"/>
        </w:rPr>
        <w:t xml:space="preserve">When a developer asks a question through the chat interface, the Query Agent performs a graph traversal to retrieve the minimum necessary context: the relevant decision nodes, their linked components, source documents, and reasoning chains. This context is injected into the LLM prompt, ensuring the AI's answer is grounded in the actual project knowledge rather than generic training data. This targeted context retrieval also minimises token usage.</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5. Key Features</w:t>
      </w:r>
    </w:p>
    <w:p>
      <w:pPr>
        <w:pStyle w:val="Heading2"/>
        <w:spacing w:after="80" w:before="240"/>
      </w:pPr>
      <w:r>
        <w:rPr>
          <w:rFonts w:ascii="Calibri" w:cs="Calibri" w:eastAsia="Calibri" w:hAnsi="Calibri"/>
          <w:b/>
          <w:bCs/>
          <w:color w:val="2E86AB"/>
          <w:sz w:val="24"/>
          <w:szCs w:val="24"/>
        </w:rPr>
        <w:t xml:space="preserve">5.1  Multi-Source Knowledge Ingestion</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Upload meeting transcripts, requirement documents, design documents in PDF, DOCX, or TXT format</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Automatic ingestion from Gitea commits, pull requests, and issues via webhooks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AI-assisted extraction of decisions and requirements from unstructured documents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Manual decision entry for developers to record reasoning directly</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5.2  Living Knowledge Graph</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Neo4j-powered graph with versioned decision nodes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Reasoning chains preserved with full provenance — every node links back to its source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Dependency mapping between decisions, components, and requirements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Visual graph explorer for supervisors and architects</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5.3  AI-Powered Query Interface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Natural language chat — ask anything about the project and receive a sourced, reasoned answer</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Every AI response cites the graph nodes and source documents it drew from</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Code verification — AI confirms whether a stated logic is actually present in the linked codebase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Onboarding mode — new team members can request a full reasoning walkthrough of any module</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5.4  Invalidation and Staleness Detection</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Automatic flagging of decision nodes when linked code is modified</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Human-in-the-loop confirmation — developers review and confirm or update stale reasoning</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Audit trail of all invalidations and updates for accountability</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5.5  Standalone Web Application</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React-based frontend with clean developer-oriented UI</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Authentication via Gitea OAuth — no separate account management</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Role-based views for developers, architects, and project managers</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6. Technology Stack</w:t>
      </w:r>
    </w:p>
    <w:p>
      <w:pPr>
        <w:spacing w:after="80" w:before="60" w:line="280"/>
        <w:jc w:val="both"/>
      </w:pPr>
      <w:r>
        <w:rPr>
          <w:rFonts w:ascii="Calibri" w:cs="Calibri" w:eastAsia="Calibri" w:hAnsi="Calibri"/>
          <w:b w:val="false"/>
          <w:bCs w:val="false"/>
          <w:i w:val="false"/>
          <w:iCs w:val="false"/>
          <w:color w:val="1A1A2E"/>
          <w:sz w:val="22"/>
          <w:szCs w:val="22"/>
        </w:rPr>
        <w:t xml:space="preserve">All components of LogicVault are free and open-source or free-tier cloud services, fully compliant with university FYP requirements.</w:t>
      </w:r>
    </w:p>
    <w:p>
      <w:pPr>
        <w:spacing w:after="100" w:before="0"/>
      </w:pPr>
      <w:r>
        <w:t xml:space="preserve"/>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1800"/>
        <w:gridCol w:w="2000"/>
        <w:gridCol w:w="3400"/>
      </w:tblGrid>
      <w:tr>
        <w:trPr>
          <w:tblHeader/>
        </w:trPr>
        <w:tc>
          <w:tcPr>
            <w:tcW w:type="dxa" w:w="1800"/>
            <w:shd w:fill="1F3A6E" w:val="clear"/>
          </w:tcPr>
          <w:p>
            <w:pPr>
              <w:spacing w:after="80" w:before="80"/>
            </w:pPr>
            <w:r>
              <w:rPr>
                <w:rFonts w:ascii="Calibri" w:cs="Calibri" w:eastAsia="Calibri" w:hAnsi="Calibri"/>
                <w:b/>
                <w:bCs/>
                <w:color w:val="FFFFFF"/>
                <w:sz w:val="20"/>
                <w:szCs w:val="20"/>
              </w:rPr>
              <w:t xml:space="preserve">Category</w:t>
            </w:r>
          </w:p>
        </w:tc>
        <w:tc>
          <w:tcPr>
            <w:tcW w:type="dxa" w:w="2000"/>
            <w:shd w:fill="1F3A6E" w:val="clear"/>
          </w:tcPr>
          <w:p>
            <w:pPr>
              <w:spacing w:after="80" w:before="80"/>
            </w:pPr>
            <w:r>
              <w:rPr>
                <w:rFonts w:ascii="Calibri" w:cs="Calibri" w:eastAsia="Calibri" w:hAnsi="Calibri"/>
                <w:b/>
                <w:bCs/>
                <w:color w:val="FFFFFF"/>
                <w:sz w:val="20"/>
                <w:szCs w:val="20"/>
              </w:rPr>
              <w:t xml:space="preserve">Technology</w:t>
            </w:r>
          </w:p>
        </w:tc>
        <w:tc>
          <w:tcPr>
            <w:tcW w:type="dxa" w:w="3400"/>
            <w:shd w:fill="1F3A6E" w:val="clear"/>
          </w:tcPr>
          <w:p>
            <w:pPr>
              <w:spacing w:after="80" w:before="80"/>
            </w:pPr>
            <w:r>
              <w:rPr>
                <w:rFonts w:ascii="Calibri" w:cs="Calibri" w:eastAsia="Calibri" w:hAnsi="Calibri"/>
                <w:b/>
                <w:bCs/>
                <w:color w:val="FFFFFF"/>
                <w:sz w:val="20"/>
                <w:szCs w:val="20"/>
              </w:rPr>
              <w:t xml:space="preserve">Justification</w:t>
            </w:r>
          </w:p>
        </w:tc>
      </w:tr>
      <w:tr>
        <w:tc>
          <w:tcPr>
            <w:tcW w:type="dxa" w:w="1800"/>
            <w:shd w:fill="FFFFFF" w:val="clear"/>
          </w:tcPr>
          <w:p>
            <w:pPr>
              <w:spacing w:after="70" w:before="70"/>
            </w:pPr>
            <w:r>
              <w:rPr>
                <w:rFonts w:ascii="Calibri" w:cs="Calibri" w:eastAsia="Calibri" w:hAnsi="Calibri"/>
                <w:color w:val="1A1A2E"/>
                <w:sz w:val="20"/>
                <w:szCs w:val="20"/>
              </w:rPr>
              <w:t xml:space="preserve">Version Control &amp; Issues</w:t>
            </w:r>
          </w:p>
        </w:tc>
        <w:tc>
          <w:tcPr>
            <w:tcW w:type="dxa" w:w="2000"/>
            <w:shd w:fill="FFFFFF" w:val="clear"/>
          </w:tcPr>
          <w:p>
            <w:pPr>
              <w:spacing w:after="70" w:before="70"/>
            </w:pPr>
            <w:r>
              <w:rPr>
                <w:rFonts w:ascii="Calibri" w:cs="Calibri" w:eastAsia="Calibri" w:hAnsi="Calibri"/>
                <w:color w:val="1A1A2E"/>
                <w:sz w:val="20"/>
                <w:szCs w:val="20"/>
              </w:rPr>
              <w:t xml:space="preserve">Gitea (self-hosted)</w:t>
            </w:r>
          </w:p>
        </w:tc>
        <w:tc>
          <w:tcPr>
            <w:tcW w:type="dxa" w:w="3400"/>
            <w:shd w:fill="FFFFFF" w:val="clear"/>
          </w:tcPr>
          <w:p>
            <w:pPr>
              <w:spacing w:after="70" w:before="70"/>
            </w:pPr>
            <w:r>
              <w:rPr>
                <w:rFonts w:ascii="Calibri" w:cs="Calibri" w:eastAsia="Calibri" w:hAnsi="Calibri"/>
                <w:color w:val="1A1A2E"/>
                <w:sz w:val="20"/>
                <w:szCs w:val="20"/>
              </w:rPr>
              <w:t xml:space="preserve">Full API access at zero cost; replaces GitHub + Jira</w:t>
            </w:r>
          </w:p>
        </w:tc>
      </w:tr>
      <w:tr>
        <w:tc>
          <w:tcPr>
            <w:tcW w:type="dxa" w:w="1800"/>
            <w:shd w:fill="EAF1FB" w:val="clear"/>
          </w:tcPr>
          <w:p>
            <w:pPr>
              <w:spacing w:after="70" w:before="70"/>
            </w:pPr>
            <w:r>
              <w:rPr>
                <w:rFonts w:ascii="Calibri" w:cs="Calibri" w:eastAsia="Calibri" w:hAnsi="Calibri"/>
                <w:color w:val="1A1A2E"/>
                <w:sz w:val="20"/>
                <w:szCs w:val="20"/>
              </w:rPr>
              <w:t xml:space="preserve">Knowledge Graph Database</w:t>
            </w:r>
          </w:p>
        </w:tc>
        <w:tc>
          <w:tcPr>
            <w:tcW w:type="dxa" w:w="2000"/>
            <w:shd w:fill="EAF1FB" w:val="clear"/>
          </w:tcPr>
          <w:p>
            <w:pPr>
              <w:spacing w:after="70" w:before="70"/>
            </w:pPr>
            <w:r>
              <w:rPr>
                <w:rFonts w:ascii="Calibri" w:cs="Calibri" w:eastAsia="Calibri" w:hAnsi="Calibri"/>
                <w:color w:val="1A1A2E"/>
                <w:sz w:val="20"/>
                <w:szCs w:val="20"/>
              </w:rPr>
              <w:t xml:space="preserve">Neo4j AuraDB Free Tier</w:t>
            </w:r>
          </w:p>
        </w:tc>
        <w:tc>
          <w:tcPr>
            <w:tcW w:type="dxa" w:w="3400"/>
            <w:shd w:fill="EAF1FB" w:val="clear"/>
          </w:tcPr>
          <w:p>
            <w:pPr>
              <w:spacing w:after="70" w:before="70"/>
            </w:pPr>
            <w:r>
              <w:rPr>
                <w:rFonts w:ascii="Calibri" w:cs="Calibri" w:eastAsia="Calibri" w:hAnsi="Calibri"/>
                <w:color w:val="1A1A2E"/>
                <w:sz w:val="20"/>
                <w:szCs w:val="20"/>
              </w:rPr>
              <w:t xml:space="preserve">Native graph queries, hosted cloud, no infrastructure cost</w:t>
            </w:r>
          </w:p>
        </w:tc>
      </w:tr>
      <w:tr>
        <w:tc>
          <w:tcPr>
            <w:tcW w:type="dxa" w:w="1800"/>
            <w:shd w:fill="FFFFFF" w:val="clear"/>
          </w:tcPr>
          <w:p>
            <w:pPr>
              <w:spacing w:after="70" w:before="70"/>
            </w:pPr>
            <w:r>
              <w:rPr>
                <w:rFonts w:ascii="Calibri" w:cs="Calibri" w:eastAsia="Calibri" w:hAnsi="Calibri"/>
                <w:color w:val="1A1A2E"/>
                <w:sz w:val="20"/>
                <w:szCs w:val="20"/>
              </w:rPr>
              <w:t xml:space="preserve">LLM / AI Inference</w:t>
            </w:r>
          </w:p>
        </w:tc>
        <w:tc>
          <w:tcPr>
            <w:tcW w:type="dxa" w:w="2000"/>
            <w:shd w:fill="FFFFFF" w:val="clear"/>
          </w:tcPr>
          <w:p>
            <w:pPr>
              <w:spacing w:after="70" w:before="70"/>
            </w:pPr>
            <w:r>
              <w:rPr>
                <w:rFonts w:ascii="Calibri" w:cs="Calibri" w:eastAsia="Calibri" w:hAnsi="Calibri"/>
                <w:color w:val="1A1A2E"/>
                <w:sz w:val="20"/>
                <w:szCs w:val="20"/>
              </w:rPr>
              <w:t xml:space="preserve">Groq API (Free Tier)</w:t>
            </w:r>
          </w:p>
        </w:tc>
        <w:tc>
          <w:tcPr>
            <w:tcW w:type="dxa" w:w="3400"/>
            <w:shd w:fill="FFFFFF" w:val="clear"/>
          </w:tcPr>
          <w:p>
            <w:pPr>
              <w:spacing w:after="70" w:before="70"/>
            </w:pPr>
            <w:r>
              <w:rPr>
                <w:rFonts w:ascii="Calibri" w:cs="Calibri" w:eastAsia="Calibri" w:hAnsi="Calibri"/>
                <w:color w:val="1A1A2E"/>
                <w:sz w:val="20"/>
                <w:szCs w:val="20"/>
              </w:rPr>
              <w:t xml:space="preserve">Llama 3.3 70B at high speed, genuinely free, no rate issues at dev scale</w:t>
            </w:r>
          </w:p>
        </w:tc>
      </w:tr>
      <w:tr>
        <w:tc>
          <w:tcPr>
            <w:tcW w:type="dxa" w:w="1800"/>
            <w:shd w:fill="EAF1FB" w:val="clear"/>
          </w:tcPr>
          <w:p>
            <w:pPr>
              <w:spacing w:after="70" w:before="70"/>
            </w:pPr>
            <w:r>
              <w:rPr>
                <w:rFonts w:ascii="Calibri" w:cs="Calibri" w:eastAsia="Calibri" w:hAnsi="Calibri"/>
                <w:color w:val="1A1A2E"/>
                <w:sz w:val="20"/>
                <w:szCs w:val="20"/>
              </w:rPr>
              <w:t xml:space="preserve">LLM Fallback</w:t>
            </w:r>
          </w:p>
        </w:tc>
        <w:tc>
          <w:tcPr>
            <w:tcW w:type="dxa" w:w="2000"/>
            <w:shd w:fill="EAF1FB" w:val="clear"/>
          </w:tcPr>
          <w:p>
            <w:pPr>
              <w:spacing w:after="70" w:before="70"/>
            </w:pPr>
            <w:r>
              <w:rPr>
                <w:rFonts w:ascii="Calibri" w:cs="Calibri" w:eastAsia="Calibri" w:hAnsi="Calibri"/>
                <w:color w:val="1A1A2E"/>
                <w:sz w:val="20"/>
                <w:szCs w:val="20"/>
              </w:rPr>
              <w:t xml:space="preserve">Google Gemini API Free Tier</w:t>
            </w:r>
          </w:p>
        </w:tc>
        <w:tc>
          <w:tcPr>
            <w:tcW w:type="dxa" w:w="3400"/>
            <w:shd w:fill="EAF1FB" w:val="clear"/>
          </w:tcPr>
          <w:p>
            <w:pPr>
              <w:spacing w:after="70" w:before="70"/>
            </w:pPr>
            <w:r>
              <w:rPr>
                <w:rFonts w:ascii="Calibri" w:cs="Calibri" w:eastAsia="Calibri" w:hAnsi="Calibri"/>
                <w:color w:val="1A1A2E"/>
                <w:sz w:val="20"/>
                <w:szCs w:val="20"/>
              </w:rPr>
              <w:t xml:space="preserve">Backup inference if Groq limits are reached</w:t>
            </w:r>
          </w:p>
        </w:tc>
      </w:tr>
      <w:tr>
        <w:tc>
          <w:tcPr>
            <w:tcW w:type="dxa" w:w="1800"/>
            <w:shd w:fill="FFFFFF" w:val="clear"/>
          </w:tcPr>
          <w:p>
            <w:pPr>
              <w:spacing w:after="70" w:before="70"/>
            </w:pPr>
            <w:r>
              <w:rPr>
                <w:rFonts w:ascii="Calibri" w:cs="Calibri" w:eastAsia="Calibri" w:hAnsi="Calibri"/>
                <w:color w:val="1A1A2E"/>
                <w:sz w:val="20"/>
                <w:szCs w:val="20"/>
              </w:rPr>
              <w:t xml:space="preserve">Backend Framework</w:t>
            </w:r>
          </w:p>
        </w:tc>
        <w:tc>
          <w:tcPr>
            <w:tcW w:type="dxa" w:w="2000"/>
            <w:shd w:fill="FFFFFF" w:val="clear"/>
          </w:tcPr>
          <w:p>
            <w:pPr>
              <w:spacing w:after="70" w:before="70"/>
            </w:pPr>
            <w:r>
              <w:rPr>
                <w:rFonts w:ascii="Calibri" w:cs="Calibri" w:eastAsia="Calibri" w:hAnsi="Calibri"/>
                <w:color w:val="1A1A2E"/>
                <w:sz w:val="20"/>
                <w:szCs w:val="20"/>
              </w:rPr>
              <w:t xml:space="preserve">FastAPI (Python)</w:t>
            </w:r>
          </w:p>
        </w:tc>
        <w:tc>
          <w:tcPr>
            <w:tcW w:type="dxa" w:w="3400"/>
            <w:shd w:fill="FFFFFF" w:val="clear"/>
          </w:tcPr>
          <w:p>
            <w:pPr>
              <w:spacing w:after="70" w:before="70"/>
            </w:pPr>
            <w:r>
              <w:rPr>
                <w:rFonts w:ascii="Calibri" w:cs="Calibri" w:eastAsia="Calibri" w:hAnsi="Calibri"/>
                <w:color w:val="1A1A2E"/>
                <w:sz w:val="20"/>
                <w:szCs w:val="20"/>
              </w:rPr>
              <w:t xml:space="preserve">Lightweight, async, ideal for agentic worker architecture</w:t>
            </w:r>
          </w:p>
        </w:tc>
      </w:tr>
      <w:tr>
        <w:tc>
          <w:tcPr>
            <w:tcW w:type="dxa" w:w="1800"/>
            <w:shd w:fill="EAF1FB" w:val="clear"/>
          </w:tcPr>
          <w:p>
            <w:pPr>
              <w:spacing w:after="70" w:before="70"/>
            </w:pPr>
            <w:r>
              <w:rPr>
                <w:rFonts w:ascii="Calibri" w:cs="Calibri" w:eastAsia="Calibri" w:hAnsi="Calibri"/>
                <w:color w:val="1A1A2E"/>
                <w:sz w:val="20"/>
                <w:szCs w:val="20"/>
              </w:rPr>
              <w:t xml:space="preserve">Frontend Framework</w:t>
            </w:r>
          </w:p>
        </w:tc>
        <w:tc>
          <w:tcPr>
            <w:tcW w:type="dxa" w:w="2000"/>
            <w:shd w:fill="EAF1FB" w:val="clear"/>
          </w:tcPr>
          <w:p>
            <w:pPr>
              <w:spacing w:after="70" w:before="70"/>
            </w:pPr>
            <w:r>
              <w:rPr>
                <w:rFonts w:ascii="Calibri" w:cs="Calibri" w:eastAsia="Calibri" w:hAnsi="Calibri"/>
                <w:color w:val="1A1A2E"/>
                <w:sz w:val="20"/>
                <w:szCs w:val="20"/>
              </w:rPr>
              <w:t xml:space="preserve">React + TailwindCSS</w:t>
            </w:r>
          </w:p>
        </w:tc>
        <w:tc>
          <w:tcPr>
            <w:tcW w:type="dxa" w:w="3400"/>
            <w:shd w:fill="EAF1FB" w:val="clear"/>
          </w:tcPr>
          <w:p>
            <w:pPr>
              <w:spacing w:after="70" w:before="70"/>
            </w:pPr>
            <w:r>
              <w:rPr>
                <w:rFonts w:ascii="Calibri" w:cs="Calibri" w:eastAsia="Calibri" w:hAnsi="Calibri"/>
                <w:color w:val="1A1A2E"/>
                <w:sz w:val="20"/>
                <w:szCs w:val="20"/>
              </w:rPr>
              <w:t xml:space="preserve">Component-based UI, fast development, clean developer aesthetic</w:t>
            </w:r>
          </w:p>
        </w:tc>
      </w:tr>
      <w:tr>
        <w:tc>
          <w:tcPr>
            <w:tcW w:type="dxa" w:w="1800"/>
            <w:shd w:fill="FFFFFF" w:val="clear"/>
          </w:tcPr>
          <w:p>
            <w:pPr>
              <w:spacing w:after="70" w:before="70"/>
            </w:pPr>
            <w:r>
              <w:rPr>
                <w:rFonts w:ascii="Calibri" w:cs="Calibri" w:eastAsia="Calibri" w:hAnsi="Calibri"/>
                <w:color w:val="1A1A2E"/>
                <w:sz w:val="20"/>
                <w:szCs w:val="20"/>
              </w:rPr>
              <w:t xml:space="preserve">Document Parsing</w:t>
            </w:r>
          </w:p>
        </w:tc>
        <w:tc>
          <w:tcPr>
            <w:tcW w:type="dxa" w:w="2000"/>
            <w:shd w:fill="FFFFFF" w:val="clear"/>
          </w:tcPr>
          <w:p>
            <w:pPr>
              <w:spacing w:after="70" w:before="70"/>
            </w:pPr>
            <w:r>
              <w:rPr>
                <w:rFonts w:ascii="Calibri" w:cs="Calibri" w:eastAsia="Calibri" w:hAnsi="Calibri"/>
                <w:color w:val="1A1A2E"/>
                <w:sz w:val="20"/>
                <w:szCs w:val="20"/>
              </w:rPr>
              <w:t xml:space="preserve">LangChain Document Loaders</w:t>
            </w:r>
          </w:p>
        </w:tc>
        <w:tc>
          <w:tcPr>
            <w:tcW w:type="dxa" w:w="3400"/>
            <w:shd w:fill="FFFFFF" w:val="clear"/>
          </w:tcPr>
          <w:p>
            <w:pPr>
              <w:spacing w:after="70" w:before="70"/>
            </w:pPr>
            <w:r>
              <w:rPr>
                <w:rFonts w:ascii="Calibri" w:cs="Calibri" w:eastAsia="Calibri" w:hAnsi="Calibri"/>
                <w:color w:val="1A1A2E"/>
                <w:sz w:val="20"/>
                <w:szCs w:val="20"/>
              </w:rPr>
              <w:t xml:space="preserve">Handles PDF, DOCX, TXT with minimal custom code</w:t>
            </w:r>
          </w:p>
        </w:tc>
      </w:tr>
      <w:tr>
        <w:tc>
          <w:tcPr>
            <w:tcW w:type="dxa" w:w="1800"/>
            <w:shd w:fill="EAF1FB" w:val="clear"/>
          </w:tcPr>
          <w:p>
            <w:pPr>
              <w:spacing w:after="70" w:before="70"/>
            </w:pPr>
            <w:r>
              <w:rPr>
                <w:rFonts w:ascii="Calibri" w:cs="Calibri" w:eastAsia="Calibri" w:hAnsi="Calibri"/>
                <w:color w:val="1A1A2E"/>
                <w:sz w:val="20"/>
                <w:szCs w:val="20"/>
              </w:rPr>
              <w:t xml:space="preserve">Hosting</w:t>
            </w:r>
          </w:p>
        </w:tc>
        <w:tc>
          <w:tcPr>
            <w:tcW w:type="dxa" w:w="2000"/>
            <w:shd w:fill="EAF1FB" w:val="clear"/>
          </w:tcPr>
          <w:p>
            <w:pPr>
              <w:spacing w:after="70" w:before="70"/>
            </w:pPr>
            <w:r>
              <w:rPr>
                <w:rFonts w:ascii="Calibri" w:cs="Calibri" w:eastAsia="Calibri" w:hAnsi="Calibri"/>
                <w:color w:val="1A1A2E"/>
                <w:sz w:val="20"/>
                <w:szCs w:val="20"/>
              </w:rPr>
              <w:t xml:space="preserve">Remote VM (team-owned)</w:t>
            </w:r>
          </w:p>
        </w:tc>
        <w:tc>
          <w:tcPr>
            <w:tcW w:type="dxa" w:w="3400"/>
            <w:shd w:fill="EAF1FB" w:val="clear"/>
          </w:tcPr>
          <w:p>
            <w:pPr>
              <w:spacing w:after="70" w:before="70"/>
            </w:pPr>
            <w:r>
              <w:rPr>
                <w:rFonts w:ascii="Calibri" w:cs="Calibri" w:eastAsia="Calibri" w:hAnsi="Calibri"/>
                <w:color w:val="1A1A2E"/>
                <w:sz w:val="20"/>
                <w:szCs w:val="20"/>
              </w:rPr>
              <w:t xml:space="preserve">Hosts Gitea, FastAPI backend, and React frontend</w:t>
            </w:r>
          </w:p>
        </w:tc>
      </w:tr>
      <w:tr>
        <w:tc>
          <w:tcPr>
            <w:tcW w:type="dxa" w:w="1800"/>
            <w:shd w:fill="FFFFFF" w:val="clear"/>
          </w:tcPr>
          <w:p>
            <w:pPr>
              <w:spacing w:after="70" w:before="70"/>
            </w:pPr>
            <w:r>
              <w:rPr>
                <w:rFonts w:ascii="Calibri" w:cs="Calibri" w:eastAsia="Calibri" w:hAnsi="Calibri"/>
                <w:color w:val="1A1A2E"/>
                <w:sz w:val="20"/>
                <w:szCs w:val="20"/>
              </w:rPr>
              <w:t xml:space="preserve">Authentication</w:t>
            </w:r>
          </w:p>
        </w:tc>
        <w:tc>
          <w:tcPr>
            <w:tcW w:type="dxa" w:w="2000"/>
            <w:shd w:fill="FFFFFF" w:val="clear"/>
          </w:tcPr>
          <w:p>
            <w:pPr>
              <w:spacing w:after="70" w:before="70"/>
            </w:pPr>
            <w:r>
              <w:rPr>
                <w:rFonts w:ascii="Calibri" w:cs="Calibri" w:eastAsia="Calibri" w:hAnsi="Calibri"/>
                <w:color w:val="1A1A2E"/>
                <w:sz w:val="20"/>
                <w:szCs w:val="20"/>
              </w:rPr>
              <w:t xml:space="preserve">Gitea OAuth2</w:t>
            </w:r>
          </w:p>
        </w:tc>
        <w:tc>
          <w:tcPr>
            <w:tcW w:type="dxa" w:w="3400"/>
            <w:shd w:fill="FFFFFF" w:val="clear"/>
          </w:tcPr>
          <w:p>
            <w:pPr>
              <w:spacing w:after="70" w:before="70"/>
            </w:pPr>
            <w:r>
              <w:rPr>
                <w:rFonts w:ascii="Calibri" w:cs="Calibri" w:eastAsia="Calibri" w:hAnsi="Calibri"/>
                <w:color w:val="1A1A2E"/>
                <w:sz w:val="20"/>
                <w:szCs w:val="20"/>
              </w:rPr>
              <w:t xml:space="preserve">Reuses existing Gitea identities, no extra auth infrastructure</w:t>
            </w:r>
          </w:p>
        </w:tc>
      </w:tr>
    </w:tbl>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7. Project Timeline</w:t>
      </w:r>
    </w:p>
    <w:p>
      <w:pPr>
        <w:pStyle w:val="Heading2"/>
        <w:spacing w:after="80" w:before="240"/>
      </w:pPr>
      <w:r>
        <w:rPr>
          <w:rFonts w:ascii="Calibri" w:cs="Calibri" w:eastAsia="Calibri" w:hAnsi="Calibri"/>
          <w:b/>
          <w:bCs/>
          <w:color w:val="2E86AB"/>
          <w:sz w:val="24"/>
          <w:szCs w:val="24"/>
        </w:rPr>
        <w:t xml:space="preserve">Semester 1 — Foundation &amp; Core (Months 1–4)</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1200"/>
        <w:gridCol w:w="2800"/>
        <w:gridCol w:w="3200"/>
      </w:tblGrid>
      <w:tr>
        <w:trPr>
          <w:tblHeader/>
        </w:trPr>
        <w:tc>
          <w:tcPr>
            <w:tcW w:type="dxa" w:w="1200"/>
            <w:shd w:fill="1F3A6E" w:val="clear"/>
          </w:tcPr>
          <w:p>
            <w:pPr>
              <w:spacing w:after="80" w:before="80"/>
            </w:pPr>
            <w:r>
              <w:rPr>
                <w:rFonts w:ascii="Calibri" w:cs="Calibri" w:eastAsia="Calibri" w:hAnsi="Calibri"/>
                <w:b/>
                <w:bCs/>
                <w:color w:val="FFFFFF"/>
                <w:sz w:val="20"/>
                <w:szCs w:val="20"/>
              </w:rPr>
              <w:t xml:space="preserve">Month</w:t>
            </w:r>
          </w:p>
        </w:tc>
        <w:tc>
          <w:tcPr>
            <w:tcW w:type="dxa" w:w="2800"/>
            <w:shd w:fill="1F3A6E" w:val="clear"/>
          </w:tcPr>
          <w:p>
            <w:pPr>
              <w:spacing w:after="80" w:before="80"/>
            </w:pPr>
            <w:r>
              <w:rPr>
                <w:rFonts w:ascii="Calibri" w:cs="Calibri" w:eastAsia="Calibri" w:hAnsi="Calibri"/>
                <w:b/>
                <w:bCs/>
                <w:color w:val="FFFFFF"/>
                <w:sz w:val="20"/>
                <w:szCs w:val="20"/>
              </w:rPr>
              <w:t xml:space="preserve">Milestone</w:t>
            </w:r>
          </w:p>
        </w:tc>
        <w:tc>
          <w:tcPr>
            <w:tcW w:type="dxa" w:w="3200"/>
            <w:shd w:fill="1F3A6E" w:val="clear"/>
          </w:tcPr>
          <w:p>
            <w:pPr>
              <w:spacing w:after="80" w:before="80"/>
            </w:pPr>
            <w:r>
              <w:rPr>
                <w:rFonts w:ascii="Calibri" w:cs="Calibri" w:eastAsia="Calibri" w:hAnsi="Calibri"/>
                <w:b/>
                <w:bCs/>
                <w:color w:val="FFFFFF"/>
                <w:sz w:val="20"/>
                <w:szCs w:val="20"/>
              </w:rPr>
              <w:t xml:space="preserve">Deliverable</w:t>
            </w:r>
          </w:p>
        </w:tc>
      </w:tr>
      <w:tr>
        <w:tc>
          <w:tcPr>
            <w:tcW w:type="dxa" w:w="1200"/>
            <w:shd w:fill="FFFFFF" w:val="clear"/>
          </w:tcPr>
          <w:p>
            <w:pPr>
              <w:spacing w:after="70" w:before="70"/>
            </w:pPr>
            <w:r>
              <w:rPr>
                <w:rFonts w:ascii="Calibri" w:cs="Calibri" w:eastAsia="Calibri" w:hAnsi="Calibri"/>
                <w:color w:val="1A1A2E"/>
                <w:sz w:val="20"/>
                <w:szCs w:val="20"/>
              </w:rPr>
              <w:t xml:space="preserve">Month 1</w:t>
            </w:r>
          </w:p>
        </w:tc>
        <w:tc>
          <w:tcPr>
            <w:tcW w:type="dxa" w:w="2800"/>
            <w:shd w:fill="FFFFFF" w:val="clear"/>
          </w:tcPr>
          <w:p>
            <w:pPr>
              <w:spacing w:after="70" w:before="70"/>
            </w:pPr>
            <w:r>
              <w:rPr>
                <w:rFonts w:ascii="Calibri" w:cs="Calibri" w:eastAsia="Calibri" w:hAnsi="Calibri"/>
                <w:color w:val="1A1A2E"/>
                <w:sz w:val="20"/>
                <w:szCs w:val="20"/>
              </w:rPr>
              <w:t xml:space="preserve">Requirements &amp; Architecture</w:t>
            </w:r>
          </w:p>
        </w:tc>
        <w:tc>
          <w:tcPr>
            <w:tcW w:type="dxa" w:w="3200"/>
            <w:shd w:fill="FFFFFF" w:val="clear"/>
          </w:tcPr>
          <w:p>
            <w:pPr>
              <w:spacing w:after="70" w:before="70"/>
            </w:pPr>
            <w:r>
              <w:rPr>
                <w:rFonts w:ascii="Calibri" w:cs="Calibri" w:eastAsia="Calibri" w:hAnsi="Calibri"/>
                <w:color w:val="1A1A2E"/>
                <w:sz w:val="20"/>
                <w:szCs w:val="20"/>
              </w:rPr>
              <w:t xml:space="preserve">Finalised graph schema, system design document, Gitea instance live</w:t>
            </w:r>
          </w:p>
        </w:tc>
      </w:tr>
      <w:tr>
        <w:tc>
          <w:tcPr>
            <w:tcW w:type="dxa" w:w="1200"/>
            <w:shd w:fill="EAF1FB" w:val="clear"/>
          </w:tcPr>
          <w:p>
            <w:pPr>
              <w:spacing w:after="70" w:before="70"/>
            </w:pPr>
            <w:r>
              <w:rPr>
                <w:rFonts w:ascii="Calibri" w:cs="Calibri" w:eastAsia="Calibri" w:hAnsi="Calibri"/>
                <w:color w:val="1A1A2E"/>
                <w:sz w:val="20"/>
                <w:szCs w:val="20"/>
              </w:rPr>
              <w:t xml:space="preserve">Month 2</w:t>
            </w:r>
          </w:p>
        </w:tc>
        <w:tc>
          <w:tcPr>
            <w:tcW w:type="dxa" w:w="2800"/>
            <w:shd w:fill="EAF1FB" w:val="clear"/>
          </w:tcPr>
          <w:p>
            <w:pPr>
              <w:spacing w:after="70" w:before="70"/>
            </w:pPr>
            <w:r>
              <w:rPr>
                <w:rFonts w:ascii="Calibri" w:cs="Calibri" w:eastAsia="Calibri" w:hAnsi="Calibri"/>
                <w:color w:val="1A1A2E"/>
                <w:sz w:val="20"/>
                <w:szCs w:val="20"/>
              </w:rPr>
              <w:t xml:space="preserve">Ingestion Layer</w:t>
            </w:r>
          </w:p>
        </w:tc>
        <w:tc>
          <w:tcPr>
            <w:tcW w:type="dxa" w:w="3200"/>
            <w:shd w:fill="EAF1FB" w:val="clear"/>
          </w:tcPr>
          <w:p>
            <w:pPr>
              <w:spacing w:after="70" w:before="70"/>
            </w:pPr>
            <w:r>
              <w:rPr>
                <w:rFonts w:ascii="Calibri" w:cs="Calibri" w:eastAsia="Calibri" w:hAnsi="Calibri"/>
                <w:color w:val="1A1A2E"/>
                <w:sz w:val="20"/>
                <w:szCs w:val="20"/>
              </w:rPr>
              <w:t xml:space="preserve">Document upload + parsing pipeline, Gitea webhook integration</w:t>
            </w:r>
          </w:p>
        </w:tc>
      </w:tr>
      <w:tr>
        <w:tc>
          <w:tcPr>
            <w:tcW w:type="dxa" w:w="1200"/>
            <w:shd w:fill="FFFFFF" w:val="clear"/>
          </w:tcPr>
          <w:p>
            <w:pPr>
              <w:spacing w:after="70" w:before="70"/>
            </w:pPr>
            <w:r>
              <w:rPr>
                <w:rFonts w:ascii="Calibri" w:cs="Calibri" w:eastAsia="Calibri" w:hAnsi="Calibri"/>
                <w:color w:val="1A1A2E"/>
                <w:sz w:val="20"/>
                <w:szCs w:val="20"/>
              </w:rPr>
              <w:t xml:space="preserve">Month 3</w:t>
            </w:r>
          </w:p>
        </w:tc>
        <w:tc>
          <w:tcPr>
            <w:tcW w:type="dxa" w:w="2800"/>
            <w:shd w:fill="FFFFFF" w:val="clear"/>
          </w:tcPr>
          <w:p>
            <w:pPr>
              <w:spacing w:after="70" w:before="70"/>
            </w:pPr>
            <w:r>
              <w:rPr>
                <w:rFonts w:ascii="Calibri" w:cs="Calibri" w:eastAsia="Calibri" w:hAnsi="Calibri"/>
                <w:color w:val="1A1A2E"/>
                <w:sz w:val="20"/>
                <w:szCs w:val="20"/>
              </w:rPr>
              <w:t xml:space="preserve">Knowledge Graph Core</w:t>
            </w:r>
          </w:p>
        </w:tc>
        <w:tc>
          <w:tcPr>
            <w:tcW w:type="dxa" w:w="3200"/>
            <w:shd w:fill="FFFFFF" w:val="clear"/>
          </w:tcPr>
          <w:p>
            <w:pPr>
              <w:spacing w:after="70" w:before="70"/>
            </w:pPr>
            <w:r>
              <w:rPr>
                <w:rFonts w:ascii="Calibri" w:cs="Calibri" w:eastAsia="Calibri" w:hAnsi="Calibri"/>
                <w:color w:val="1A1A2E"/>
                <w:sz w:val="20"/>
                <w:szCs w:val="20"/>
              </w:rPr>
              <w:t xml:space="preserve">Neo4j schema live, Decision/Component/Ticket nodes, basic CRUD</w:t>
            </w:r>
          </w:p>
        </w:tc>
      </w:tr>
      <w:tr>
        <w:tc>
          <w:tcPr>
            <w:tcW w:type="dxa" w:w="1200"/>
            <w:shd w:fill="EAF1FB" w:val="clear"/>
          </w:tcPr>
          <w:p>
            <w:pPr>
              <w:spacing w:after="70" w:before="70"/>
            </w:pPr>
            <w:r>
              <w:rPr>
                <w:rFonts w:ascii="Calibri" w:cs="Calibri" w:eastAsia="Calibri" w:hAnsi="Calibri"/>
                <w:color w:val="1A1A2E"/>
                <w:sz w:val="20"/>
                <w:szCs w:val="20"/>
              </w:rPr>
              <w:t xml:space="preserve">Month 4</w:t>
            </w:r>
          </w:p>
        </w:tc>
        <w:tc>
          <w:tcPr>
            <w:tcW w:type="dxa" w:w="2800"/>
            <w:shd w:fill="EAF1FB" w:val="clear"/>
          </w:tcPr>
          <w:p>
            <w:pPr>
              <w:spacing w:after="70" w:before="70"/>
            </w:pPr>
            <w:r>
              <w:rPr>
                <w:rFonts w:ascii="Calibri" w:cs="Calibri" w:eastAsia="Calibri" w:hAnsi="Calibri"/>
                <w:color w:val="1A1A2E"/>
                <w:sz w:val="20"/>
                <w:szCs w:val="20"/>
              </w:rPr>
              <w:t xml:space="preserve">Semester 1 Demo</w:t>
            </w:r>
          </w:p>
        </w:tc>
        <w:tc>
          <w:tcPr>
            <w:tcW w:type="dxa" w:w="3200"/>
            <w:shd w:fill="EAF1FB" w:val="clear"/>
          </w:tcPr>
          <w:p>
            <w:pPr>
              <w:spacing w:after="70" w:before="70"/>
            </w:pPr>
            <w:r>
              <w:rPr>
                <w:rFonts w:ascii="Calibri" w:cs="Calibri" w:eastAsia="Calibri" w:hAnsi="Calibri"/>
                <w:color w:val="1A1A2E"/>
                <w:sz w:val="20"/>
                <w:szCs w:val="20"/>
              </w:rPr>
              <w:t xml:space="preserve">End-to-end ingestion: upload a doc → nodes appear in graph</w:t>
            </w:r>
          </w:p>
        </w:tc>
      </w:tr>
    </w:tbl>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Semester 2 — Intelligence &amp; Interface (Months 5–8)</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1200"/>
        <w:gridCol w:w="2800"/>
        <w:gridCol w:w="3200"/>
      </w:tblGrid>
      <w:tr>
        <w:trPr>
          <w:tblHeader/>
        </w:trPr>
        <w:tc>
          <w:tcPr>
            <w:tcW w:type="dxa" w:w="1200"/>
            <w:shd w:fill="1F3A6E" w:val="clear"/>
          </w:tcPr>
          <w:p>
            <w:pPr>
              <w:spacing w:after="80" w:before="80"/>
            </w:pPr>
            <w:r>
              <w:rPr>
                <w:rFonts w:ascii="Calibri" w:cs="Calibri" w:eastAsia="Calibri" w:hAnsi="Calibri"/>
                <w:b/>
                <w:bCs/>
                <w:color w:val="FFFFFF"/>
                <w:sz w:val="20"/>
                <w:szCs w:val="20"/>
              </w:rPr>
              <w:t xml:space="preserve">Month</w:t>
            </w:r>
          </w:p>
        </w:tc>
        <w:tc>
          <w:tcPr>
            <w:tcW w:type="dxa" w:w="2800"/>
            <w:shd w:fill="1F3A6E" w:val="clear"/>
          </w:tcPr>
          <w:p>
            <w:pPr>
              <w:spacing w:after="80" w:before="80"/>
            </w:pPr>
            <w:r>
              <w:rPr>
                <w:rFonts w:ascii="Calibri" w:cs="Calibri" w:eastAsia="Calibri" w:hAnsi="Calibri"/>
                <w:b/>
                <w:bCs/>
                <w:color w:val="FFFFFF"/>
                <w:sz w:val="20"/>
                <w:szCs w:val="20"/>
              </w:rPr>
              <w:t xml:space="preserve">Milestone</w:t>
            </w:r>
          </w:p>
        </w:tc>
        <w:tc>
          <w:tcPr>
            <w:tcW w:type="dxa" w:w="3200"/>
            <w:shd w:fill="1F3A6E" w:val="clear"/>
          </w:tcPr>
          <w:p>
            <w:pPr>
              <w:spacing w:after="80" w:before="80"/>
            </w:pPr>
            <w:r>
              <w:rPr>
                <w:rFonts w:ascii="Calibri" w:cs="Calibri" w:eastAsia="Calibri" w:hAnsi="Calibri"/>
                <w:b/>
                <w:bCs/>
                <w:color w:val="FFFFFF"/>
                <w:sz w:val="20"/>
                <w:szCs w:val="20"/>
              </w:rPr>
              <w:t xml:space="preserve">Deliverable</w:t>
            </w:r>
          </w:p>
        </w:tc>
      </w:tr>
      <w:tr>
        <w:tc>
          <w:tcPr>
            <w:tcW w:type="dxa" w:w="1200"/>
            <w:shd w:fill="FFFFFF" w:val="clear"/>
          </w:tcPr>
          <w:p>
            <w:pPr>
              <w:spacing w:after="70" w:before="70"/>
            </w:pPr>
            <w:r>
              <w:rPr>
                <w:rFonts w:ascii="Calibri" w:cs="Calibri" w:eastAsia="Calibri" w:hAnsi="Calibri"/>
                <w:color w:val="1A1A2E"/>
                <w:sz w:val="20"/>
                <w:szCs w:val="20"/>
              </w:rPr>
              <w:t xml:space="preserve">Month 5</w:t>
            </w:r>
          </w:p>
        </w:tc>
        <w:tc>
          <w:tcPr>
            <w:tcW w:type="dxa" w:w="2800"/>
            <w:shd w:fill="FFFFFF" w:val="clear"/>
          </w:tcPr>
          <w:p>
            <w:pPr>
              <w:spacing w:after="70" w:before="70"/>
            </w:pPr>
            <w:r>
              <w:rPr>
                <w:rFonts w:ascii="Calibri" w:cs="Calibri" w:eastAsia="Calibri" w:hAnsi="Calibri"/>
                <w:color w:val="1A1A2E"/>
                <w:sz w:val="20"/>
                <w:szCs w:val="20"/>
              </w:rPr>
              <w:t xml:space="preserve">AI Query Engine</w:t>
            </w:r>
          </w:p>
        </w:tc>
        <w:tc>
          <w:tcPr>
            <w:tcW w:type="dxa" w:w="3200"/>
            <w:shd w:fill="FFFFFF" w:val="clear"/>
          </w:tcPr>
          <w:p>
            <w:pPr>
              <w:spacing w:after="70" w:before="70"/>
            </w:pPr>
            <w:r>
              <w:rPr>
                <w:rFonts w:ascii="Calibri" w:cs="Calibri" w:eastAsia="Calibri" w:hAnsi="Calibri"/>
                <w:color w:val="1A1A2E"/>
                <w:sz w:val="20"/>
                <w:szCs w:val="20"/>
              </w:rPr>
              <w:t xml:space="preserve">Groq integration, Query Agent, context-grounded chat responses</w:t>
            </w:r>
          </w:p>
        </w:tc>
      </w:tr>
      <w:tr>
        <w:tc>
          <w:tcPr>
            <w:tcW w:type="dxa" w:w="1200"/>
            <w:shd w:fill="EAF1FB" w:val="clear"/>
          </w:tcPr>
          <w:p>
            <w:pPr>
              <w:spacing w:after="70" w:before="70"/>
            </w:pPr>
            <w:r>
              <w:rPr>
                <w:rFonts w:ascii="Calibri" w:cs="Calibri" w:eastAsia="Calibri" w:hAnsi="Calibri"/>
                <w:color w:val="1A1A2E"/>
                <w:sz w:val="20"/>
                <w:szCs w:val="20"/>
              </w:rPr>
              <w:t xml:space="preserve">Month 6</w:t>
            </w:r>
          </w:p>
        </w:tc>
        <w:tc>
          <w:tcPr>
            <w:tcW w:type="dxa" w:w="2800"/>
            <w:shd w:fill="EAF1FB" w:val="clear"/>
          </w:tcPr>
          <w:p>
            <w:pPr>
              <w:spacing w:after="70" w:before="70"/>
            </w:pPr>
            <w:r>
              <w:rPr>
                <w:rFonts w:ascii="Calibri" w:cs="Calibri" w:eastAsia="Calibri" w:hAnsi="Calibri"/>
                <w:color w:val="1A1A2E"/>
                <w:sz w:val="20"/>
                <w:szCs w:val="20"/>
              </w:rPr>
              <w:t xml:space="preserve">Invalidation Engine</w:t>
            </w:r>
          </w:p>
        </w:tc>
        <w:tc>
          <w:tcPr>
            <w:tcW w:type="dxa" w:w="3200"/>
            <w:shd w:fill="EAF1FB" w:val="clear"/>
          </w:tcPr>
          <w:p>
            <w:pPr>
              <w:spacing w:after="70" w:before="70"/>
            </w:pPr>
            <w:r>
              <w:rPr>
                <w:rFonts w:ascii="Calibri" w:cs="Calibri" w:eastAsia="Calibri" w:hAnsi="Calibri"/>
                <w:color w:val="1A1A2E"/>
                <w:sz w:val="20"/>
                <w:szCs w:val="20"/>
              </w:rPr>
              <w:t xml:space="preserve">PR-triggered invalidation, staleness flagging, review workflow</w:t>
            </w:r>
          </w:p>
        </w:tc>
      </w:tr>
      <w:tr>
        <w:tc>
          <w:tcPr>
            <w:tcW w:type="dxa" w:w="1200"/>
            <w:shd w:fill="FFFFFF" w:val="clear"/>
          </w:tcPr>
          <w:p>
            <w:pPr>
              <w:spacing w:after="70" w:before="70"/>
            </w:pPr>
            <w:r>
              <w:rPr>
                <w:rFonts w:ascii="Calibri" w:cs="Calibri" w:eastAsia="Calibri" w:hAnsi="Calibri"/>
                <w:color w:val="1A1A2E"/>
                <w:sz w:val="20"/>
                <w:szCs w:val="20"/>
              </w:rPr>
              <w:t xml:space="preserve">Month 7</w:t>
            </w:r>
          </w:p>
        </w:tc>
        <w:tc>
          <w:tcPr>
            <w:tcW w:type="dxa" w:w="2800"/>
            <w:shd w:fill="FFFFFF" w:val="clear"/>
          </w:tcPr>
          <w:p>
            <w:pPr>
              <w:spacing w:after="70" w:before="70"/>
            </w:pPr>
            <w:r>
              <w:rPr>
                <w:rFonts w:ascii="Calibri" w:cs="Calibri" w:eastAsia="Calibri" w:hAnsi="Calibri"/>
                <w:color w:val="1A1A2E"/>
                <w:sz w:val="20"/>
                <w:szCs w:val="20"/>
              </w:rPr>
              <w:t xml:space="preserve">Frontend Polish &amp; Integration</w:t>
            </w:r>
          </w:p>
        </w:tc>
        <w:tc>
          <w:tcPr>
            <w:tcW w:type="dxa" w:w="3200"/>
            <w:shd w:fill="FFFFFF" w:val="clear"/>
          </w:tcPr>
          <w:p>
            <w:pPr>
              <w:spacing w:after="70" w:before="70"/>
            </w:pPr>
            <w:r>
              <w:rPr>
                <w:rFonts w:ascii="Calibri" w:cs="Calibri" w:eastAsia="Calibri" w:hAnsi="Calibri"/>
                <w:color w:val="1A1A2E"/>
                <w:sz w:val="20"/>
                <w:szCs w:val="20"/>
              </w:rPr>
              <w:t xml:space="preserve">Full React UI, graph visualisation, onboarding flow</w:t>
            </w:r>
          </w:p>
        </w:tc>
      </w:tr>
      <w:tr>
        <w:tc>
          <w:tcPr>
            <w:tcW w:type="dxa" w:w="1200"/>
            <w:shd w:fill="EAF1FB" w:val="clear"/>
          </w:tcPr>
          <w:p>
            <w:pPr>
              <w:spacing w:after="70" w:before="70"/>
            </w:pPr>
            <w:r>
              <w:rPr>
                <w:rFonts w:ascii="Calibri" w:cs="Calibri" w:eastAsia="Calibri" w:hAnsi="Calibri"/>
                <w:color w:val="1A1A2E"/>
                <w:sz w:val="20"/>
                <w:szCs w:val="20"/>
              </w:rPr>
              <w:t xml:space="preserve">Month 8</w:t>
            </w:r>
          </w:p>
        </w:tc>
        <w:tc>
          <w:tcPr>
            <w:tcW w:type="dxa" w:w="2800"/>
            <w:shd w:fill="EAF1FB" w:val="clear"/>
          </w:tcPr>
          <w:p>
            <w:pPr>
              <w:spacing w:after="70" w:before="70"/>
            </w:pPr>
            <w:r>
              <w:rPr>
                <w:rFonts w:ascii="Calibri" w:cs="Calibri" w:eastAsia="Calibri" w:hAnsi="Calibri"/>
                <w:color w:val="1A1A2E"/>
                <w:sz w:val="20"/>
                <w:szCs w:val="20"/>
              </w:rPr>
              <w:t xml:space="preserve">Testing &amp; Final Demo</w:t>
            </w:r>
          </w:p>
        </w:tc>
        <w:tc>
          <w:tcPr>
            <w:tcW w:type="dxa" w:w="3200"/>
            <w:shd w:fill="EAF1FB" w:val="clear"/>
          </w:tcPr>
          <w:p>
            <w:pPr>
              <w:spacing w:after="70" w:before="70"/>
            </w:pPr>
            <w:r>
              <w:rPr>
                <w:rFonts w:ascii="Calibri" w:cs="Calibri" w:eastAsia="Calibri" w:hAnsi="Calibri"/>
                <w:color w:val="1A1A2E"/>
                <w:sz w:val="20"/>
                <w:szCs w:val="20"/>
              </w:rPr>
              <w:t xml:space="preserve">End-to-end demo on a real sample project, evaluation report</w:t>
            </w:r>
          </w:p>
        </w:tc>
      </w:tr>
    </w:tbl>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8. Team Responsibilities</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1800"/>
        <w:gridCol w:w="1800"/>
        <w:gridCol w:w="3600"/>
      </w:tblGrid>
      <w:tr>
        <w:trPr>
          <w:tblHeader/>
        </w:trPr>
        <w:tc>
          <w:tcPr>
            <w:tcW w:type="dxa" w:w="1800"/>
            <w:shd w:fill="1F3A6E" w:val="clear"/>
          </w:tcPr>
          <w:p>
            <w:pPr>
              <w:spacing w:after="80" w:before="80"/>
            </w:pPr>
            <w:r>
              <w:rPr>
                <w:rFonts w:ascii="Calibri" w:cs="Calibri" w:eastAsia="Calibri" w:hAnsi="Calibri"/>
                <w:b/>
                <w:bCs/>
                <w:color w:val="FFFFFF"/>
                <w:sz w:val="20"/>
                <w:szCs w:val="20"/>
              </w:rPr>
              <w:t xml:space="preserve">Team Member</w:t>
            </w:r>
          </w:p>
        </w:tc>
        <w:tc>
          <w:tcPr>
            <w:tcW w:type="dxa" w:w="1800"/>
            <w:shd w:fill="1F3A6E" w:val="clear"/>
          </w:tcPr>
          <w:p>
            <w:pPr>
              <w:spacing w:after="80" w:before="80"/>
            </w:pPr>
            <w:r>
              <w:rPr>
                <w:rFonts w:ascii="Calibri" w:cs="Calibri" w:eastAsia="Calibri" w:hAnsi="Calibri"/>
                <w:b/>
                <w:bCs/>
                <w:color w:val="FFFFFF"/>
                <w:sz w:val="20"/>
                <w:szCs w:val="20"/>
              </w:rPr>
              <w:t xml:space="preserve">Primary Role</w:t>
            </w:r>
          </w:p>
        </w:tc>
        <w:tc>
          <w:tcPr>
            <w:tcW w:type="dxa" w:w="3600"/>
            <w:shd w:fill="1F3A6E" w:val="clear"/>
          </w:tcPr>
          <w:p>
            <w:pPr>
              <w:spacing w:after="80" w:before="80"/>
            </w:pPr>
            <w:r>
              <w:rPr>
                <w:rFonts w:ascii="Calibri" w:cs="Calibri" w:eastAsia="Calibri" w:hAnsi="Calibri"/>
                <w:b/>
                <w:bCs/>
                <w:color w:val="FFFFFF"/>
                <w:sz w:val="20"/>
                <w:szCs w:val="20"/>
              </w:rPr>
              <w:t xml:space="preserve">Key Responsibilities</w:t>
            </w:r>
          </w:p>
        </w:tc>
      </w:tr>
      <w:tr>
        <w:tc>
          <w:tcPr>
            <w:tcW w:type="dxa" w:w="1800"/>
            <w:shd w:fill="FFFFFF" w:val="clear"/>
          </w:tcPr>
          <w:p>
            <w:pPr>
              <w:spacing w:after="70" w:before="70"/>
            </w:pPr>
            <w:r>
              <w:rPr>
                <w:rFonts w:ascii="Calibri" w:cs="Calibri" w:eastAsia="Calibri" w:hAnsi="Calibri"/>
                <w:color w:val="1A1A2E"/>
                <w:sz w:val="20"/>
                <w:szCs w:val="20"/>
              </w:rPr>
              <w:t xml:space="preserve">Muhammad Umar (23I-0782)</w:t>
            </w:r>
          </w:p>
        </w:tc>
        <w:tc>
          <w:tcPr>
            <w:tcW w:type="dxa" w:w="1800"/>
            <w:shd w:fill="FFFFFF" w:val="clear"/>
          </w:tcPr>
          <w:p>
            <w:pPr>
              <w:spacing w:after="70" w:before="70"/>
            </w:pPr>
            <w:r>
              <w:rPr>
                <w:rFonts w:ascii="Calibri" w:cs="Calibri" w:eastAsia="Calibri" w:hAnsi="Calibri"/>
                <w:color w:val="1A1A2E"/>
                <w:sz w:val="20"/>
                <w:szCs w:val="20"/>
              </w:rPr>
              <w:t xml:space="preserve">Backend &amp; Graph Engineer</w:t>
            </w:r>
          </w:p>
        </w:tc>
        <w:tc>
          <w:tcPr>
            <w:tcW w:type="dxa" w:w="3600"/>
            <w:shd w:fill="FFFFFF" w:val="clear"/>
          </w:tcPr>
          <w:p>
            <w:pPr>
              <w:spacing w:after="70" w:before="70"/>
            </w:pPr>
            <w:r>
              <w:rPr>
                <w:rFonts w:ascii="Calibri" w:cs="Calibri" w:eastAsia="Calibri" w:hAnsi="Calibri"/>
                <w:color w:val="1A1A2E"/>
                <w:sz w:val="20"/>
                <w:szCs w:val="20"/>
              </w:rPr>
              <w:t xml:space="preserve">Neo4j schema design, Gitea webhook integration, graph update logic, invalidation engine</w:t>
            </w:r>
          </w:p>
        </w:tc>
      </w:tr>
      <w:tr>
        <w:tc>
          <w:tcPr>
            <w:tcW w:type="dxa" w:w="1800"/>
            <w:shd w:fill="EAF1FB" w:val="clear"/>
          </w:tcPr>
          <w:p>
            <w:pPr>
              <w:spacing w:after="70" w:before="70"/>
            </w:pPr>
            <w:r>
              <w:rPr>
                <w:rFonts w:ascii="Calibri" w:cs="Calibri" w:eastAsia="Calibri" w:hAnsi="Calibri"/>
                <w:color w:val="1A1A2E"/>
                <w:sz w:val="20"/>
                <w:szCs w:val="20"/>
              </w:rPr>
              <w:t xml:space="preserve">Muhammad Usman Al Haq (23I-0585)</w:t>
            </w:r>
          </w:p>
        </w:tc>
        <w:tc>
          <w:tcPr>
            <w:tcW w:type="dxa" w:w="1800"/>
            <w:shd w:fill="EAF1FB" w:val="clear"/>
          </w:tcPr>
          <w:p>
            <w:pPr>
              <w:spacing w:after="70" w:before="70"/>
            </w:pPr>
            <w:r>
              <w:rPr>
                <w:rFonts w:ascii="Calibri" w:cs="Calibri" w:eastAsia="Calibri" w:hAnsi="Calibri"/>
                <w:color w:val="1A1A2E"/>
                <w:sz w:val="20"/>
                <w:szCs w:val="20"/>
              </w:rPr>
              <w:t xml:space="preserve">AI &amp; Agents Engineer</w:t>
            </w:r>
          </w:p>
        </w:tc>
        <w:tc>
          <w:tcPr>
            <w:tcW w:type="dxa" w:w="3600"/>
            <w:shd w:fill="EAF1FB" w:val="clear"/>
          </w:tcPr>
          <w:p>
            <w:pPr>
              <w:spacing w:after="70" w:before="70"/>
            </w:pPr>
            <w:r>
              <w:rPr>
                <w:rFonts w:ascii="Calibri" w:cs="Calibri" w:eastAsia="Calibri" w:hAnsi="Calibri"/>
                <w:color w:val="1A1A2E"/>
                <w:sz w:val="20"/>
                <w:szCs w:val="20"/>
              </w:rPr>
              <w:t xml:space="preserve">Groq API integration, all agentic workers, context builder, query engine, document parsing</w:t>
            </w:r>
          </w:p>
        </w:tc>
      </w:tr>
      <w:tr>
        <w:tc>
          <w:tcPr>
            <w:tcW w:type="dxa" w:w="1800"/>
            <w:shd w:fill="FFFFFF" w:val="clear"/>
          </w:tcPr>
          <w:p>
            <w:pPr>
              <w:spacing w:after="70" w:before="70"/>
            </w:pPr>
            <w:r>
              <w:rPr>
                <w:rFonts w:ascii="Calibri" w:cs="Calibri" w:eastAsia="Calibri" w:hAnsi="Calibri"/>
                <w:color w:val="1A1A2E"/>
                <w:sz w:val="20"/>
                <w:szCs w:val="20"/>
              </w:rPr>
              <w:t xml:space="preserve">Shahmeer Atif (23I-0711)</w:t>
            </w:r>
          </w:p>
        </w:tc>
        <w:tc>
          <w:tcPr>
            <w:tcW w:type="dxa" w:w="1800"/>
            <w:shd w:fill="FFFFFF" w:val="clear"/>
          </w:tcPr>
          <w:p>
            <w:pPr>
              <w:spacing w:after="70" w:before="70"/>
            </w:pPr>
            <w:r>
              <w:rPr>
                <w:rFonts w:ascii="Calibri" w:cs="Calibri" w:eastAsia="Calibri" w:hAnsi="Calibri"/>
                <w:color w:val="1A1A2E"/>
                <w:sz w:val="20"/>
                <w:szCs w:val="20"/>
              </w:rPr>
              <w:t xml:space="preserve">Frontend &amp; Integration Engineer</w:t>
            </w:r>
          </w:p>
        </w:tc>
        <w:tc>
          <w:tcPr>
            <w:tcW w:type="dxa" w:w="3600"/>
            <w:shd w:fill="FFFFFF" w:val="clear"/>
          </w:tcPr>
          <w:p>
            <w:pPr>
              <w:spacing w:after="70" w:before="70"/>
            </w:pPr>
            <w:r>
              <w:rPr>
                <w:rFonts w:ascii="Calibri" w:cs="Calibri" w:eastAsia="Calibri" w:hAnsi="Calibri"/>
                <w:color w:val="1A1A2E"/>
                <w:sz w:val="20"/>
                <w:szCs w:val="20"/>
              </w:rPr>
              <w:t xml:space="preserve">React application, chat interface, graph visualisation UI, Gitea OAuth, system integration testing</w:t>
            </w:r>
          </w:p>
        </w:tc>
      </w:tr>
    </w:tbl>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9. Expected Outcomes</w:t>
      </w:r>
    </w:p>
    <w:p>
      <w:pPr>
        <w:pStyle w:val="Heading2"/>
        <w:spacing w:after="80" w:before="240"/>
      </w:pPr>
      <w:r>
        <w:rPr>
          <w:rFonts w:ascii="Calibri" w:cs="Calibri" w:eastAsia="Calibri" w:hAnsi="Calibri"/>
          <w:b/>
          <w:bCs/>
          <w:color w:val="2E86AB"/>
          <w:sz w:val="24"/>
          <w:szCs w:val="24"/>
        </w:rPr>
        <w:t xml:space="preserve">9.1  Functional Deliverables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fully deployed, working instance of LogicVault running on the team's remote VM</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Gitea instance with webhook integration feeding into the knowledge graph in real time</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populated knowledge graph demonstrating a real sample software project's decision history</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working AI chat interface that answers project-specific questions with cited reasoning</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demonstrated invalidation workflow where a code change triggers a review flag</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9.2  Research and Academic Contributions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defined schema for software decision knowledge graphs — a novel contribution to the field</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An evaluation of AI-assisted reasoning verification against actual codebases</w:t>
      </w:r>
    </w:p>
    <w:p>
      <w:pPr>
        <w:spacing w:after="40" w:before="40" w:line="260"/>
        <w:ind w:left="504" w:hanging="288"/>
      </w:pPr>
      <w:r>
        <w:rPr>
          <w:rFonts w:ascii="Calibri" w:cs="Calibri" w:eastAsia="Calibri" w:hAnsi="Calibri"/>
          <w:b/>
          <w:bCs/>
          <w:color w:val="2E86AB"/>
          <w:sz w:val="22"/>
          <w:szCs w:val="22"/>
        </w:rPr>
        <w:t xml:space="preserve">▸  </w:t>
      </w:r>
      <w:r>
        <w:rPr>
          <w:rFonts w:ascii="Calibri" w:cs="Calibri" w:eastAsia="Calibri" w:hAnsi="Calibri"/>
          <w:color w:val="1A1A2E"/>
          <w:sz w:val="22"/>
          <w:szCs w:val="22"/>
        </w:rPr>
        <w:t xml:space="preserve">A comparative analysis of knowledge preservation approaches in agile software teams</w:t>
      </w:r>
    </w:p>
    <w:p>
      <w:pPr>
        <w:spacing w:after="100" w:before="0"/>
      </w:pPr>
      <w:r>
        <w:t xml:space="preserve"/>
      </w:r>
    </w:p>
    <w:p>
      <w:pPr>
        <w:pStyle w:val="Heading2"/>
        <w:spacing w:after="80" w:before="240"/>
      </w:pPr>
      <w:r>
        <w:rPr>
          <w:rFonts w:ascii="Calibri" w:cs="Calibri" w:eastAsia="Calibri" w:hAnsi="Calibri"/>
          <w:b/>
          <w:bCs/>
          <w:color w:val="2E86AB"/>
          <w:sz w:val="24"/>
          <w:szCs w:val="24"/>
        </w:rPr>
        <w:t xml:space="preserve">9.3  Real-World Applicability</w:t>
      </w:r>
    </w:p>
    <w:p>
      <w:pPr>
        <w:spacing w:after="80" w:before="60" w:line="280"/>
        <w:jc w:val="both"/>
      </w:pPr>
      <w:r>
        <w:rPr>
          <w:rFonts w:ascii="Calibri" w:cs="Calibri" w:eastAsia="Calibri" w:hAnsi="Calibri"/>
          <w:b w:val="false"/>
          <w:bCs w:val="false"/>
          <w:i w:val="false"/>
          <w:iCs w:val="false"/>
          <w:color w:val="1A1A2E"/>
          <w:sz w:val="22"/>
          <w:szCs w:val="22"/>
        </w:rPr>
        <w:t xml:space="preserve">LogicVault addresses a problem that every software company with a team larger than five people and a project longer than six months experiences. The system is designed from the ground up to be practically deployable, not merely a research prototype. It is built on a fully free, self-hostable stack, making it viable for startups and consultancy firms that cannot afford enterprise knowledge management tools.</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10. Feasibility Assessment</w:t>
      </w:r>
    </w:p>
    <w:tbl>
      <w:tblPr>
        <w:tblW w:type="dxa" w:w="7200"/>
        <w:tblBorders>
          <w:top w:val="single" w:color="C5D5E8" w:sz="4"/>
          <w:left w:val="single" w:color="C5D5E8" w:sz="4"/>
          <w:bottom w:val="single" w:color="C5D5E8" w:sz="4"/>
          <w:right w:val="single" w:color="C5D5E8" w:sz="4"/>
          <w:insideH w:val="single" w:color="auto" w:sz="4"/>
          <w:insideV w:val="single" w:color="auto" w:sz="4"/>
        </w:tblBorders>
      </w:tblPr>
      <w:tblGrid>
        <w:gridCol w:w="2400"/>
        <w:gridCol w:w="1200"/>
        <w:gridCol w:w="3600"/>
      </w:tblGrid>
      <w:tr>
        <w:trPr>
          <w:tblHeader/>
        </w:trPr>
        <w:tc>
          <w:tcPr>
            <w:tcW w:type="dxa" w:w="2400"/>
            <w:shd w:fill="1F3A6E" w:val="clear"/>
          </w:tcPr>
          <w:p>
            <w:pPr>
              <w:spacing w:after="80" w:before="80"/>
            </w:pPr>
            <w:r>
              <w:rPr>
                <w:rFonts w:ascii="Calibri" w:cs="Calibri" w:eastAsia="Calibri" w:hAnsi="Calibri"/>
                <w:b/>
                <w:bCs/>
                <w:color w:val="FFFFFF"/>
                <w:sz w:val="20"/>
                <w:szCs w:val="20"/>
              </w:rPr>
              <w:t xml:space="preserve">Risk</w:t>
            </w:r>
          </w:p>
        </w:tc>
        <w:tc>
          <w:tcPr>
            <w:tcW w:type="dxa" w:w="1200"/>
            <w:shd w:fill="1F3A6E" w:val="clear"/>
          </w:tcPr>
          <w:p>
            <w:pPr>
              <w:spacing w:after="80" w:before="80"/>
            </w:pPr>
            <w:r>
              <w:rPr>
                <w:rFonts w:ascii="Calibri" w:cs="Calibri" w:eastAsia="Calibri" w:hAnsi="Calibri"/>
                <w:b/>
                <w:bCs/>
                <w:color w:val="FFFFFF"/>
                <w:sz w:val="20"/>
                <w:szCs w:val="20"/>
              </w:rPr>
              <w:t xml:space="preserve">Likelihood</w:t>
            </w:r>
          </w:p>
        </w:tc>
        <w:tc>
          <w:tcPr>
            <w:tcW w:type="dxa" w:w="3600"/>
            <w:shd w:fill="1F3A6E" w:val="clear"/>
          </w:tcPr>
          <w:p>
            <w:pPr>
              <w:spacing w:after="80" w:before="80"/>
            </w:pPr>
            <w:r>
              <w:rPr>
                <w:rFonts w:ascii="Calibri" w:cs="Calibri" w:eastAsia="Calibri" w:hAnsi="Calibri"/>
                <w:b/>
                <w:bCs/>
                <w:color w:val="FFFFFF"/>
                <w:sz w:val="20"/>
                <w:szCs w:val="20"/>
              </w:rPr>
              <w:t xml:space="preserve">Mitigation</w:t>
            </w:r>
          </w:p>
        </w:tc>
      </w:tr>
      <w:tr>
        <w:tc>
          <w:tcPr>
            <w:tcW w:type="dxa" w:w="2400"/>
            <w:shd w:fill="FFFFFF" w:val="clear"/>
          </w:tcPr>
          <w:p>
            <w:pPr>
              <w:spacing w:after="70" w:before="70"/>
            </w:pPr>
            <w:r>
              <w:rPr>
                <w:rFonts w:ascii="Calibri" w:cs="Calibri" w:eastAsia="Calibri" w:hAnsi="Calibri"/>
                <w:color w:val="1A1A2E"/>
                <w:sz w:val="20"/>
                <w:szCs w:val="20"/>
              </w:rPr>
              <w:t xml:space="preserve">Groq API rate limits at scale</w:t>
            </w:r>
          </w:p>
        </w:tc>
        <w:tc>
          <w:tcPr>
            <w:tcW w:type="dxa" w:w="1200"/>
            <w:shd w:fill="FFFFFF" w:val="clear"/>
          </w:tcPr>
          <w:p>
            <w:pPr>
              <w:spacing w:after="70" w:before="70"/>
            </w:pPr>
            <w:r>
              <w:rPr>
                <w:rFonts w:ascii="Calibri" w:cs="Calibri" w:eastAsia="Calibri" w:hAnsi="Calibri"/>
                <w:color w:val="1A1A2E"/>
                <w:sz w:val="20"/>
                <w:szCs w:val="20"/>
              </w:rPr>
              <w:t xml:space="preserve">Low</w:t>
            </w:r>
          </w:p>
        </w:tc>
        <w:tc>
          <w:tcPr>
            <w:tcW w:type="dxa" w:w="3600"/>
            <w:shd w:fill="FFFFFF" w:val="clear"/>
          </w:tcPr>
          <w:p>
            <w:pPr>
              <w:spacing w:after="70" w:before="70"/>
            </w:pPr>
            <w:r>
              <w:rPr>
                <w:rFonts w:ascii="Calibri" w:cs="Calibri" w:eastAsia="Calibri" w:hAnsi="Calibri"/>
                <w:color w:val="1A1A2E"/>
                <w:sz w:val="20"/>
                <w:szCs w:val="20"/>
              </w:rPr>
              <w:t xml:space="preserve">Google Gemini free tier as fallback; rate limits not a concern at FYP scale</w:t>
            </w:r>
          </w:p>
        </w:tc>
      </w:tr>
      <w:tr>
        <w:tc>
          <w:tcPr>
            <w:tcW w:type="dxa" w:w="2400"/>
            <w:shd w:fill="EAF1FB" w:val="clear"/>
          </w:tcPr>
          <w:p>
            <w:pPr>
              <w:spacing w:after="70" w:before="70"/>
            </w:pPr>
            <w:r>
              <w:rPr>
                <w:rFonts w:ascii="Calibri" w:cs="Calibri" w:eastAsia="Calibri" w:hAnsi="Calibri"/>
                <w:color w:val="1A1A2E"/>
                <w:sz w:val="20"/>
                <w:szCs w:val="20"/>
              </w:rPr>
              <w:t xml:space="preserve">Neo4j AuraDB free tier storage limits</w:t>
            </w:r>
          </w:p>
        </w:tc>
        <w:tc>
          <w:tcPr>
            <w:tcW w:type="dxa" w:w="1200"/>
            <w:shd w:fill="EAF1FB" w:val="clear"/>
          </w:tcPr>
          <w:p>
            <w:pPr>
              <w:spacing w:after="70" w:before="70"/>
            </w:pPr>
            <w:r>
              <w:rPr>
                <w:rFonts w:ascii="Calibri" w:cs="Calibri" w:eastAsia="Calibri" w:hAnsi="Calibri"/>
                <w:color w:val="1A1A2E"/>
                <w:sz w:val="20"/>
                <w:szCs w:val="20"/>
              </w:rPr>
              <w:t xml:space="preserve">Low</w:t>
            </w:r>
          </w:p>
        </w:tc>
        <w:tc>
          <w:tcPr>
            <w:tcW w:type="dxa" w:w="3600"/>
            <w:shd w:fill="EAF1FB" w:val="clear"/>
          </w:tcPr>
          <w:p>
            <w:pPr>
              <w:spacing w:after="70" w:before="70"/>
            </w:pPr>
            <w:r>
              <w:rPr>
                <w:rFonts w:ascii="Calibri" w:cs="Calibri" w:eastAsia="Calibri" w:hAnsi="Calibri"/>
                <w:color w:val="1A1A2E"/>
                <w:sz w:val="20"/>
                <w:szCs w:val="20"/>
              </w:rPr>
              <w:t xml:space="preserve">Sample project data is small; upgrade path available if needed</w:t>
            </w:r>
          </w:p>
        </w:tc>
      </w:tr>
      <w:tr>
        <w:tc>
          <w:tcPr>
            <w:tcW w:type="dxa" w:w="2400"/>
            <w:shd w:fill="FFFFFF" w:val="clear"/>
          </w:tcPr>
          <w:p>
            <w:pPr>
              <w:spacing w:after="70" w:before="70"/>
            </w:pPr>
            <w:r>
              <w:rPr>
                <w:rFonts w:ascii="Calibri" w:cs="Calibri" w:eastAsia="Calibri" w:hAnsi="Calibri"/>
                <w:color w:val="1A1A2E"/>
                <w:sz w:val="20"/>
                <w:szCs w:val="20"/>
              </w:rPr>
              <w:t xml:space="preserve">Agentic complexity causing debugging difficulty</w:t>
            </w:r>
          </w:p>
        </w:tc>
        <w:tc>
          <w:tcPr>
            <w:tcW w:type="dxa" w:w="1200"/>
            <w:shd w:fill="FFFFFF" w:val="clear"/>
          </w:tcPr>
          <w:p>
            <w:pPr>
              <w:spacing w:after="70" w:before="70"/>
            </w:pPr>
            <w:r>
              <w:rPr>
                <w:rFonts w:ascii="Calibri" w:cs="Calibri" w:eastAsia="Calibri" w:hAnsi="Calibri"/>
                <w:color w:val="1A1A2E"/>
                <w:sz w:val="20"/>
                <w:szCs w:val="20"/>
              </w:rPr>
              <w:t xml:space="preserve">Medium</w:t>
            </w:r>
          </w:p>
        </w:tc>
        <w:tc>
          <w:tcPr>
            <w:tcW w:type="dxa" w:w="3600"/>
            <w:shd w:fill="FFFFFF" w:val="clear"/>
          </w:tcPr>
          <w:p>
            <w:pPr>
              <w:spacing w:after="70" w:before="70"/>
            </w:pPr>
            <w:r>
              <w:rPr>
                <w:rFonts w:ascii="Calibri" w:cs="Calibri" w:eastAsia="Calibri" w:hAnsi="Calibri"/>
                <w:color w:val="1A1A2E"/>
                <w:sz w:val="20"/>
                <w:szCs w:val="20"/>
              </w:rPr>
              <w:t xml:space="preserve">Agents are designed as independent workers with single responsibilities</w:t>
            </w:r>
          </w:p>
        </w:tc>
      </w:tr>
      <w:tr>
        <w:tc>
          <w:tcPr>
            <w:tcW w:type="dxa" w:w="2400"/>
            <w:shd w:fill="EAF1FB" w:val="clear"/>
          </w:tcPr>
          <w:p>
            <w:pPr>
              <w:spacing w:after="70" w:before="70"/>
            </w:pPr>
            <w:r>
              <w:rPr>
                <w:rFonts w:ascii="Calibri" w:cs="Calibri" w:eastAsia="Calibri" w:hAnsi="Calibri"/>
                <w:color w:val="1A1A2E"/>
                <w:sz w:val="20"/>
                <w:szCs w:val="20"/>
              </w:rPr>
              <w:t xml:space="preserve">AI code verification accuracy</w:t>
            </w:r>
          </w:p>
        </w:tc>
        <w:tc>
          <w:tcPr>
            <w:tcW w:type="dxa" w:w="1200"/>
            <w:shd w:fill="EAF1FB" w:val="clear"/>
          </w:tcPr>
          <w:p>
            <w:pPr>
              <w:spacing w:after="70" w:before="70"/>
            </w:pPr>
            <w:r>
              <w:rPr>
                <w:rFonts w:ascii="Calibri" w:cs="Calibri" w:eastAsia="Calibri" w:hAnsi="Calibri"/>
                <w:color w:val="1A1A2E"/>
                <w:sz w:val="20"/>
                <w:szCs w:val="20"/>
              </w:rPr>
              <w:t xml:space="preserve">Medium</w:t>
            </w:r>
          </w:p>
        </w:tc>
        <w:tc>
          <w:tcPr>
            <w:tcW w:type="dxa" w:w="3600"/>
            <w:shd w:fill="EAF1FB" w:val="clear"/>
          </w:tcPr>
          <w:p>
            <w:pPr>
              <w:spacing w:after="70" w:before="70"/>
            </w:pPr>
            <w:r>
              <w:rPr>
                <w:rFonts w:ascii="Calibri" w:cs="Calibri" w:eastAsia="Calibri" w:hAnsi="Calibri"/>
                <w:color w:val="1A1A2E"/>
                <w:sz w:val="20"/>
                <w:szCs w:val="20"/>
              </w:rPr>
              <w:t xml:space="preserve">Framed as AI-assisted verification, not guaranteed correctness; human review retained</w:t>
            </w:r>
          </w:p>
        </w:tc>
      </w:tr>
      <w:tr>
        <w:tc>
          <w:tcPr>
            <w:tcW w:type="dxa" w:w="2400"/>
            <w:shd w:fill="FFFFFF" w:val="clear"/>
          </w:tcPr>
          <w:p>
            <w:pPr>
              <w:spacing w:after="70" w:before="70"/>
            </w:pPr>
            <w:r>
              <w:rPr>
                <w:rFonts w:ascii="Calibri" w:cs="Calibri" w:eastAsia="Calibri" w:hAnsi="Calibri"/>
                <w:color w:val="1A1A2E"/>
                <w:sz w:val="20"/>
                <w:szCs w:val="20"/>
              </w:rPr>
              <w:t xml:space="preserve">Timeline overrun on UI polish</w:t>
            </w:r>
          </w:p>
        </w:tc>
        <w:tc>
          <w:tcPr>
            <w:tcW w:type="dxa" w:w="1200"/>
            <w:shd w:fill="FFFFFF" w:val="clear"/>
          </w:tcPr>
          <w:p>
            <w:pPr>
              <w:spacing w:after="70" w:before="70"/>
            </w:pPr>
            <w:r>
              <w:rPr>
                <w:rFonts w:ascii="Calibri" w:cs="Calibri" w:eastAsia="Calibri" w:hAnsi="Calibri"/>
                <w:color w:val="1A1A2E"/>
                <w:sz w:val="20"/>
                <w:szCs w:val="20"/>
              </w:rPr>
              <w:t xml:space="preserve">Low</w:t>
            </w:r>
          </w:p>
        </w:tc>
        <w:tc>
          <w:tcPr>
            <w:tcW w:type="dxa" w:w="3600"/>
            <w:shd w:fill="FFFFFF" w:val="clear"/>
          </w:tcPr>
          <w:p>
            <w:pPr>
              <w:spacing w:after="70" w:before="70"/>
            </w:pPr>
            <w:r>
              <w:rPr>
                <w:rFonts w:ascii="Calibri" w:cs="Calibri" w:eastAsia="Calibri" w:hAnsi="Calibri"/>
                <w:color w:val="1A1A2E"/>
                <w:sz w:val="20"/>
                <w:szCs w:val="20"/>
              </w:rPr>
              <w:t xml:space="preserve">Frontend scoped to functional demo quality, not production polish</w:t>
            </w:r>
          </w:p>
        </w:tc>
      </w:tr>
    </w:tbl>
    <w:p>
      <w:pPr>
        <w:spacing w:after="100" w:before="0"/>
      </w:pPr>
      <w:r>
        <w:t xml:space="preserve"/>
      </w:r>
    </w:p>
    <w:p>
      <w:pPr>
        <w:spacing w:after="80" w:before="60" w:line="280"/>
        <w:jc w:val="both"/>
      </w:pPr>
      <w:r>
        <w:rPr>
          <w:rFonts w:ascii="Calibri" w:cs="Calibri" w:eastAsia="Calibri" w:hAnsi="Calibri"/>
          <w:b w:val="false"/>
          <w:bCs w:val="false"/>
          <w:i w:val="false"/>
          <w:iCs w:val="false"/>
          <w:color w:val="1A1A2E"/>
          <w:sz w:val="22"/>
          <w:szCs w:val="22"/>
        </w:rPr>
        <w:t xml:space="preserve">Overall, the project is assessed as highly feasible within the given timeline and team size. All technical components are well-documented, the stack is entirely free, and the scope is deliberately bounded to ensure a complete, demonstrable system by the final panel presentation.</w:t>
      </w:r>
    </w:p>
    <w:p>
      <w:pPr>
        <w:spacing w:after="100" w:before="0"/>
      </w:pPr>
      <w:r>
        <w:t xml:space="preserve"/>
      </w:r>
    </w:p>
    <w:p>
      <w:pPr>
        <w:pStyle w:val="Heading1"/>
        <w:pBdr>
          <w:bottom w:val="single" w:color="2E86AB" w:sz="6" w:space="6"/>
        </w:pBdr>
        <w:spacing w:after="120" w:before="320"/>
      </w:pPr>
      <w:r>
        <w:rPr>
          <w:rFonts w:ascii="Calibri" w:cs="Calibri" w:eastAsia="Calibri" w:hAnsi="Calibri"/>
          <w:b/>
          <w:bCs/>
          <w:color w:val="1F3A6E"/>
          <w:sz w:val="28"/>
          <w:szCs w:val="28"/>
        </w:rPr>
        <w:t xml:space="preserve">11. Conclusion</w:t>
      </w:r>
    </w:p>
    <w:p>
      <w:pPr>
        <w:spacing w:after="80" w:before="60" w:line="280"/>
        <w:jc w:val="both"/>
      </w:pPr>
      <w:r>
        <w:rPr>
          <w:rFonts w:ascii="Calibri" w:cs="Calibri" w:eastAsia="Calibri" w:hAnsi="Calibri"/>
          <w:b w:val="false"/>
          <w:bCs w:val="false"/>
          <w:i w:val="false"/>
          <w:iCs w:val="false"/>
          <w:color w:val="1A1A2E"/>
          <w:sz w:val="22"/>
          <w:szCs w:val="22"/>
        </w:rPr>
        <w:t xml:space="preserve">The software industry has solved the problem of recording what gets built. It has not solved the problem of preserving why it was built that way. LogicVault directly addresses this gap by creating a living, AI-augmented knowledge graph that captures human reasoning across the full lifecycle of a software project.</w:t>
      </w:r>
    </w:p>
    <w:p>
      <w:pPr>
        <w:spacing w:after="80" w:before="60" w:line="280"/>
        <w:jc w:val="both"/>
      </w:pPr>
      <w:r>
        <w:rPr>
          <w:rFonts w:ascii="Calibri" w:cs="Calibri" w:eastAsia="Calibri" w:hAnsi="Calibri"/>
          <w:b w:val="false"/>
          <w:bCs w:val="false"/>
          <w:i w:val="false"/>
          <w:iCs w:val="false"/>
          <w:color w:val="1A1A2E"/>
          <w:sz w:val="22"/>
          <w:szCs w:val="22"/>
        </w:rPr>
        <w:t xml:space="preserve">The system is technically grounded, practically scoped, built entirely on free and open tools, and designed to produce a compelling working demonstration within two semesters. It solves a problem that is immediately recognisable to any software team lead, engineering manager, or CTO — making it not only a strong academic project but a genuinely useful piece of software.</w:t>
      </w:r>
    </w:p>
    <w:p>
      <w:pPr>
        <w:spacing w:after="80" w:before="60" w:line="280"/>
        <w:jc w:val="both"/>
      </w:pPr>
      <w:r>
        <w:rPr>
          <w:rFonts w:ascii="Calibri" w:cs="Calibri" w:eastAsia="Calibri" w:hAnsi="Calibri"/>
          <w:b w:val="false"/>
          <w:bCs w:val="false"/>
          <w:i w:val="false"/>
          <w:iCs w:val="false"/>
          <w:color w:val="1A1A2E"/>
          <w:sz w:val="22"/>
          <w:szCs w:val="22"/>
        </w:rPr>
        <w:t xml:space="preserve">We believe LogicVault represents the kind of tooling the software industry is missing today, and we are confident in our ability to deliver it.</w:t>
      </w:r>
    </w:p>
    <w:p>
      <w:pPr>
        <w:spacing w:after="200" w:before="0"/>
      </w:pPr>
      <w:r>
        <w:t xml:space="preserve"/>
      </w:r>
    </w:p>
    <w:p>
      <w:pPr>
        <w:pBdr>
          <w:top w:val="single" w:color="C5D5E8" w:sz="4"/>
        </w:pBdr>
        <w:spacing w:after="100" w:before="200"/>
        <w:jc w:val="center"/>
      </w:pPr>
      <w:r>
        <w:rPr>
          <w:rFonts w:ascii="Calibri" w:cs="Calibri" w:eastAsia="Calibri" w:hAnsi="Calibri"/>
          <w:color w:val="4A4A6A"/>
          <w:sz w:val="18"/>
          <w:szCs w:val="18"/>
        </w:rPr>
        <w:t xml:space="preserve">LogicVault  —  FAST NUCES Islamabad  —  FYP 2024–2025</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4"/>
      </w:pBdr>
      <w:spacing w:before="80"/>
      <w:jc w:val="center"/>
    </w:pPr>
    <w:r>
      <w:rPr>
        <w:rFonts w:ascii="Calibri" w:cs="Calibri" w:eastAsia="Calibri" w:hAnsi="Calibri"/>
        <w:color w:val="4A4A6A"/>
        <w:sz w:val="18"/>
        <w:szCs w:val="18"/>
      </w:rPr>
      <w:t xml:space="preserve">Page </w:t>
    </w:r>
    <w:r>
      <w:rPr>
        <w:rFonts w:ascii="Calibri" w:cs="Calibri" w:eastAsia="Calibri" w:hAnsi="Calibri"/>
        <w:color w:val="4A4A6A"/>
        <w:sz w:val="18"/>
        <w:szCs w:val="18"/>
      </w:rPr>
      <w:fldChar w:fldCharType="begin"/>
      <w:instrText xml:space="preserve">PAGE</w:instrText>
      <w:fldChar w:fldCharType="separate"/>
      <w:fldChar w:fldCharType="end"/>
    </w:r>
    <w:r>
      <w:rPr>
        <w:rFonts w:ascii="Calibri" w:cs="Calibri" w:eastAsia="Calibri" w:hAnsi="Calibri"/>
        <w:color w:val="4A4A6A"/>
        <w:sz w:val="18"/>
        <w:szCs w:val="18"/>
      </w:rPr>
      <w:t xml:space="preserve"> of </w:t>
    </w:r>
    <w:r>
      <w:rPr>
        <w:rFonts w:ascii="Calibri" w:cs="Calibri" w:eastAsia="Calibri" w:hAnsi="Calibri"/>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4"/>
      </w:pBdr>
      <w:spacing w:after="80"/>
    </w:pPr>
    <w:r>
      <w:rPr>
        <w:rFonts w:ascii="Calibri" w:cs="Calibri" w:eastAsia="Calibri" w:hAnsi="Calibri"/>
        <w:color w:val="4A4A6A"/>
        <w:sz w:val="18"/>
        <w:szCs w:val="18"/>
      </w:rPr>
      <w:t xml:space="preserve">LogicVault — FYP Proposal</w:t>
    </w:r>
    <w:r>
      <w:rPr>
        <w:rFonts w:ascii="Calibri" w:cs="Calibri" w:eastAsia="Calibri" w:hAnsi="Calibri"/>
        <w:color w:val="4A4A6A"/>
        <w:sz w:val="18"/>
        <w:szCs w:val="18"/>
      </w:rPr>
      <w:t xml:space="preserve">   |   FAST NUCES Islamabad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2026-07-06T12:06:49.624Z</dcterms:created>
  <dcterms:modified xsi:type="dcterms:W3CDTF">2026-07-06T12:06:49.636Z</dcterms:modified>
</cp:coreProperties>
</file>

<file path=docProps/custom.xml><?xml version="1.0" encoding="utf-8"?>
<Properties xmlns="http://schemas.openxmlformats.org/officeDocument/2006/custom-properties" xmlns:vt="http://schemas.openxmlformats.org/officeDocument/2006/docPropsVTypes"/>
</file>