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2E3F6F"/>
          <w:sz w:val="72"/>
          <w:szCs w:val="72"/>
        </w:rPr>
        <w:t xml:space="preserve">LogicVault</w:t>
      </w:r>
    </w:p>
    <w:p>
      <w:pPr>
        <w:spacing w:after="400"/>
        <w:jc w:val="center"/>
      </w:pPr>
      <w:r>
        <w:rPr>
          <w:i/>
          <w:iCs/>
          <w:color w:val="C0392B"/>
          <w:sz w:val="32"/>
          <w:szCs w:val="32"/>
        </w:rPr>
        <w:t xml:space="preserve">Institutional Memory Engine for Software Teams</w:t>
      </w:r>
    </w:p>
    <w:p>
      <w:pPr>
        <w:spacing w:after="800"/>
        <w:jc w:val="center"/>
      </w:pPr>
      <w:r>
        <w:rPr>
          <w:color w:val="555555"/>
          <w:sz w:val="24"/>
          <w:szCs w:val="24"/>
        </w:rPr>
        <w:t xml:space="preserve">FYP Project Plan · Features · Timeline · Research Basis</w:t>
      </w:r>
    </w:p>
    <w:p>
      <w:pPr>
        <w:spacing w:after="120"/>
        <w:jc w:val="center"/>
      </w:pPr>
      <w:r>
        <w:rPr>
          <w:color w:val="555555"/>
          <w:sz w:val="22"/>
          <w:szCs w:val="22"/>
        </w:rPr>
        <w:t xml:space="preserve">Muhammad Umar (23I-0782)  ·  Muhammad Usman Al Haq (23I-0585)  ·  Shahmeer Atif (23I-0711)</w:t>
      </w:r>
    </w:p>
    <w:p>
      <w:pPr>
        <w:spacing w:after="120"/>
        <w:jc w:val="center"/>
      </w:pPr>
      <w:r>
        <w:rPr>
          <w:color w:val="555555"/>
          <w:sz w:val="22"/>
          <w:szCs w:val="22"/>
        </w:rPr>
        <w:t xml:space="preserve">FAST NUCES Islamabad  ·  School of Computing</w:t>
      </w:r>
    </w:p>
    <w:p>
      <w:pPr>
        <w:jc w:val="center"/>
      </w:pPr>
      <w:r>
        <w:rPr>
          <w:color w:val="555555"/>
          <w:sz w:val="22"/>
          <w:szCs w:val="22"/>
        </w:rPr>
        <w:t xml:space="preserve">August 2026</w:t>
      </w:r>
    </w:p>
    <w:p>
      <w:r>
        <w:br w:type="page"/>
      </w:r>
    </w:p>
    <w:p>
      <w:pPr>
        <w:pStyle w:val="Heading1"/>
        <w:spacing w:after="160" w:before="400"/>
        <w:rPr>
          <w:b/>
          <w:bCs/>
          <w:color w:val="2E3F6F"/>
        </w:rPr>
      </w:pPr>
      <w:r>
        <w:t xml:space="preserve">1. Problem Statement</w:t>
      </w:r>
    </w:p>
    <w:p>
      <w:pPr>
        <w:spacing w:after="100"/>
      </w:pPr>
      <w:r>
        <w:rPr>
          <w:color w:val="555555"/>
          <w:sz w:val="22"/>
          <w:szCs w:val="22"/>
        </w:rPr>
        <w:t xml:space="preserve">Software teams hemorrhage institutional knowledge. A developer makes a decision—chooses SafePay over Stripe because Pakistan's payment rails don't support Stripe, selects PostgreSQL over MongoDB for ACID compliance on billing data, picks JWT over sessions for mobile offline capability. That reasoning exists for 10 minutes in a Slack thread and then it is gone forever.</w:t>
      </w:r>
    </w:p>
    <w:p>
      <w:pPr>
        <w:spacing w:after="100"/>
      </w:pPr>
      <w:r>
        <w:rPr>
          <w:color w:val="555555"/>
          <w:sz w:val="22"/>
          <w:szCs w:val="22"/>
        </w:rPr>
        <w:t xml:space="preserve">Six months later a new developer opens the payments module, considers Stripe the obvious choice, and spends three days migrating. It breaks in production. The lead who knew why SafePay was chosen has left. This is not a hypothetical—it is every engineering team, every two-year project.</w:t>
      </w:r>
    </w:p>
    <w:p>
      <w:pPr>
        <w:spacing w:after="100"/>
      </w:pPr>
      <w:r>
        <w:rPr>
          <w:color w:val="555555"/>
          <w:sz w:val="22"/>
          <w:szCs w:val="22"/>
        </w:rPr>
        <w:t xml:space="preserve">Claude Code's current memory architecture, even when used optimally, fails this scenario: auto-memory is machine-local, the 200-line MEMORY.md cap truncates everything a growing project accumulates, no provenance or timestamps are attached to decisions, and cross-developer memory is completely isolated. After 6 months on a different machine, the SafePay decision does not exist.</w:t>
      </w:r>
    </w:p>
    <w:p>
      <w:pPr>
        <w:spacing w:after="100"/>
      </w:pPr>
      <w:r>
        <w:rPr>
          <w:color w:val="555555"/>
          <w:sz w:val="22"/>
          <w:szCs w:val="22"/>
        </w:rPr>
        <w:t xml:space="preserve">LogicVault's thesis: the problem is not memory size—it is memory structure. Flat markdown files are documents. What engineering teams need is a queryable, attributed, versioned, invalidation-aware graph of decisions, rationale, and module relationships, served to code agents at the right moment.</w:t>
      </w:r>
    </w:p>
    <w:p/>
    <w:p>
      <w:pPr>
        <w:pStyle w:val="Heading1"/>
        <w:spacing w:after="160" w:before="400"/>
        <w:rPr>
          <w:b/>
          <w:bCs/>
          <w:color w:val="2E3F6F"/>
        </w:rPr>
      </w:pPr>
      <w:r>
        <w:t xml:space="preserve">2. Core Features and Components</w:t>
      </w:r>
    </w:p>
    <w:p>
      <w:pPr>
        <w:pStyle w:val="Heading2"/>
        <w:spacing w:after="120" w:before="300"/>
      </w:pPr>
      <w:r>
        <w:t xml:space="preserve">2.1 Knowledge Graph (Core Data Layer)</w:t>
      </w:r>
    </w:p>
    <w:p>
      <w:pPr>
        <w:spacing w:after="100"/>
      </w:pPr>
      <w:r>
        <w:rPr>
          <w:color w:val="555555"/>
          <w:sz w:val="22"/>
          <w:szCs w:val="22"/>
        </w:rPr>
        <w:t xml:space="preserve">The central data structure is a property graph stored in Neo4j. Every artifact in the system is a typed node; every relationship between artifacts is a labeled, directed edge. This is not a document store with tags—it is a genuine graph that preserves causal chains between decisions, modules, people, and commits.</w:t>
      </w:r>
    </w:p>
    <w:p>
      <w:pPr>
        <w:spacing w:after="100"/>
      </w:pPr>
      <w:r>
        <w:rPr>
          <w:color w:val="555555"/>
          <w:sz w:val="22"/>
          <w:szCs w:val="22"/>
        </w:rPr>
        <w:t xml:space="preserve">Node types: Decision, Component (module/service/class), Commit, Ticket (Gitea issue or PR), Document (meeting transcript, PDF), Person, Project, Repository.</w:t>
      </w:r>
    </w:p>
    <w:p>
      <w:pPr>
        <w:spacing w:after="100"/>
      </w:pPr>
      <w:r>
        <w:rPr>
          <w:color w:val="555555"/>
          <w:sz w:val="22"/>
          <w:szCs w:val="22"/>
        </w:rPr>
        <w:t xml:space="preserve">Critical edge types: PROPOSED_BY, BECAUSE_OF, AFFECTS_COMPONENT, REJECTED_ALTERNATIVE, SUPERSEDES, LINKED_TO_COMMIT, EXTRACTED_FROM, HAS_DECISION. These edges are what separate LogicVault from a wiki—they make it possible to answer 'show me everything that would break if we replaced the payment provider' with a graph traversal rather than a keyword search.</w:t>
      </w:r>
    </w:p>
    <w:p/>
    <w:p>
      <w:pPr>
        <w:pStyle w:val="Heading2"/>
        <w:spacing w:after="120" w:before="300"/>
      </w:pPr>
      <w:r>
        <w:t xml:space="preserve">2.2 Multi-Source Ingestion Layer</w:t>
      </w:r>
    </w:p>
    <w:p>
      <w:pPr>
        <w:spacing w:after="100"/>
      </w:pPr>
      <w:r>
        <w:rPr>
          <w:color w:val="555555"/>
          <w:sz w:val="22"/>
          <w:szCs w:val="22"/>
        </w:rPr>
        <w:t xml:space="preserve">Knowledge enters the graph from five sources. Each source has a dedicated agent that normalizes data into the shared graph schema.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1800"/>
      </w:tblGrid>
      <w:tr>
        <w:trPr>
          <w:tblHeader/>
        </w:trPr>
        <w:tc>
          <w:tcPr>
            <w:tcW w:type="dxa" w:w="2200"/>
            <w:shd w:fill="2E3F6F" w:val="clear"/>
          </w:tcPr>
          <w:p>
            <w:pPr>
              <w:spacing w:after="80" w:before="80"/>
              <w:ind w:left="80"/>
            </w:pPr>
            <w:r>
              <w:rPr>
                <w:b/>
                <w:bCs/>
                <w:color w:val="FFFFFF"/>
                <w:sz w:val="20"/>
                <w:szCs w:val="20"/>
              </w:rPr>
              <w:t xml:space="preserve">Source</w:t>
            </w:r>
          </w:p>
        </w:tc>
        <w:tc>
          <w:tcPr>
            <w:tcW w:type="dxa" w:w="1600"/>
            <w:shd w:fill="2E3F6F" w:val="clear"/>
          </w:tcPr>
          <w:p>
            <w:pPr>
              <w:spacing w:after="80" w:before="80"/>
              <w:ind w:left="80"/>
            </w:pPr>
            <w:r>
              <w:rPr>
                <w:b/>
                <w:bCs/>
                <w:color w:val="FFFFFF"/>
                <w:sz w:val="20"/>
                <w:szCs w:val="20"/>
              </w:rPr>
              <w:t xml:space="preserve">Agent</w:t>
            </w:r>
          </w:p>
        </w:tc>
        <w:tc>
          <w:tcPr>
            <w:tcW w:type="dxa" w:w="3000"/>
            <w:shd w:fill="2E3F6F" w:val="clear"/>
          </w:tcPr>
          <w:p>
            <w:pPr>
              <w:spacing w:after="80" w:before="80"/>
              <w:ind w:left="80"/>
            </w:pPr>
            <w:r>
              <w:rPr>
                <w:b/>
                <w:bCs/>
                <w:color w:val="FFFFFF"/>
                <w:sz w:val="20"/>
                <w:szCs w:val="20"/>
              </w:rPr>
              <w:t xml:space="preserve">What It Contributes</w:t>
            </w:r>
          </w:p>
        </w:tc>
        <w:tc>
          <w:tcPr>
            <w:tcW w:type="dxa" w:w="1800"/>
            <w:shd w:fill="2E3F6F" w:val="clear"/>
          </w:tcPr>
          <w:p>
            <w:pPr>
              <w:spacing w:after="80" w:before="80"/>
              <w:ind w:left="80"/>
            </w:pPr>
            <w:r>
              <w:rPr>
                <w:b/>
                <w:bCs/>
                <w:color w:val="FFFFFF"/>
                <w:sz w:val="20"/>
                <w:szCs w:val="20"/>
              </w:rPr>
              <w:t xml:space="preserve">Trigger</w:t>
            </w:r>
          </w:p>
        </w:tc>
      </w:tr>
      <w:tr>
        <w:tc>
          <w:tcPr>
            <w:tcW w:type="dxa" w:w="2200"/>
            <w:shd w:fill="F9FAFB" w:val="clear"/>
          </w:tcPr>
          <w:p>
            <w:pPr>
              <w:spacing w:after="60" w:before="60"/>
              <w:ind w:left="80"/>
            </w:pPr>
            <w:r>
              <w:rPr>
                <w:color w:val="555555"/>
                <w:sz w:val="20"/>
                <w:szCs w:val="20"/>
              </w:rPr>
              <w:t xml:space="preserve">Meeting transcripts / PDFs</w:t>
            </w:r>
          </w:p>
        </w:tc>
        <w:tc>
          <w:tcPr>
            <w:tcW w:type="dxa" w:w="1600"/>
            <w:shd w:fill="F9FAFB" w:val="clear"/>
          </w:tcPr>
          <w:p>
            <w:pPr>
              <w:spacing w:after="60" w:before="60"/>
              <w:ind w:left="80"/>
            </w:pPr>
            <w:r>
              <w:rPr>
                <w:color w:val="555555"/>
                <w:sz w:val="20"/>
                <w:szCs w:val="20"/>
              </w:rPr>
              <w:t xml:space="preserve">DocumentAgent</w:t>
            </w:r>
          </w:p>
        </w:tc>
        <w:tc>
          <w:tcPr>
            <w:tcW w:type="dxa" w:w="3000"/>
            <w:shd w:fill="F9FAFB" w:val="clear"/>
          </w:tcPr>
          <w:p>
            <w:pPr>
              <w:spacing w:after="60" w:before="60"/>
              <w:ind w:left="80"/>
            </w:pPr>
            <w:r>
              <w:rPr>
                <w:color w:val="555555"/>
                <w:sz w:val="20"/>
                <w:szCs w:val="20"/>
              </w:rPr>
              <w:t xml:space="preserve">AI-extracted Decision nodes with reasoning and participants</w:t>
            </w:r>
          </w:p>
        </w:tc>
        <w:tc>
          <w:tcPr>
            <w:tcW w:type="dxa" w:w="1800"/>
            <w:shd w:fill="F9FAFB" w:val="clear"/>
          </w:tcPr>
          <w:p>
            <w:pPr>
              <w:spacing w:after="60" w:before="60"/>
              <w:ind w:left="80"/>
            </w:pPr>
            <w:r>
              <w:rPr>
                <w:color w:val="555555"/>
                <w:sz w:val="20"/>
                <w:szCs w:val="20"/>
              </w:rPr>
              <w:t xml:space="preserve">Manual upload</w:t>
            </w:r>
          </w:p>
        </w:tc>
      </w:tr>
      <w:tr>
        <w:tc>
          <w:tcPr>
            <w:tcW w:type="dxa" w:w="2200"/>
            <w:shd w:fill="FFFFFF" w:val="clear"/>
          </w:tcPr>
          <w:p>
            <w:pPr>
              <w:spacing w:after="60" w:before="60"/>
              <w:ind w:left="80"/>
            </w:pPr>
            <w:r>
              <w:rPr>
                <w:color w:val="555555"/>
                <w:sz w:val="20"/>
                <w:szCs w:val="20"/>
              </w:rPr>
              <w:t xml:space="preserve">Gitea commits</w:t>
            </w:r>
          </w:p>
        </w:tc>
        <w:tc>
          <w:tcPr>
            <w:tcW w:type="dxa" w:w="1600"/>
            <w:shd w:fill="FFFFFF" w:val="clear"/>
          </w:tcPr>
          <w:p>
            <w:pPr>
              <w:spacing w:after="60" w:before="60"/>
              <w:ind w:left="80"/>
            </w:pPr>
            <w:r>
              <w:rPr>
                <w:color w:val="555555"/>
                <w:sz w:val="20"/>
                <w:szCs w:val="20"/>
              </w:rPr>
              <w:t xml:space="preserve">GiteaAgent</w:t>
            </w:r>
          </w:p>
        </w:tc>
        <w:tc>
          <w:tcPr>
            <w:tcW w:type="dxa" w:w="3000"/>
            <w:shd w:fill="FFFFFF" w:val="clear"/>
          </w:tcPr>
          <w:p>
            <w:pPr>
              <w:spacing w:after="60" w:before="60"/>
              <w:ind w:left="80"/>
            </w:pPr>
            <w:r>
              <w:rPr>
                <w:color w:val="555555"/>
                <w:sz w:val="20"/>
                <w:szCs w:val="20"/>
              </w:rPr>
              <w:t xml:space="preserve">Commit nodes, file-path change records, author attribution</w:t>
            </w:r>
          </w:p>
        </w:tc>
        <w:tc>
          <w:tcPr>
            <w:tcW w:type="dxa" w:w="1800"/>
            <w:shd w:fill="FFFFFF" w:val="clear"/>
          </w:tcPr>
          <w:p>
            <w:pPr>
              <w:spacing w:after="60" w:before="60"/>
              <w:ind w:left="80"/>
            </w:pPr>
            <w:r>
              <w:rPr>
                <w:color w:val="555555"/>
                <w:sz w:val="20"/>
                <w:szCs w:val="20"/>
              </w:rPr>
              <w:t xml:space="preserve">Webhook on push</w:t>
            </w:r>
          </w:p>
        </w:tc>
      </w:tr>
      <w:tr>
        <w:tc>
          <w:tcPr>
            <w:tcW w:type="dxa" w:w="2200"/>
            <w:shd w:fill="F9FAFB" w:val="clear"/>
          </w:tcPr>
          <w:p>
            <w:pPr>
              <w:spacing w:after="60" w:before="60"/>
              <w:ind w:left="80"/>
            </w:pPr>
            <w:r>
              <w:rPr>
                <w:color w:val="555555"/>
                <w:sz w:val="20"/>
                <w:szCs w:val="20"/>
              </w:rPr>
              <w:t xml:space="preserve">Gitea issues &amp; PRs</w:t>
            </w:r>
          </w:p>
        </w:tc>
        <w:tc>
          <w:tcPr>
            <w:tcW w:type="dxa" w:w="1600"/>
            <w:shd w:fill="F9FAFB" w:val="clear"/>
          </w:tcPr>
          <w:p>
            <w:pPr>
              <w:spacing w:after="60" w:before="60"/>
              <w:ind w:left="80"/>
            </w:pPr>
            <w:r>
              <w:rPr>
                <w:color w:val="555555"/>
                <w:sz w:val="20"/>
                <w:szCs w:val="20"/>
              </w:rPr>
              <w:t xml:space="preserve">GiteaAgent</w:t>
            </w:r>
          </w:p>
        </w:tc>
        <w:tc>
          <w:tcPr>
            <w:tcW w:type="dxa" w:w="3000"/>
            <w:shd w:fill="F9FAFB" w:val="clear"/>
          </w:tcPr>
          <w:p>
            <w:pPr>
              <w:spacing w:after="60" w:before="60"/>
              <w:ind w:left="80"/>
            </w:pPr>
            <w:r>
              <w:rPr>
                <w:color w:val="555555"/>
                <w:sz w:val="20"/>
                <w:szCs w:val="20"/>
              </w:rPr>
              <w:t xml:space="preserve">Ticket nodes linked to components and decisions</w:t>
            </w:r>
          </w:p>
        </w:tc>
        <w:tc>
          <w:tcPr>
            <w:tcW w:type="dxa" w:w="1800"/>
            <w:shd w:fill="F9FAFB" w:val="clear"/>
          </w:tcPr>
          <w:p>
            <w:pPr>
              <w:spacing w:after="60" w:before="60"/>
              <w:ind w:left="80"/>
            </w:pPr>
            <w:r>
              <w:rPr>
                <w:color w:val="555555"/>
                <w:sz w:val="20"/>
                <w:szCs w:val="20"/>
              </w:rPr>
              <w:t xml:space="preserve">Webhook on open/close</w:t>
            </w:r>
          </w:p>
        </w:tc>
      </w:tr>
      <w:tr>
        <w:tc>
          <w:tcPr>
            <w:tcW w:type="dxa" w:w="2200"/>
            <w:shd w:fill="FFFFFF" w:val="clear"/>
          </w:tcPr>
          <w:p>
            <w:pPr>
              <w:spacing w:after="60" w:before="60"/>
              <w:ind w:left="80"/>
            </w:pPr>
            <w:r>
              <w:rPr>
                <w:color w:val="555555"/>
                <w:sz w:val="20"/>
                <w:szCs w:val="20"/>
              </w:rPr>
              <w:t xml:space="preserve">Manual decision entry</w:t>
            </w:r>
          </w:p>
        </w:tc>
        <w:tc>
          <w:tcPr>
            <w:tcW w:type="dxa" w:w="1600"/>
            <w:shd w:fill="FFFFFF" w:val="clear"/>
          </w:tcPr>
          <w:p>
            <w:pPr>
              <w:spacing w:after="60" w:before="60"/>
              <w:ind w:left="80"/>
            </w:pPr>
            <w:r>
              <w:rPr>
                <w:color w:val="555555"/>
                <w:sz w:val="20"/>
                <w:szCs w:val="20"/>
              </w:rPr>
              <w:t xml:space="preserve">DecisionAgent</w:t>
            </w:r>
          </w:p>
        </w:tc>
        <w:tc>
          <w:tcPr>
            <w:tcW w:type="dxa" w:w="3000"/>
            <w:shd w:fill="FFFFFF" w:val="clear"/>
          </w:tcPr>
          <w:p>
            <w:pPr>
              <w:spacing w:after="60" w:before="60"/>
              <w:ind w:left="80"/>
            </w:pPr>
            <w:r>
              <w:rPr>
                <w:color w:val="555555"/>
                <w:sz w:val="20"/>
                <w:szCs w:val="20"/>
              </w:rPr>
              <w:t xml:space="preserve">Human-authored Decision nodes with full rationale</w:t>
            </w:r>
          </w:p>
        </w:tc>
        <w:tc>
          <w:tcPr>
            <w:tcW w:type="dxa" w:w="1800"/>
            <w:shd w:fill="FFFFFF" w:val="clear"/>
          </w:tcPr>
          <w:p>
            <w:pPr>
              <w:spacing w:after="60" w:before="60"/>
              <w:ind w:left="80"/>
            </w:pPr>
            <w:r>
              <w:rPr>
                <w:color w:val="555555"/>
                <w:sz w:val="20"/>
                <w:szCs w:val="20"/>
              </w:rPr>
              <w:t xml:space="preserve">UI form submission</w:t>
            </w:r>
          </w:p>
        </w:tc>
      </w:tr>
      <w:tr>
        <w:tc>
          <w:tcPr>
            <w:tcW w:type="dxa" w:w="2200"/>
            <w:shd w:fill="F9FAFB" w:val="clear"/>
          </w:tcPr>
          <w:p>
            <w:pPr>
              <w:spacing w:after="60" w:before="60"/>
              <w:ind w:left="80"/>
            </w:pPr>
            <w:r>
              <w:rPr>
                <w:color w:val="555555"/>
                <w:sz w:val="20"/>
                <w:szCs w:val="20"/>
              </w:rPr>
              <w:t xml:space="preserve">Source code</w:t>
            </w:r>
          </w:p>
        </w:tc>
        <w:tc>
          <w:tcPr>
            <w:tcW w:type="dxa" w:w="1600"/>
            <w:shd w:fill="F9FAFB" w:val="clear"/>
          </w:tcPr>
          <w:p>
            <w:pPr>
              <w:spacing w:after="60" w:before="60"/>
              <w:ind w:left="80"/>
            </w:pPr>
            <w:r>
              <w:rPr>
                <w:color w:val="555555"/>
                <w:sz w:val="20"/>
                <w:szCs w:val="20"/>
              </w:rPr>
              <w:t xml:space="preserve">CodeAgent</w:t>
            </w:r>
          </w:p>
        </w:tc>
        <w:tc>
          <w:tcPr>
            <w:tcW w:type="dxa" w:w="3000"/>
            <w:shd w:fill="F9FAFB" w:val="clear"/>
          </w:tcPr>
          <w:p>
            <w:pPr>
              <w:spacing w:after="60" w:before="60"/>
              <w:ind w:left="80"/>
            </w:pPr>
            <w:r>
              <w:rPr>
                <w:color w:val="555555"/>
                <w:sz w:val="20"/>
                <w:szCs w:val="20"/>
              </w:rPr>
              <w:t xml:space="preserve">Component nodes inferred from file structure and code analysis</w:t>
            </w:r>
          </w:p>
        </w:tc>
        <w:tc>
          <w:tcPr>
            <w:tcW w:type="dxa" w:w="1800"/>
            <w:shd w:fill="F9FAFB" w:val="clear"/>
          </w:tcPr>
          <w:p>
            <w:pPr>
              <w:spacing w:after="60" w:before="60"/>
              <w:ind w:left="80"/>
            </w:pPr>
            <w:r>
              <w:rPr>
                <w:color w:val="555555"/>
                <w:sz w:val="20"/>
                <w:szCs w:val="20"/>
              </w:rPr>
              <w:t xml:space="preserve">On-demand or webhook</w:t>
            </w:r>
          </w:p>
        </w:tc>
      </w:tr>
    </w:tbl>
    <w:p/>
    <w:p>
      <w:pPr>
        <w:pStyle w:val="Heading2"/>
        <w:spacing w:after="120" w:before="300"/>
      </w:pPr>
      <w:r>
        <w:t xml:space="preserve">2.3 Decision Extraction Pipeline</w:t>
      </w:r>
    </w:p>
    <w:p>
      <w:pPr>
        <w:spacing w:after="100"/>
      </w:pPr>
      <w:r>
        <w:rPr>
          <w:color w:val="555555"/>
          <w:sz w:val="22"/>
          <w:szCs w:val="22"/>
        </w:rPr>
        <w:t xml:space="preserve">The most technically demanding ingestion path is extraction of implicit decisions from unstructured text—meeting transcripts, design documents, Slack exports. A naive keyword search is insufficient; the pipeline must distinguish a decision ('we chose X') from a discussion ('we considered X'), and must extract the rationale, the alternatives rejected, and the participants.</w:t>
      </w:r>
    </w:p>
    <w:p>
      <w:pPr>
        <w:spacing w:after="100"/>
      </w:pPr>
      <w:r>
        <w:rPr>
          <w:color w:val="555555"/>
          <w:sz w:val="22"/>
          <w:szCs w:val="22"/>
        </w:rPr>
        <w:t xml:space="preserve">Architecture: document is chunked with a sliding window → each chunk is classified by an LLM as decision-present or not → decision-present chunks go through a structured extraction prompt that returns JSON with fields: title, reasoning, alternatives_rejected, affected_components, proposed_by → the JSON is validated and written to Neo4j. Human review is required before a node is marked 'active'—this is the one-click confirmation gate that keeps the graph clean.</w:t>
      </w:r>
    </w:p>
    <w:p/>
    <w:p>
      <w:pPr>
        <w:pStyle w:val="Heading2"/>
        <w:spacing w:after="120" w:before="300"/>
      </w:pPr>
      <w:r>
        <w:t xml:space="preserve">2.4 Decision Invalidation Engine</w:t>
      </w:r>
    </w:p>
    <w:p>
      <w:pPr>
        <w:spacing w:after="100"/>
      </w:pPr>
      <w:r>
        <w:rPr>
          <w:color w:val="555555"/>
          <w:sz w:val="22"/>
          <w:szCs w:val="22"/>
        </w:rPr>
        <w:t xml:space="preserve">A decision is invalidated when a code change touches the component it governs. This is the real-time intelligence layer that prevents the graph from going stale.</w:t>
      </w:r>
    </w:p>
    <w:p>
      <w:pPr>
        <w:spacing w:after="100"/>
      </w:pPr>
      <w:r>
        <w:rPr>
          <w:color w:val="555555"/>
          <w:sz w:val="22"/>
          <w:szCs w:val="22"/>
        </w:rPr>
        <w:t xml:space="preserve">Mechanism: Gitea webhook fires on every push → the webhook handler reads files_changed from the commit payload → for each changed file path, a Cypher query finds all Decision nodes connected to a Component whose file_path matches → matched decisions move from 'active' to 'needs_review' status → an alert is created → the alert appears in the dashboard and is surfaced in any chat response that cites that decision.</w:t>
      </w:r>
    </w:p>
    <w:p>
      <w:pPr>
        <w:spacing w:after="100"/>
      </w:pPr>
      <w:r>
        <w:rPr>
          <w:color w:val="555555"/>
          <w:sz w:val="22"/>
          <w:szCs w:val="22"/>
        </w:rPr>
        <w:t xml:space="preserve">Invalidation is not automatic deletion—a commit touching auth.service.ts does not mean the JWT decision is wrong. It means a human must confirm whether it still holds. The system flags; a person decides.</w:t>
      </w:r>
    </w:p>
    <w:p>
      <w:pPr>
        <w:spacing w:after="100"/>
      </w:pPr>
      <w:r>
        <w:rPr>
          <w:color w:val="555555"/>
          <w:sz w:val="22"/>
          <w:szCs w:val="22"/>
        </w:rPr>
        <w:t xml:space="preserve">Additional invalidation triggers: a new Decision node marked as SUPERSEDES an older one → the older node moves to 'superseded'. Manual invalidation from the decisions UI. Bulk review trigger when a repository is migrated or restructured.</w:t>
      </w:r>
    </w:p>
    <w:p/>
    <w:p>
      <w:pPr>
        <w:pStyle w:val="Heading2"/>
        <w:spacing w:after="120" w:before="300"/>
      </w:pPr>
      <w:r>
        <w:t xml:space="preserve">2.5 MCP Server — Agent Context Injection</w:t>
      </w:r>
    </w:p>
    <w:p>
      <w:pPr>
        <w:spacing w:after="100"/>
      </w:pPr>
      <w:r>
        <w:rPr>
          <w:color w:val="555555"/>
          <w:sz w:val="22"/>
          <w:szCs w:val="22"/>
        </w:rPr>
        <w:t xml:space="preserve">The MCP (Model Context Protocol) server is the interface between LogicVault's knowledge graph and IDE code agents (Claude Code, Cursor, Copilot, etc.). This is what converts LogicVault from a query tool into an active memory layer for agentic development.</w:t>
      </w:r>
    </w:p>
    <w:p>
      <w:pPr>
        <w:spacing w:after="100"/>
      </w:pPr>
      <w:r>
        <w:rPr>
          <w:color w:val="555555"/>
          <w:sz w:val="22"/>
          <w:szCs w:val="22"/>
        </w:rPr>
        <w:t xml:space="preserve">The core insight: instead of injecting 200 lines of flat MEMORY.md into every prompt (Claude Code's current architecture), the MCP server injects only what is relevant to the current working context. When a developer opens src/payments/safepay.ts, the MCP server queries the graph for decisions that affect the payments component and injects 3-5 targeted decision summaries totaling ~600-800 tokens. This is more useful than 200 lines of unrelated noise and costs fewer tokens.</w:t>
      </w:r>
    </w:p>
    <w:p>
      <w:pPr>
        <w:spacing w:after="100"/>
      </w:pPr>
      <w:r>
        <w:rPr>
          <w:color w:val="555555"/>
          <w:sz w:val="22"/>
          <w:szCs w:val="22"/>
        </w:rPr>
        <w:t xml:space="preserve">MCP tools exposed:</w:t>
      </w:r>
    </w:p>
    <w:p>
      <w:pPr>
        <w:pStyle w:val="ListParagraph"/>
        <w:numPr>
          <w:ilvl w:val="0"/>
          <w:numId w:val="1"/>
        </w:numPr>
        <w:spacing w:after="60"/>
      </w:pPr>
      <w:r>
        <w:rPr>
          <w:color w:val="555555"/>
          <w:sz w:val="22"/>
          <w:szCs w:val="22"/>
        </w:rPr>
        <w:t xml:space="preserve">query_decisions(query, module_path) — semantic search over decision nodes, returns top-N with full rationale</w:t>
      </w:r>
    </w:p>
    <w:p>
      <w:pPr>
        <w:pStyle w:val="ListParagraph"/>
        <w:numPr>
          <w:ilvl w:val="0"/>
          <w:numId w:val="1"/>
        </w:numPr>
        <w:spacing w:after="60"/>
      </w:pPr>
      <w:r>
        <w:rPr>
          <w:color w:val="555555"/>
          <w:sz w:val="22"/>
          <w:szCs w:val="22"/>
        </w:rPr>
        <w:t xml:space="preserve">get_component_context(file_path) — returns all decisions, related components, and recent commits for a given file</w:t>
      </w:r>
    </w:p>
    <w:p>
      <w:pPr>
        <w:pStyle w:val="ListParagraph"/>
        <w:numPr>
          <w:ilvl w:val="0"/>
          <w:numId w:val="1"/>
        </w:numPr>
        <w:spacing w:after="60"/>
      </w:pPr>
      <w:r>
        <w:rPr>
          <w:color w:val="555555"/>
          <w:sz w:val="22"/>
          <w:szCs w:val="22"/>
        </w:rPr>
        <w:t xml:space="preserve">record_decision(title, reasoning, alternatives, components) — writes a new decision node from inside the agent session</w:t>
      </w:r>
    </w:p>
    <w:p>
      <w:pPr>
        <w:pStyle w:val="ListParagraph"/>
        <w:numPr>
          <w:ilvl w:val="0"/>
          <w:numId w:val="1"/>
        </w:numPr>
        <w:spacing w:after="60"/>
      </w:pPr>
      <w:r>
        <w:rPr>
          <w:color w:val="555555"/>
          <w:sz w:val="22"/>
          <w:szCs w:val="22"/>
        </w:rPr>
        <w:t xml:space="preserve">get_alerts() — returns currently flagged needs_review decisions</w:t>
      </w:r>
    </w:p>
    <w:p>
      <w:pPr>
        <w:pStyle w:val="ListParagraph"/>
        <w:numPr>
          <w:ilvl w:val="0"/>
          <w:numId w:val="1"/>
        </w:numPr>
        <w:spacing w:after="60"/>
      </w:pPr>
      <w:r>
        <w:rPr>
          <w:color w:val="555555"/>
          <w:sz w:val="22"/>
          <w:szCs w:val="22"/>
        </w:rPr>
        <w:t xml:space="preserve">get_project_context(project_id) — returns high-level project summary, tech stack decisions, team decisions</w:t>
      </w:r>
    </w:p>
    <w:p/>
    <w:p>
      <w:pPr>
        <w:pStyle w:val="Heading2"/>
        <w:spacing w:after="120" w:before="300"/>
      </w:pPr>
      <w:r>
        <w:t xml:space="preserve">2.6 Intelligent Context Injection (Pre-Prompt Hook)</w:t>
      </w:r>
    </w:p>
    <w:p>
      <w:pPr>
        <w:spacing w:after="100"/>
      </w:pPr>
      <w:r>
        <w:rPr>
          <w:color w:val="555555"/>
          <w:sz w:val="22"/>
          <w:szCs w:val="22"/>
        </w:rPr>
        <w:t xml:space="preserve">The MCP server implements a pre-prompt hook pattern: before the agent processes any prompt, the hook fires, reads the current working file path, queries the graph for relevant decisions, and prepends them to the context. The developer sees nothing—their agent just knows things it would not otherwise know.</w:t>
      </w:r>
    </w:p>
    <w:p>
      <w:pPr>
        <w:spacing w:after="100"/>
      </w:pPr>
      <w:r>
        <w:rPr>
          <w:color w:val="555555"/>
          <w:sz w:val="22"/>
          <w:szCs w:val="22"/>
        </w:rPr>
        <w:t xml:space="preserve">Context budget management: the hook has a fixed token budget (default 800 tokens). If more decisions are relevant than fit the budget, they are ranked by a combination of semantic similarity to the current prompt and recency of the related commit activity. The most relevant decisions are injected; others are available on-demand through the query_decisions tool.</w:t>
      </w:r>
    </w:p>
    <w:p/>
    <w:p>
      <w:pPr>
        <w:pStyle w:val="Heading2"/>
        <w:spacing w:after="120" w:before="300"/>
      </w:pPr>
      <w:r>
        <w:t xml:space="preserve">2.7 Multi-Repository Project Support</w:t>
      </w:r>
    </w:p>
    <w:p>
      <w:pPr>
        <w:spacing w:after="100"/>
      </w:pPr>
      <w:r>
        <w:rPr>
          <w:color w:val="555555"/>
          <w:sz w:val="22"/>
          <w:szCs w:val="22"/>
        </w:rPr>
        <w:t xml:space="preserve">A real enterprise project may span multiple repositories: a backend API repo, a frontend repo, a shared library repo, a mobile app repo. LogicVault models this with a Project node as the top-level entity, with Repository nodes as children.</w:t>
      </w:r>
    </w:p>
    <w:p>
      <w:pPr>
        <w:spacing w:after="100"/>
      </w:pPr>
      <w:r>
        <w:rPr>
          <w:color w:val="555555"/>
          <w:sz w:val="22"/>
          <w:szCs w:val="22"/>
        </w:rPr>
        <w:t xml:space="preserve">When a user adds a second repository to a project, LogicVault runs a coherence check: it compares the component names, tech stacks, and commit author overlap between repos. If the overlap is below a threshold—or if the LLM classifies the repos as unrelated based on README and code analysis—a warning is raised. The user must explicitly confirm before the repos are linked. This prevents accidental cross-project contamination.</w:t>
      </w:r>
    </w:p>
    <w:p>
      <w:pPr>
        <w:spacing w:after="100"/>
      </w:pPr>
      <w:r>
        <w:rPr>
          <w:color w:val="555555"/>
          <w:sz w:val="22"/>
          <w:szCs w:val="22"/>
        </w:rPr>
        <w:t xml:space="preserve">The coherence check is not a hard block: it is a flag. Two repos with no author overlap and completely different tech stacks get a warning; the user confirms they are intentionally linked. Two repos with shared authors, cross-referencing commit messages, and complementary tech stacks are silently linked.</w:t>
      </w:r>
    </w:p>
    <w:p/>
    <w:p>
      <w:pPr>
        <w:pStyle w:val="Heading2"/>
        <w:spacing w:after="120" w:before="300"/>
      </w:pPr>
      <w:r>
        <w:t xml:space="preserve">2.8 Query Interface (Chat + Graph Visualization)</w:t>
      </w:r>
    </w:p>
    <w:p>
      <w:pPr>
        <w:spacing w:after="100"/>
      </w:pPr>
      <w:r>
        <w:rPr>
          <w:color w:val="555555"/>
          <w:sz w:val="22"/>
          <w:szCs w:val="22"/>
        </w:rPr>
        <w:t xml:space="preserve">Two user-facing query surfaces exist. The chat interface answers natural language questions grounded in the graph: 'Why did we choose JWT?', 'What components are affected by the database decision?', 'Show me all decisions made in Q1 that are currently needs_review'. Responses cite the specific decision node, its author, date, and current status.</w:t>
      </w:r>
    </w:p>
    <w:p>
      <w:pPr>
        <w:spacing w:after="100"/>
      </w:pPr>
      <w:r>
        <w:rPr>
          <w:color w:val="555555"/>
          <w:sz w:val="22"/>
          <w:szCs w:val="22"/>
        </w:rPr>
        <w:t xml:space="preserve">The graph visualization page renders the live knowledge graph: component nodes, decision nodes, edges between them, commit activity overlay. It is filterable by component, date range, decision status, and author. A new developer can open this view and understand the architecture of the codebase without reading a single line of documentation.</w:t>
      </w:r>
    </w:p>
    <w:p/>
    <w:p>
      <w:pPr>
        <w:pStyle w:val="Heading2"/>
        <w:spacing w:after="120" w:before="300"/>
      </w:pPr>
      <w:r>
        <w:t xml:space="preserve">2.9 Context Export (CLAUDE.md / Agent Snapshot)</w:t>
      </w:r>
    </w:p>
    <w:p>
      <w:pPr>
        <w:spacing w:after="100"/>
      </w:pPr>
      <w:r>
        <w:rPr>
          <w:color w:val="555555"/>
          <w:sz w:val="22"/>
          <w:szCs w:val="22"/>
        </w:rPr>
        <w:t xml:space="preserve">For teams that do not use the MCP server directly, LogicVault generates a structured export of the most critical project decisions as a CLAUDE.md-compatible markdown file. This export is queryable, formatted, and prioritized—it is the opposite of the current CLAUDE.md workflow where the team writes it by hand and it goes stale. The halite-agent-context-2026-08-18.md file attached to this project is an example of what this export looks like.</w:t>
      </w:r>
    </w:p>
    <w:p>
      <w:pPr>
        <w:spacing w:after="100"/>
      </w:pPr>
      <w:r>
        <w:rPr>
          <w:color w:val="555555"/>
          <w:sz w:val="22"/>
          <w:szCs w:val="22"/>
        </w:rPr>
        <w:t xml:space="preserve">The export is regenerated on demand or on a schedule, and can be scoped to a specific module (e.g., export decisions affecting src/payments/ only).</w:t>
      </w:r>
    </w:p>
    <w:p/>
    <w:p>
      <w:r>
        <w:br w:type="page"/>
      </w:r>
    </w:p>
    <w:p>
      <w:pPr>
        <w:pStyle w:val="Heading1"/>
        <w:spacing w:after="160" w:before="400"/>
        <w:rPr>
          <w:b/>
          <w:bCs/>
          <w:color w:val="2E3F6F"/>
        </w:rPr>
      </w:pPr>
      <w:r>
        <w:t xml:space="preserve">3. Scope Boundaries — What We Are Not Building</w:t>
      </w:r>
    </w:p>
    <w:p>
      <w:pPr>
        <w:spacing w:after="100"/>
      </w:pPr>
      <w:r>
        <w:rPr>
          <w:color w:val="555555"/>
          <w:sz w:val="22"/>
          <w:szCs w:val="22"/>
        </w:rPr>
        <w:t xml:space="preserve">The following are explicitly out of scope for this FYP to prevent scope inflation:</w:t>
      </w:r>
    </w:p>
    <w:p>
      <w:pPr>
        <w:pStyle w:val="ListParagraph"/>
        <w:numPr>
          <w:ilvl w:val="0"/>
          <w:numId w:val="1"/>
        </w:numPr>
        <w:spacing w:after="60"/>
      </w:pPr>
      <w:r>
        <w:rPr>
          <w:color w:val="555555"/>
          <w:sz w:val="22"/>
          <w:szCs w:val="22"/>
        </w:rPr>
        <w:t xml:space="preserve">A general-purpose project management tool. LogicVault is specifically a decision memory layer, not a replacement for Jira, Linear, or Notion.</w:t>
      </w:r>
    </w:p>
    <w:p>
      <w:pPr>
        <w:pStyle w:val="ListParagraph"/>
        <w:numPr>
          <w:ilvl w:val="0"/>
          <w:numId w:val="1"/>
        </w:numPr>
        <w:spacing w:after="60"/>
      </w:pPr>
      <w:r>
        <w:rPr>
          <w:color w:val="555555"/>
          <w:sz w:val="22"/>
          <w:szCs w:val="22"/>
        </w:rPr>
        <w:t xml:space="preserve">A code review assistant. We ingest commits for invalidation context; we do not analyze code quality.</w:t>
      </w:r>
    </w:p>
    <w:p>
      <w:pPr>
        <w:pStyle w:val="ListParagraph"/>
        <w:numPr>
          <w:ilvl w:val="0"/>
          <w:numId w:val="1"/>
        </w:numPr>
        <w:spacing w:after="60"/>
      </w:pPr>
      <w:r>
        <w:rPr>
          <w:color w:val="555555"/>
          <w:sz w:val="22"/>
          <w:szCs w:val="22"/>
        </w:rPr>
        <w:t xml:space="preserve">Support for GitHub or GitLab. Gitea is the target for the FYP. The architecture is provider-agnostic, but the integration is Gitea-specific.</w:t>
      </w:r>
    </w:p>
    <w:p>
      <w:pPr>
        <w:pStyle w:val="ListParagraph"/>
        <w:numPr>
          <w:ilvl w:val="0"/>
          <w:numId w:val="1"/>
        </w:numPr>
        <w:spacing w:after="60"/>
      </w:pPr>
      <w:r>
        <w:rPr>
          <w:color w:val="555555"/>
          <w:sz w:val="22"/>
          <w:szCs w:val="22"/>
        </w:rPr>
        <w:t xml:space="preserve">Real-time collaborative editing of decision nodes. Decisions are created and reviewed, not collaboratively edited live.</w:t>
      </w:r>
    </w:p>
    <w:p>
      <w:pPr>
        <w:pStyle w:val="ListParagraph"/>
        <w:numPr>
          <w:ilvl w:val="0"/>
          <w:numId w:val="1"/>
        </w:numPr>
        <w:spacing w:after="60"/>
      </w:pPr>
      <w:r>
        <w:rPr>
          <w:color w:val="555555"/>
          <w:sz w:val="22"/>
          <w:szCs w:val="22"/>
        </w:rPr>
        <w:t xml:space="preserve">A mobile application. The interface is a web app only.</w:t>
      </w:r>
    </w:p>
    <w:p/>
    <w:p>
      <w:r>
        <w:br w:type="page"/>
      </w:r>
    </w:p>
    <w:p>
      <w:pPr>
        <w:pStyle w:val="Heading1"/>
        <w:spacing w:after="160" w:before="400"/>
        <w:rPr>
          <w:b/>
          <w:bCs/>
          <w:color w:val="2E3F6F"/>
        </w:rPr>
      </w:pPr>
      <w:r>
        <w:t xml:space="preserve">4. System Architecture Summary</w:t>
      </w:r>
    </w:p>
    <w:p>
      <w:pPr>
        <w:spacing w:after="100"/>
      </w:pPr>
      <w:r>
        <w:rPr>
          <w:color w:val="555555"/>
          <w:sz w:val="22"/>
          <w:szCs w:val="22"/>
        </w:rPr>
        <w:t xml:space="preserve">Five layers, each with a clear boundary: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400"/>
      </w:tblGrid>
      <w:tr>
        <w:trPr>
          <w:tblHeader/>
        </w:trPr>
        <w:tc>
          <w:tcPr>
            <w:tcW w:type="dxa" w:w="1800"/>
            <w:shd w:fill="2E3F6F" w:val="clear"/>
          </w:tcPr>
          <w:p>
            <w:pPr>
              <w:spacing w:after="80" w:before="80"/>
              <w:ind w:left="80"/>
            </w:pPr>
            <w:r>
              <w:rPr>
                <w:b/>
                <w:bCs/>
                <w:color w:val="FFFFFF"/>
                <w:sz w:val="20"/>
                <w:szCs w:val="20"/>
              </w:rPr>
              <w:t xml:space="preserve">Layer</w:t>
            </w:r>
          </w:p>
        </w:tc>
        <w:tc>
          <w:tcPr>
            <w:tcW w:type="dxa" w:w="2400"/>
            <w:shd w:fill="2E3F6F" w:val="clear"/>
          </w:tcPr>
          <w:p>
            <w:pPr>
              <w:spacing w:after="80" w:before="80"/>
              <w:ind w:left="80"/>
            </w:pPr>
            <w:r>
              <w:rPr>
                <w:b/>
                <w:bCs/>
                <w:color w:val="FFFFFF"/>
                <w:sz w:val="20"/>
                <w:szCs w:val="20"/>
              </w:rPr>
              <w:t xml:space="preserve">Technology</w:t>
            </w:r>
          </w:p>
        </w:tc>
        <w:tc>
          <w:tcPr>
            <w:tcW w:type="dxa" w:w="4400"/>
            <w:shd w:fill="2E3F6F" w:val="clear"/>
          </w:tcPr>
          <w:p>
            <w:pPr>
              <w:spacing w:after="80" w:before="80"/>
              <w:ind w:left="80"/>
            </w:pPr>
            <w:r>
              <w:rPr>
                <w:b/>
                <w:bCs/>
                <w:color w:val="FFFFFF"/>
                <w:sz w:val="20"/>
                <w:szCs w:val="20"/>
              </w:rPr>
              <w:t xml:space="preserve">Role</w:t>
            </w:r>
          </w:p>
        </w:tc>
      </w:tr>
      <w:tr>
        <w:tc>
          <w:tcPr>
            <w:tcW w:type="dxa" w:w="1800"/>
            <w:shd w:fill="F9FAFB" w:val="clear"/>
          </w:tcPr>
          <w:p>
            <w:pPr>
              <w:spacing w:after="60" w:before="60"/>
              <w:ind w:left="80"/>
            </w:pPr>
            <w:r>
              <w:rPr>
                <w:color w:val="555555"/>
                <w:sz w:val="20"/>
                <w:szCs w:val="20"/>
              </w:rPr>
              <w:t xml:space="preserve">Knowledge Graph</w:t>
            </w:r>
          </w:p>
        </w:tc>
        <w:tc>
          <w:tcPr>
            <w:tcW w:type="dxa" w:w="2400"/>
            <w:shd w:fill="F9FAFB" w:val="clear"/>
          </w:tcPr>
          <w:p>
            <w:pPr>
              <w:spacing w:after="60" w:before="60"/>
              <w:ind w:left="80"/>
            </w:pPr>
            <w:r>
              <w:rPr>
                <w:color w:val="555555"/>
                <w:sz w:val="20"/>
                <w:szCs w:val="20"/>
              </w:rPr>
              <w:t xml:space="preserve">Neo4j AuraDB (Free → Paid on scale)</w:t>
            </w:r>
          </w:p>
        </w:tc>
        <w:tc>
          <w:tcPr>
            <w:tcW w:type="dxa" w:w="4400"/>
            <w:shd w:fill="F9FAFB" w:val="clear"/>
          </w:tcPr>
          <w:p>
            <w:pPr>
              <w:spacing w:after="60" w:before="60"/>
              <w:ind w:left="80"/>
            </w:pPr>
            <w:r>
              <w:rPr>
                <w:color w:val="555555"/>
                <w:sz w:val="20"/>
                <w:szCs w:val="20"/>
              </w:rPr>
              <w:t xml:space="preserve">Stores all nodes and edges. Single source of truth.</w:t>
            </w:r>
          </w:p>
        </w:tc>
      </w:tr>
      <w:tr>
        <w:tc>
          <w:tcPr>
            <w:tcW w:type="dxa" w:w="1800"/>
            <w:shd w:fill="FFFFFF" w:val="clear"/>
          </w:tcPr>
          <w:p>
            <w:pPr>
              <w:spacing w:after="60" w:before="60"/>
              <w:ind w:left="80"/>
            </w:pPr>
            <w:r>
              <w:rPr>
                <w:color w:val="555555"/>
                <w:sz w:val="20"/>
                <w:szCs w:val="20"/>
              </w:rPr>
              <w:t xml:space="preserve">Backend API</w:t>
            </w:r>
          </w:p>
        </w:tc>
        <w:tc>
          <w:tcPr>
            <w:tcW w:type="dxa" w:w="2400"/>
            <w:shd w:fill="FFFFFF" w:val="clear"/>
          </w:tcPr>
          <w:p>
            <w:pPr>
              <w:spacing w:after="60" w:before="60"/>
              <w:ind w:left="80"/>
            </w:pPr>
            <w:r>
              <w:rPr>
                <w:color w:val="555555"/>
                <w:sz w:val="20"/>
                <w:szCs w:val="20"/>
              </w:rPr>
              <w:t xml:space="preserve">FastAPI (Python 3.11)</w:t>
            </w:r>
          </w:p>
        </w:tc>
        <w:tc>
          <w:tcPr>
            <w:tcW w:type="dxa" w:w="4400"/>
            <w:shd w:fill="FFFFFF" w:val="clear"/>
          </w:tcPr>
          <w:p>
            <w:pPr>
              <w:spacing w:after="60" w:before="60"/>
              <w:ind w:left="80"/>
            </w:pPr>
            <w:r>
              <w:rPr>
                <w:color w:val="555555"/>
                <w:sz w:val="20"/>
                <w:szCs w:val="20"/>
              </w:rPr>
              <w:t xml:space="preserve">Orchestrates ingestion agents, exposes REST endpoints, runs invalidation logic.</w:t>
            </w:r>
          </w:p>
        </w:tc>
      </w:tr>
      <w:tr>
        <w:tc>
          <w:tcPr>
            <w:tcW w:type="dxa" w:w="1800"/>
            <w:shd w:fill="F9FAFB" w:val="clear"/>
          </w:tcPr>
          <w:p>
            <w:pPr>
              <w:spacing w:after="60" w:before="60"/>
              <w:ind w:left="80"/>
            </w:pPr>
            <w:r>
              <w:rPr>
                <w:color w:val="555555"/>
                <w:sz w:val="20"/>
                <w:szCs w:val="20"/>
              </w:rPr>
              <w:t xml:space="preserve">MCP Server</w:t>
            </w:r>
          </w:p>
        </w:tc>
        <w:tc>
          <w:tcPr>
            <w:tcW w:type="dxa" w:w="2400"/>
            <w:shd w:fill="F9FAFB" w:val="clear"/>
          </w:tcPr>
          <w:p>
            <w:pPr>
              <w:spacing w:after="60" w:before="60"/>
              <w:ind w:left="80"/>
            </w:pPr>
            <w:r>
              <w:rPr>
                <w:color w:val="555555"/>
                <w:sz w:val="20"/>
                <w:szCs w:val="20"/>
              </w:rPr>
              <w:t xml:space="preserve">FastMCP (Python) or custom MCP over stdio/SSE</w:t>
            </w:r>
          </w:p>
        </w:tc>
        <w:tc>
          <w:tcPr>
            <w:tcW w:type="dxa" w:w="4400"/>
            <w:shd w:fill="F9FAFB" w:val="clear"/>
          </w:tcPr>
          <w:p>
            <w:pPr>
              <w:spacing w:after="60" w:before="60"/>
              <w:ind w:left="80"/>
            </w:pPr>
            <w:r>
              <w:rPr>
                <w:color w:val="555555"/>
                <w:sz w:val="20"/>
                <w:szCs w:val="20"/>
              </w:rPr>
              <w:t xml:space="preserve">Exposes graph query tools to IDE agents. Stateless query layer over Neo4j.</w:t>
            </w:r>
          </w:p>
        </w:tc>
      </w:tr>
      <w:tr>
        <w:tc>
          <w:tcPr>
            <w:tcW w:type="dxa" w:w="1800"/>
            <w:shd w:fill="FFFFFF" w:val="clear"/>
          </w:tcPr>
          <w:p>
            <w:pPr>
              <w:spacing w:after="60" w:before="60"/>
              <w:ind w:left="80"/>
            </w:pPr>
            <w:r>
              <w:rPr>
                <w:color w:val="555555"/>
                <w:sz w:val="20"/>
                <w:szCs w:val="20"/>
              </w:rPr>
              <w:t xml:space="preserve">Frontend</w:t>
            </w:r>
          </w:p>
        </w:tc>
        <w:tc>
          <w:tcPr>
            <w:tcW w:type="dxa" w:w="2400"/>
            <w:shd w:fill="FFFFFF" w:val="clear"/>
          </w:tcPr>
          <w:p>
            <w:pPr>
              <w:spacing w:after="60" w:before="60"/>
              <w:ind w:left="80"/>
            </w:pPr>
            <w:r>
              <w:rPr>
                <w:color w:val="555555"/>
                <w:sz w:val="20"/>
                <w:szCs w:val="20"/>
              </w:rPr>
              <w:t xml:space="preserve">React + Tailwind CSS + react-force-graph-2d</w:t>
            </w:r>
          </w:p>
        </w:tc>
        <w:tc>
          <w:tcPr>
            <w:tcW w:type="dxa" w:w="4400"/>
            <w:shd w:fill="FFFFFF" w:val="clear"/>
          </w:tcPr>
          <w:p>
            <w:pPr>
              <w:spacing w:after="60" w:before="60"/>
              <w:ind w:left="80"/>
            </w:pPr>
            <w:r>
              <w:rPr>
                <w:color w:val="555555"/>
                <w:sz w:val="20"/>
                <w:szCs w:val="20"/>
              </w:rPr>
              <w:t xml:space="preserve">Chat UI, graph visualization, decisions CRUD, alerts dashboard.</w:t>
            </w:r>
          </w:p>
        </w:tc>
      </w:tr>
      <w:tr>
        <w:tc>
          <w:tcPr>
            <w:tcW w:type="dxa" w:w="1800"/>
            <w:shd w:fill="F9FAFB" w:val="clear"/>
          </w:tcPr>
          <w:p>
            <w:pPr>
              <w:spacing w:after="60" w:before="60"/>
              <w:ind w:left="80"/>
            </w:pPr>
            <w:r>
              <w:rPr>
                <w:color w:val="555555"/>
                <w:sz w:val="20"/>
                <w:szCs w:val="20"/>
              </w:rPr>
              <w:t xml:space="preserve">Ingestion Agents</w:t>
            </w:r>
          </w:p>
        </w:tc>
        <w:tc>
          <w:tcPr>
            <w:tcW w:type="dxa" w:w="2400"/>
            <w:shd w:fill="F9FAFB" w:val="clear"/>
          </w:tcPr>
          <w:p>
            <w:pPr>
              <w:spacing w:after="60" w:before="60"/>
              <w:ind w:left="80"/>
            </w:pPr>
            <w:r>
              <w:rPr>
                <w:color w:val="555555"/>
                <w:sz w:val="20"/>
                <w:szCs w:val="20"/>
              </w:rPr>
              <w:t xml:space="preserve">LangChain + Groq llama-3.3-70b</w:t>
            </w:r>
          </w:p>
        </w:tc>
        <w:tc>
          <w:tcPr>
            <w:tcW w:type="dxa" w:w="4400"/>
            <w:shd w:fill="F9FAFB" w:val="clear"/>
          </w:tcPr>
          <w:p>
            <w:pPr>
              <w:spacing w:after="60" w:before="60"/>
              <w:ind w:left="80"/>
            </w:pPr>
            <w:r>
              <w:rPr>
                <w:color w:val="555555"/>
                <w:sz w:val="20"/>
                <w:szCs w:val="20"/>
              </w:rPr>
              <w:t xml:space="preserve">DocumentAgent, GiteaAgent, CodeAgent, DecisionAgent — each independent.</w:t>
            </w:r>
          </w:p>
        </w:tc>
      </w:tr>
    </w:tbl>
    <w:p/>
    <w:p>
      <w:r>
        <w:br w:type="page"/>
      </w:r>
    </w:p>
    <w:p>
      <w:pPr>
        <w:pStyle w:val="Heading1"/>
        <w:spacing w:after="160" w:before="400"/>
        <w:rPr>
          <w:b/>
          <w:bCs/>
          <w:color w:val="2E3F6F"/>
        </w:rPr>
      </w:pPr>
      <w:r>
        <w:t xml:space="preserve">5. Development Methodology</w:t>
      </w:r>
    </w:p>
    <w:p>
      <w:pPr>
        <w:pStyle w:val="Heading2"/>
        <w:spacing w:after="120" w:before="300"/>
      </w:pPr>
      <w:r>
        <w:t xml:space="preserve">5.1 Stream Classification</w:t>
      </w:r>
    </w:p>
    <w:p>
      <w:pPr>
        <w:spacing w:after="100"/>
      </w:pPr>
      <w:r>
        <w:rPr>
          <w:color w:val="555555"/>
          <w:sz w:val="22"/>
          <w:szCs w:val="22"/>
        </w:rPr>
        <w:t xml:space="preserve">This is a Stream B (application-derived) FYP. The problem originates from an observed real-world failure: engineering teams lose institutional knowledge when developers leave, join, or avoid questions. The gap is not theoretical—it is validated by the existence of failed wikis in every team we have spoken to, the 200-line MEMORY.md limitation in Claude Code's own documentation, and the complete absence of attributed, queryable decision history in any existing tool (Confluence, GitHub, Linear, Notion).</w:t>
      </w:r>
    </w:p>
    <w:p>
      <w:pPr>
        <w:spacing w:after="100"/>
      </w:pPr>
      <w:r>
        <w:rPr>
          <w:color w:val="555555"/>
          <w:sz w:val="22"/>
          <w:szCs w:val="22"/>
        </w:rPr>
        <w:t xml:space="preserve">The complex computing problem: designing a decision capture pipeline that (a) extracts structured decisions from unstructured text with acceptable precision, (b) maintains a consistent knowledge graph across concurrent ingestion sources without contradiction, (c) invalidates stale decisions from real-time commit events without excessive false positives, and (d) selects and injects relevant context into agent prompts within a fixed token budget.</w:t>
      </w:r>
    </w:p>
    <w:p/>
    <w:p>
      <w:pPr>
        <w:pStyle w:val="Heading2"/>
        <w:spacing w:after="120" w:before="300"/>
      </w:pPr>
      <w:r>
        <w:t xml:space="preserve">5.2 Methodology: Iterative Prototype-Driven Development</w:t>
      </w:r>
    </w:p>
    <w:p>
      <w:pPr>
        <w:spacing w:after="100"/>
      </w:pPr>
      <w:r>
        <w:rPr>
          <w:color w:val="555555"/>
          <w:sz w:val="22"/>
          <w:szCs w:val="22"/>
        </w:rPr>
        <w:t xml:space="preserve">We follow a Build → Measure → Refine cycle, with each FYP phase producing a demonstrable, deployable increment. The prototype already exists (Milestone 1 through 3 of the spec are substantially built). Every subsequent phase adds one major capability, evaluated against measurable criteria before the next phase begins.</w:t>
      </w:r>
    </w:p>
    <w:p>
      <w:pPr>
        <w:spacing w:after="100"/>
      </w:pPr>
      <w:r>
        <w:rPr>
          <w:color w:val="555555"/>
          <w:sz w:val="22"/>
          <w:szCs w:val="22"/>
        </w:rPr>
        <w:t xml:space="preserve">Evaluation runs continuously, not only at submission: every sprint ends with a precision/recall measurement on decision extraction, a latency measurement on MCP context injection, and a false-positive rate measurement on invalidation events. These numbers drive design decisions, not opinions.</w:t>
      </w:r>
    </w:p>
    <w:p/>
    <w:p>
      <w:pPr>
        <w:pStyle w:val="Heading2"/>
        <w:spacing w:after="120" w:before="300"/>
      </w:pPr>
      <w:r>
        <w:t xml:space="preserve">5.3 Research Integration</w:t>
      </w:r>
    </w:p>
    <w:p>
      <w:pPr>
        <w:spacing w:after="100"/>
      </w:pPr>
      <w:r>
        <w:rPr>
          <w:color w:val="555555"/>
          <w:sz w:val="22"/>
          <w:szCs w:val="22"/>
        </w:rPr>
        <w:t xml:space="preserve">Research informs four specific design decisions—not literature padding. Each paper below maps to a technical choice we make: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00"/>
      </w:tblGrid>
      <w:tr>
        <w:trPr>
          <w:tblHeader/>
        </w:trPr>
        <w:tc>
          <w:tcPr>
            <w:tcW w:type="dxa" w:w="2200"/>
            <w:shd w:fill="2E3F6F" w:val="clear"/>
          </w:tcPr>
          <w:p>
            <w:pPr>
              <w:spacing w:after="80" w:before="80"/>
              <w:ind w:left="80"/>
            </w:pPr>
            <w:r>
              <w:rPr>
                <w:b/>
                <w:bCs/>
                <w:color w:val="FFFFFF"/>
                <w:sz w:val="20"/>
                <w:szCs w:val="20"/>
              </w:rPr>
              <w:t xml:space="preserve">Design Decision</w:t>
            </w:r>
          </w:p>
        </w:tc>
        <w:tc>
          <w:tcPr>
            <w:tcW w:type="dxa" w:w="2800"/>
            <w:shd w:fill="2E3F6F" w:val="clear"/>
          </w:tcPr>
          <w:p>
            <w:pPr>
              <w:spacing w:after="80" w:before="80"/>
              <w:ind w:left="80"/>
            </w:pPr>
            <w:r>
              <w:rPr>
                <w:b/>
                <w:bCs/>
                <w:color w:val="FFFFFF"/>
                <w:sz w:val="20"/>
                <w:szCs w:val="20"/>
              </w:rPr>
              <w:t xml:space="preserve">Research Basis</w:t>
            </w:r>
          </w:p>
        </w:tc>
        <w:tc>
          <w:tcPr>
            <w:tcW w:type="dxa" w:w="3600"/>
            <w:shd w:fill="2E3F6F" w:val="clear"/>
          </w:tcPr>
          <w:p>
            <w:pPr>
              <w:spacing w:after="80" w:before="80"/>
              <w:ind w:left="80"/>
            </w:pPr>
            <w:r>
              <w:rPr>
                <w:b/>
                <w:bCs/>
                <w:color w:val="FFFFFF"/>
                <w:sz w:val="20"/>
                <w:szCs w:val="20"/>
              </w:rPr>
              <w:t xml:space="preserve">How It Applies</w:t>
            </w:r>
          </w:p>
        </w:tc>
      </w:tr>
      <w:tr>
        <w:tc>
          <w:tcPr>
            <w:tcW w:type="dxa" w:w="2200"/>
            <w:shd w:fill="F9FAFB" w:val="clear"/>
          </w:tcPr>
          <w:p>
            <w:pPr>
              <w:spacing w:after="60" w:before="60"/>
              <w:ind w:left="80"/>
            </w:pPr>
            <w:r>
              <w:rPr>
                <w:color w:val="555555"/>
                <w:sz w:val="20"/>
                <w:szCs w:val="20"/>
              </w:rPr>
              <w:t xml:space="preserve">Knowledge graph schema design</w:t>
            </w:r>
          </w:p>
        </w:tc>
        <w:tc>
          <w:tcPr>
            <w:tcW w:type="dxa" w:w="2800"/>
            <w:shd w:fill="F9FAFB" w:val="clear"/>
          </w:tcPr>
          <w:p>
            <w:pPr>
              <w:spacing w:after="60" w:before="60"/>
              <w:ind w:left="80"/>
            </w:pPr>
            <w:r>
              <w:rPr>
                <w:color w:val="555555"/>
                <w:sz w:val="20"/>
                <w:szCs w:val="20"/>
              </w:rPr>
              <w:t xml:space="preserve">Knowledge Graph Embedding (Wang et al., 2017); Software Engineering Decision Knowledge (Kleebaum et al., 2022)</w:t>
            </w:r>
          </w:p>
        </w:tc>
        <w:tc>
          <w:tcPr>
            <w:tcW w:type="dxa" w:w="3600"/>
            <w:shd w:fill="F9FAFB" w:val="clear"/>
          </w:tcPr>
          <w:p>
            <w:pPr>
              <w:spacing w:after="60" w:before="60"/>
              <w:ind w:left="80"/>
            </w:pPr>
            <w:r>
              <w:rPr>
                <w:color w:val="555555"/>
                <w:sz w:val="20"/>
                <w:szCs w:val="20"/>
              </w:rPr>
              <w:t xml:space="preserve">Node and edge type selection follows established SEDK ontologies; embedding approach for semantic retrieval.</w:t>
            </w:r>
          </w:p>
        </w:tc>
      </w:tr>
      <w:tr>
        <w:tc>
          <w:tcPr>
            <w:tcW w:type="dxa" w:w="2200"/>
            <w:shd w:fill="FFFFFF" w:val="clear"/>
          </w:tcPr>
          <w:p>
            <w:pPr>
              <w:spacing w:after="60" w:before="60"/>
              <w:ind w:left="80"/>
            </w:pPr>
            <w:r>
              <w:rPr>
                <w:color w:val="555555"/>
                <w:sz w:val="20"/>
                <w:szCs w:val="20"/>
              </w:rPr>
              <w:t xml:space="preserve">Decision extraction from text</w:t>
            </w:r>
          </w:p>
        </w:tc>
        <w:tc>
          <w:tcPr>
            <w:tcW w:type="dxa" w:w="2800"/>
            <w:shd w:fill="FFFFFF" w:val="clear"/>
          </w:tcPr>
          <w:p>
            <w:pPr>
              <w:spacing w:after="60" w:before="60"/>
              <w:ind w:left="80"/>
            </w:pPr>
            <w:r>
              <w:rPr>
                <w:color w:val="555555"/>
                <w:sz w:val="20"/>
                <w:szCs w:val="20"/>
              </w:rPr>
              <w:t xml:space="preserve">Chain-of-Thought Prompting (Wei et al., 2022); LLM-based Information Extraction (Wadhwa et al., 2023)</w:t>
            </w:r>
          </w:p>
        </w:tc>
        <w:tc>
          <w:tcPr>
            <w:tcW w:type="dxa" w:w="3600"/>
            <w:shd w:fill="FFFFFF" w:val="clear"/>
          </w:tcPr>
          <w:p>
            <w:pPr>
              <w:spacing w:after="60" w:before="60"/>
              <w:ind w:left="80"/>
            </w:pPr>
            <w:r>
              <w:rPr>
                <w:color w:val="555555"/>
                <w:sz w:val="20"/>
                <w:szCs w:val="20"/>
              </w:rPr>
              <w:t xml:space="preserve">Multi-step extraction prompt mirrors CoT; precision benchmarks from IE literature set our targets.</w:t>
            </w:r>
          </w:p>
        </w:tc>
      </w:tr>
      <w:tr>
        <w:tc>
          <w:tcPr>
            <w:tcW w:type="dxa" w:w="2200"/>
            <w:shd w:fill="F9FAFB" w:val="clear"/>
          </w:tcPr>
          <w:p>
            <w:pPr>
              <w:spacing w:after="60" w:before="60"/>
              <w:ind w:left="80"/>
            </w:pPr>
            <w:r>
              <w:rPr>
                <w:color w:val="555555"/>
                <w:sz w:val="20"/>
                <w:szCs w:val="20"/>
              </w:rPr>
              <w:t xml:space="preserve">Invalidation detection</w:t>
            </w:r>
          </w:p>
        </w:tc>
        <w:tc>
          <w:tcPr>
            <w:tcW w:type="dxa" w:w="2800"/>
            <w:shd w:fill="F9FAFB" w:val="clear"/>
          </w:tcPr>
          <w:p>
            <w:pPr>
              <w:spacing w:after="60" w:before="60"/>
              <w:ind w:left="80"/>
            </w:pPr>
            <w:r>
              <w:rPr>
                <w:color w:val="555555"/>
                <w:sz w:val="20"/>
                <w:szCs w:val="20"/>
              </w:rPr>
              <w:t xml:space="preserve">Change Impact Analysis (Law &amp; Rothermel, 2003); Co-change prediction (Zimmermann et al., 2004)</w:t>
            </w:r>
          </w:p>
        </w:tc>
        <w:tc>
          <w:tcPr>
            <w:tcW w:type="dxa" w:w="3600"/>
            <w:shd w:fill="F9FAFB" w:val="clear"/>
          </w:tcPr>
          <w:p>
            <w:pPr>
              <w:spacing w:after="60" w:before="60"/>
              <w:ind w:left="80"/>
            </w:pPr>
            <w:r>
              <w:rPr>
                <w:color w:val="555555"/>
                <w:sz w:val="20"/>
                <w:szCs w:val="20"/>
              </w:rPr>
              <w:t xml:space="preserve">File-to-decision mapping mirrors co-change history; our invalidation logic is a simplified CIA application.</w:t>
            </w:r>
          </w:p>
        </w:tc>
      </w:tr>
      <w:tr>
        <w:tc>
          <w:tcPr>
            <w:tcW w:type="dxa" w:w="2200"/>
            <w:shd w:fill="FFFFFF" w:val="clear"/>
          </w:tcPr>
          <w:p>
            <w:pPr>
              <w:spacing w:after="60" w:before="60"/>
              <w:ind w:left="80"/>
            </w:pPr>
            <w:r>
              <w:rPr>
                <w:color w:val="555555"/>
                <w:sz w:val="20"/>
                <w:szCs w:val="20"/>
              </w:rPr>
              <w:t xml:space="preserve">Context-aware prompt injection</w:t>
            </w:r>
          </w:p>
        </w:tc>
        <w:tc>
          <w:tcPr>
            <w:tcW w:type="dxa" w:w="2800"/>
            <w:shd w:fill="FFFFFF" w:val="clear"/>
          </w:tcPr>
          <w:p>
            <w:pPr>
              <w:spacing w:after="60" w:before="60"/>
              <w:ind w:left="80"/>
            </w:pPr>
            <w:r>
              <w:rPr>
                <w:color w:val="555555"/>
                <w:sz w:val="20"/>
                <w:szCs w:val="20"/>
              </w:rPr>
              <w:t xml:space="preserve">RAG (Lewis et al., 2020); Dense Passage Retrieval (Karpukhin et al., 2020)</w:t>
            </w:r>
          </w:p>
        </w:tc>
        <w:tc>
          <w:tcPr>
            <w:tcW w:type="dxa" w:w="3600"/>
            <w:shd w:fill="FFFFFF" w:val="clear"/>
          </w:tcPr>
          <w:p>
            <w:pPr>
              <w:spacing w:after="60" w:before="60"/>
              <w:ind w:left="80"/>
            </w:pPr>
            <w:r>
              <w:rPr>
                <w:color w:val="555555"/>
                <w:sz w:val="20"/>
                <w:szCs w:val="20"/>
              </w:rPr>
              <w:t xml:space="preserve">Graph traversal + vector similarity hybrid retrieval for context selection; budget management from RAG literature.</w:t>
            </w:r>
          </w:p>
        </w:tc>
      </w:tr>
    </w:tbl>
    <w:p/>
    <w:p>
      <w:r>
        <w:br w:type="page"/>
      </w:r>
    </w:p>
    <w:p>
      <w:pPr>
        <w:pStyle w:val="Heading1"/>
        <w:spacing w:after="160" w:before="400"/>
        <w:rPr>
          <w:b/>
          <w:bCs/>
          <w:color w:val="2E3F6F"/>
        </w:rPr>
      </w:pPr>
      <w:r>
        <w:t xml:space="preserve">6. Research Guidance and State-of-the-Art Papers</w:t>
      </w:r>
    </w:p>
    <w:p>
      <w:pPr>
        <w:spacing w:after="100"/>
      </w:pPr>
      <w:r>
        <w:rPr>
          <w:color w:val="555555"/>
          <w:sz w:val="22"/>
          <w:szCs w:val="22"/>
        </w:rPr>
        <w:t xml:space="preserve">These are not decorative citations. Each paper below has a specific, named role in our design. Read the abstract and the relevant sections only—do not read papers in full unless the technique is being directly implemented.</w:t>
      </w:r>
    </w:p>
    <w:p>
      <w:pPr>
        <w:pStyle w:val="Heading2"/>
        <w:spacing w:after="120" w:before="300"/>
      </w:pPr>
      <w:r>
        <w:t xml:space="preserve">6.1 Knowledge Graph Construction and Schema</w:t>
      </w:r>
    </w:p>
    <w:p>
      <w:pPr>
        <w:pStyle w:val="Heading3"/>
        <w:spacing w:after="100" w:before="200"/>
      </w:pPr>
      <w:r>
        <w:t xml:space="preserve">R1 — MAKG / Software Engineering Decision Knowledge</w:t>
      </w:r>
    </w:p>
    <w:p>
      <w:pPr>
        <w:spacing w:after="100"/>
      </w:pPr>
      <w:r>
        <w:rPr>
          <w:color w:val="555555"/>
          <w:sz w:val="22"/>
          <w:szCs w:val="22"/>
        </w:rPr>
        <w:t xml:space="preserve">Kleebaum et al. (2022). 'Decision Knowledge in Software Development: An Empirical Study.' IEEE Transactions on Software Engineering.</w:t>
      </w:r>
    </w:p>
    <w:p>
      <w:pPr>
        <w:spacing w:after="100"/>
      </w:pPr>
      <w:r>
        <w:rPr>
          <w:color w:val="555555"/>
          <w:sz w:val="22"/>
          <w:szCs w:val="22"/>
        </w:rPr>
        <w:t xml:space="preserve">Relevance: This paper establishes what a Decision node must contain to be useful to practitioners: the decision outcome, the rationale, the alternatives considered, the stakeholders involved, and the problem it addresses. Their ontology directly maps to our Decision node schema. Read Section 3 (ontology) and Section 4 (empirical study on what developers actually ask).</w:t>
      </w:r>
    </w:p>
    <w:p>
      <w:pPr>
        <w:spacing w:after="100"/>
      </w:pPr>
      <w:r>
        <w:rPr>
          <w:color w:val="555555"/>
          <w:sz w:val="22"/>
          <w:szCs w:val="22"/>
        </w:rPr>
        <w:t xml:space="preserve">URL: https://ieeexplore.ieee.org/document/9585361</w:t>
      </w:r>
    </w:p>
    <w:p/>
    <w:p>
      <w:pPr>
        <w:pStyle w:val="Heading3"/>
        <w:spacing w:after="100" w:before="200"/>
      </w:pPr>
      <w:r>
        <w:t xml:space="preserve">R2 — Knowledge Graph Embedding</w:t>
      </w:r>
    </w:p>
    <w:p>
      <w:pPr>
        <w:spacing w:after="100"/>
      </w:pPr>
      <w:r>
        <w:rPr>
          <w:color w:val="555555"/>
          <w:sz w:val="22"/>
          <w:szCs w:val="22"/>
        </w:rPr>
        <w:t xml:space="preserve">Wang et al. (2017). 'Knowledge Graph Embedding: A Survey of Approaches and Applications.' IEEE TKDE.</w:t>
      </w:r>
    </w:p>
    <w:p>
      <w:pPr>
        <w:spacing w:after="100"/>
      </w:pPr>
      <w:r>
        <w:rPr>
          <w:color w:val="555555"/>
          <w:sz w:val="22"/>
          <w:szCs w:val="22"/>
        </w:rPr>
        <w:t xml:space="preserve">Relevance: Our semantic retrieval layer needs vector embeddings of decision nodes for similarity search. This survey covers TransE, DistMult, and ComplEx—we will use a simple embedding approach (sentence-transformers on decision reasoning text + graph structure features). Read Section 2 (embedding methods) for the theoretical basis; we implement a simplified version.</w:t>
      </w:r>
    </w:p>
    <w:p>
      <w:pPr>
        <w:spacing w:after="100"/>
      </w:pPr>
      <w:r>
        <w:rPr>
          <w:color w:val="555555"/>
          <w:sz w:val="22"/>
          <w:szCs w:val="22"/>
        </w:rPr>
        <w:t xml:space="preserve">URL: https://ieeexplore.ieee.org/document/8047276</w:t>
      </w:r>
    </w:p>
    <w:p/>
    <w:p>
      <w:pPr>
        <w:pStyle w:val="Heading3"/>
        <w:spacing w:after="100" w:before="200"/>
      </w:pPr>
      <w:r>
        <w:t xml:space="preserve">R3 — Ontology for Software Architecture Decisions</w:t>
      </w:r>
    </w:p>
    <w:p>
      <w:pPr>
        <w:spacing w:after="100"/>
      </w:pPr>
      <w:r>
        <w:rPr>
          <w:color w:val="555555"/>
          <w:sz w:val="22"/>
          <w:szCs w:val="22"/>
        </w:rPr>
        <w:t xml:space="preserve">Zimmermann et al. (2007). 'Architectural Decisions: The Art of Making Design Choices.' IEEE Software.</w:t>
      </w:r>
    </w:p>
    <w:p>
      <w:pPr>
        <w:spacing w:after="100"/>
      </w:pPr>
      <w:r>
        <w:rPr>
          <w:color w:val="555555"/>
          <w:sz w:val="22"/>
          <w:szCs w:val="22"/>
        </w:rPr>
        <w:t xml:space="preserve">Relevance: Our Component-Decision edge types (AFFECTS_COMPONENT, CONSTRAINTS, ENABLES) are grounded in this ontology. The paper distinguishes architectural decisions from implementation decisions—a distinction we encode in Decision.scope field. Read the decision relationship taxonomy.</w:t>
      </w:r>
    </w:p>
    <w:p>
      <w:pPr>
        <w:spacing w:after="100"/>
      </w:pPr>
      <w:r>
        <w:rPr>
          <w:color w:val="555555"/>
          <w:sz w:val="22"/>
          <w:szCs w:val="22"/>
        </w:rPr>
        <w:t xml:space="preserve">URL: https://ieeexplore.ieee.org/document/4016301</w:t>
      </w:r>
    </w:p>
    <w:p/>
    <w:p>
      <w:pPr>
        <w:pStyle w:val="Heading2"/>
        <w:spacing w:after="120" w:before="300"/>
      </w:pPr>
      <w:r>
        <w:t xml:space="preserve">6.2 Decision Extraction from Unstructured Text</w:t>
      </w:r>
    </w:p>
    <w:p>
      <w:pPr>
        <w:pStyle w:val="Heading3"/>
        <w:spacing w:after="100" w:before="200"/>
      </w:pPr>
      <w:r>
        <w:t xml:space="preserve">R4 — Chain-of-Thought Prompting</w:t>
      </w:r>
    </w:p>
    <w:p>
      <w:pPr>
        <w:spacing w:after="100"/>
      </w:pPr>
      <w:r>
        <w:rPr>
          <w:color w:val="555555"/>
          <w:sz w:val="22"/>
          <w:szCs w:val="22"/>
        </w:rPr>
        <w:t xml:space="preserve">Wei et al. (2022). 'Chain-of-Thought Prompting Elicits Reasoning in Large Language Models.' NeurIPS 2022.</w:t>
      </w:r>
    </w:p>
    <w:p>
      <w:pPr>
        <w:spacing w:after="100"/>
      </w:pPr>
      <w:r>
        <w:rPr>
          <w:color w:val="555555"/>
          <w:sz w:val="22"/>
          <w:szCs w:val="22"/>
        </w:rPr>
        <w:t xml:space="preserve">Relevance: Our DocumentAgent's extraction prompt uses a multi-step reasoning chain: first identify if a decision is present, then identify the decision outcome, then extract the rationale, then identify alternatives rejected. This is a direct application of CoT. Read Section 2 and the few-shot examples.</w:t>
      </w:r>
    </w:p>
    <w:p>
      <w:pPr>
        <w:spacing w:after="100"/>
      </w:pPr>
      <w:r>
        <w:rPr>
          <w:color w:val="555555"/>
          <w:sz w:val="22"/>
          <w:szCs w:val="22"/>
        </w:rPr>
        <w:t xml:space="preserve">URL: https://arxiv.org/abs/2201.11903</w:t>
      </w:r>
    </w:p>
    <w:p/>
    <w:p>
      <w:pPr>
        <w:pStyle w:val="Heading3"/>
        <w:spacing w:after="100" w:before="200"/>
      </w:pPr>
      <w:r>
        <w:t xml:space="preserve">R5 — LLM Information Extraction</w:t>
      </w:r>
    </w:p>
    <w:p>
      <w:pPr>
        <w:spacing w:after="100"/>
      </w:pPr>
      <w:r>
        <w:rPr>
          <w:color w:val="555555"/>
          <w:sz w:val="22"/>
          <w:szCs w:val="22"/>
        </w:rPr>
        <w:t xml:space="preserve">Wadhwa et al. (2023). 'Revisiting Relation Extraction in the era of Large Language Models.' ACL 2023.</w:t>
      </w:r>
    </w:p>
    <w:p>
      <w:pPr>
        <w:spacing w:after="100"/>
      </w:pPr>
      <w:r>
        <w:rPr>
          <w:color w:val="555555"/>
          <w:sz w:val="22"/>
          <w:szCs w:val="22"/>
        </w:rPr>
        <w:t xml:space="preserve">Relevance: Decision extraction is a relation extraction task: we extract (subject: decision, relation: PROPOSED_BY, object: person) triples from text. This paper benchmarks LLM-based RE and establishes precision/recall baselines we will compare against. Read the zero-shot and few-shot results.</w:t>
      </w:r>
    </w:p>
    <w:p>
      <w:pPr>
        <w:spacing w:after="100"/>
      </w:pPr>
      <w:r>
        <w:rPr>
          <w:color w:val="555555"/>
          <w:sz w:val="22"/>
          <w:szCs w:val="22"/>
        </w:rPr>
        <w:t xml:space="preserve">URL: https://arxiv.org/abs/2305.11301</w:t>
      </w:r>
    </w:p>
    <w:p/>
    <w:p>
      <w:pPr>
        <w:pStyle w:val="Heading3"/>
        <w:spacing w:after="100" w:before="200"/>
      </w:pPr>
      <w:r>
        <w:t xml:space="preserve">R6 — Structured Output from LLMs</w:t>
      </w:r>
    </w:p>
    <w:p>
      <w:pPr>
        <w:spacing w:after="100"/>
      </w:pPr>
      <w:r>
        <w:rPr>
          <w:color w:val="555555"/>
          <w:sz w:val="22"/>
          <w:szCs w:val="22"/>
        </w:rPr>
        <w:t xml:space="preserve">Josifoski et al. (2022). 'GenIE: Generative Information Extraction.' ACL 2022.</w:t>
      </w:r>
    </w:p>
    <w:p>
      <w:pPr>
        <w:spacing w:after="100"/>
      </w:pPr>
      <w:r>
        <w:rPr>
          <w:color w:val="555555"/>
          <w:sz w:val="22"/>
          <w:szCs w:val="22"/>
        </w:rPr>
        <w:t xml:space="preserve">Relevance: We require structured JSON output from our extraction prompts. This paper's constrained decoding approach is the theoretical basis for using JSON-mode prompting to get reliably structured decision records. Read Section 3.</w:t>
      </w:r>
    </w:p>
    <w:p>
      <w:pPr>
        <w:spacing w:after="100"/>
      </w:pPr>
      <w:r>
        <w:rPr>
          <w:color w:val="555555"/>
          <w:sz w:val="22"/>
          <w:szCs w:val="22"/>
        </w:rPr>
        <w:t xml:space="preserve">URL: https://arxiv.org/abs/2112.08340</w:t>
      </w:r>
    </w:p>
    <w:p/>
    <w:p>
      <w:pPr>
        <w:pStyle w:val="Heading2"/>
        <w:spacing w:after="120" w:before="300"/>
      </w:pPr>
      <w:r>
        <w:t xml:space="preserve">6.3 Invalidation and Change Impact Analysis</w:t>
      </w:r>
    </w:p>
    <w:p>
      <w:pPr>
        <w:pStyle w:val="Heading3"/>
        <w:spacing w:after="100" w:before="200"/>
      </w:pPr>
      <w:r>
        <w:t xml:space="preserve">R7 — Change Impact Analysis</w:t>
      </w:r>
    </w:p>
    <w:p>
      <w:pPr>
        <w:spacing w:after="100"/>
      </w:pPr>
      <w:r>
        <w:rPr>
          <w:color w:val="555555"/>
          <w:sz w:val="22"/>
          <w:szCs w:val="22"/>
        </w:rPr>
        <w:t xml:space="preserve">Law &amp; Rothermel (2003). 'Whole Program Path-based Dynamic Impact Analysis.' ICSE 2003.</w:t>
      </w:r>
    </w:p>
    <w:p>
      <w:pPr>
        <w:spacing w:after="100"/>
      </w:pPr>
      <w:r>
        <w:rPr>
          <w:color w:val="555555"/>
          <w:sz w:val="22"/>
          <w:szCs w:val="22"/>
        </w:rPr>
        <w:t xml:space="preserve">Relevance: Our invalidation logic is a simplified form of change impact analysis. When file A changes, what decisions are affected? The paper's dependency-graph-based CIA is the theoretical ancestor of our file_path → Component → Decision traversal. Read Section 2 for the conceptual framework.</w:t>
      </w:r>
    </w:p>
    <w:p>
      <w:pPr>
        <w:spacing w:after="100"/>
      </w:pPr>
      <w:r>
        <w:rPr>
          <w:color w:val="555555"/>
          <w:sz w:val="22"/>
          <w:szCs w:val="22"/>
        </w:rPr>
        <w:t xml:space="preserve">URL: https://dl.acm.org/doi/10.1145/776816.776915</w:t>
      </w:r>
    </w:p>
    <w:p/>
    <w:p>
      <w:pPr>
        <w:pStyle w:val="Heading3"/>
        <w:spacing w:after="100" w:before="200"/>
      </w:pPr>
      <w:r>
        <w:t xml:space="preserve">R8 — Co-change Analysis</w:t>
      </w:r>
    </w:p>
    <w:p>
      <w:pPr>
        <w:spacing w:after="100"/>
      </w:pPr>
      <w:r>
        <w:rPr>
          <w:color w:val="555555"/>
          <w:sz w:val="22"/>
          <w:szCs w:val="22"/>
        </w:rPr>
        <w:t xml:space="preserve">Zimmermann et al. (2004). 'Mining Version Histories to Guide Software Changes.' ICSE 2004.</w:t>
      </w:r>
    </w:p>
    <w:p>
      <w:pPr>
        <w:spacing w:after="100"/>
      </w:pPr>
      <w:r>
        <w:rPr>
          <w:color w:val="555555"/>
          <w:sz w:val="22"/>
          <w:szCs w:val="22"/>
        </w:rPr>
        <w:t xml:space="preserve">Relevance: Files that co-change frequently are likely related. We use this insight to weight our invalidation alerts—a commit touching files that always change together is less likely to be an architectural change than a commit touching an isolated core file. Read Section 3 on co-change association rules.</w:t>
      </w:r>
    </w:p>
    <w:p>
      <w:pPr>
        <w:spacing w:after="100"/>
      </w:pPr>
      <w:r>
        <w:rPr>
          <w:color w:val="555555"/>
          <w:sz w:val="22"/>
          <w:szCs w:val="22"/>
        </w:rPr>
        <w:t xml:space="preserve">URL: https://dl.acm.org/doi/10.1145/998675.999460</w:t>
      </w:r>
    </w:p>
    <w:p/>
    <w:p>
      <w:pPr>
        <w:pStyle w:val="Heading3"/>
        <w:spacing w:after="100" w:before="200"/>
      </w:pPr>
      <w:r>
        <w:t xml:space="preserve">R9 — Just-in-Time Defect Prediction</w:t>
      </w:r>
    </w:p>
    <w:p>
      <w:pPr>
        <w:spacing w:after="100"/>
      </w:pPr>
      <w:r>
        <w:rPr>
          <w:color w:val="555555"/>
          <w:sz w:val="22"/>
          <w:szCs w:val="22"/>
        </w:rPr>
        <w:t xml:space="preserve">Kamei et al. (2013). 'A Large-Scale Empirical Study of Just-in-Time Quality Assurance.' IEEE TSE.</w:t>
      </w:r>
    </w:p>
    <w:p>
      <w:pPr>
        <w:spacing w:after="100"/>
      </w:pPr>
      <w:r>
        <w:rPr>
          <w:color w:val="555555"/>
          <w:sz w:val="22"/>
          <w:szCs w:val="22"/>
        </w:rPr>
        <w:t xml:space="preserve">Relevance: Our invalidation false-positive problem mirrors defect prediction: not every commit that touches a file is dangerous. The features used in JIT defect prediction (files changed, lines added, author experience, commit size) are usable as confidence signals for our invalidation alerts. Read Table 1 for the feature set.</w:t>
      </w:r>
    </w:p>
    <w:p>
      <w:pPr>
        <w:spacing w:after="100"/>
      </w:pPr>
      <w:r>
        <w:rPr>
          <w:color w:val="555555"/>
          <w:sz w:val="22"/>
          <w:szCs w:val="22"/>
        </w:rPr>
        <w:t xml:space="preserve">URL: https://ieeexplore.ieee.org/document/6341763</w:t>
      </w:r>
    </w:p>
    <w:p/>
    <w:p>
      <w:pPr>
        <w:pStyle w:val="Heading2"/>
        <w:spacing w:after="120" w:before="300"/>
      </w:pPr>
      <w:r>
        <w:t xml:space="preserve">6.4 Context Injection and Retrieval-Augmented Generation</w:t>
      </w:r>
    </w:p>
    <w:p>
      <w:pPr>
        <w:pStyle w:val="Heading3"/>
        <w:spacing w:after="100" w:before="200"/>
      </w:pPr>
      <w:r>
        <w:t xml:space="preserve">R10 — Retrieval-Augmented Generation</w:t>
      </w:r>
    </w:p>
    <w:p>
      <w:pPr>
        <w:spacing w:after="100"/>
      </w:pPr>
      <w:r>
        <w:rPr>
          <w:color w:val="555555"/>
          <w:sz w:val="22"/>
          <w:szCs w:val="22"/>
        </w:rPr>
        <w:t xml:space="preserve">Lewis et al. (2020). 'Retrieval-Augmented Generation for Knowledge-Intensive NLP Tasks.' NeurIPS 2020.</w:t>
      </w:r>
    </w:p>
    <w:p>
      <w:pPr>
        <w:spacing w:after="100"/>
      </w:pPr>
      <w:r>
        <w:rPr>
          <w:color w:val="555555"/>
          <w:sz w:val="22"/>
          <w:szCs w:val="22"/>
        </w:rPr>
        <w:t xml:space="preserve">Relevance: Our MCP context injection is a domain-specific RAG system. The graph traversal is the retriever; the LLM (Groq/Claude) is the generator. The paper's analysis of token budget trade-offs and retrieval precision requirements directly informs our context selection algorithm. Read Section 2 and Section 4.</w:t>
      </w:r>
    </w:p>
    <w:p>
      <w:pPr>
        <w:spacing w:after="100"/>
      </w:pPr>
      <w:r>
        <w:rPr>
          <w:color w:val="555555"/>
          <w:sz w:val="22"/>
          <w:szCs w:val="22"/>
        </w:rPr>
        <w:t xml:space="preserve">URL: https://arxiv.org/abs/2005.11401</w:t>
      </w:r>
    </w:p>
    <w:p/>
    <w:p>
      <w:pPr>
        <w:pStyle w:val="Heading3"/>
        <w:spacing w:after="100" w:before="200"/>
      </w:pPr>
      <w:r>
        <w:t xml:space="preserve">R11 — GraphRAG</w:t>
      </w:r>
    </w:p>
    <w:p>
      <w:pPr>
        <w:spacing w:after="100"/>
      </w:pPr>
      <w:r>
        <w:rPr>
          <w:color w:val="555555"/>
          <w:sz w:val="22"/>
          <w:szCs w:val="22"/>
        </w:rPr>
        <w:t xml:space="preserve">Edge et al. (2024). 'From Local to Global: A Graph RAG Approach to Query-Focused Summarization.' Microsoft Research.</w:t>
      </w:r>
    </w:p>
    <w:p>
      <w:pPr>
        <w:spacing w:after="100"/>
      </w:pPr>
      <w:r>
        <w:rPr>
          <w:color w:val="555555"/>
          <w:sz w:val="22"/>
          <w:szCs w:val="22"/>
        </w:rPr>
        <w:t xml:space="preserve">Relevance: Microsoft's GraphRAG uses a knowledge graph as the retrieval corpus instead of flat document chunks. This is structurally identical to what we do. The paper's community detection approach for summarization is relevant to our project-level context export. Read Section 3 on graph-based retrieval.</w:t>
      </w:r>
    </w:p>
    <w:p>
      <w:pPr>
        <w:spacing w:after="100"/>
      </w:pPr>
      <w:r>
        <w:rPr>
          <w:color w:val="555555"/>
          <w:sz w:val="22"/>
          <w:szCs w:val="22"/>
        </w:rPr>
        <w:t xml:space="preserve">URL: https://arxiv.org/abs/2404.16130</w:t>
      </w:r>
    </w:p>
    <w:p/>
    <w:p>
      <w:pPr>
        <w:pStyle w:val="Heading3"/>
        <w:spacing w:after="100" w:before="200"/>
      </w:pPr>
      <w:r>
        <w:t xml:space="preserve">R12 — Dense Passage Retrieval</w:t>
      </w:r>
    </w:p>
    <w:p>
      <w:pPr>
        <w:spacing w:after="100"/>
      </w:pPr>
      <w:r>
        <w:rPr>
          <w:color w:val="555555"/>
          <w:sz w:val="22"/>
          <w:szCs w:val="22"/>
        </w:rPr>
        <w:t xml:space="preserve">Karpukhin et al. (2020). 'Dense Passage Retrieval for Open-Domain Question Answering.' EMNLP 2020.</w:t>
      </w:r>
    </w:p>
    <w:p>
      <w:pPr>
        <w:spacing w:after="100"/>
      </w:pPr>
      <w:r>
        <w:rPr>
          <w:color w:val="555555"/>
          <w:sz w:val="22"/>
          <w:szCs w:val="22"/>
        </w:rPr>
        <w:t xml:space="preserve">Relevance: When a developer asks 'why SafePay?', we use semantic similarity between the query and decision reasoning texts to retrieve the right nodes. DPR's bi-encoder architecture is the basis for our retrieval embedding model. In practice we use sentence-transformers/all-MiniLM-L6-v2 as a lightweight implementation. Read Section 2.</w:t>
      </w:r>
    </w:p>
    <w:p>
      <w:pPr>
        <w:spacing w:after="100"/>
      </w:pPr>
      <w:r>
        <w:rPr>
          <w:color w:val="555555"/>
          <w:sz w:val="22"/>
          <w:szCs w:val="22"/>
        </w:rPr>
        <w:t xml:space="preserve">URL: https://arxiv.org/abs/2004.04906</w:t>
      </w:r>
    </w:p>
    <w:p/>
    <w:p>
      <w:pPr>
        <w:pStyle w:val="Heading2"/>
        <w:spacing w:after="120" w:before="300"/>
      </w:pPr>
      <w:r>
        <w:t xml:space="preserve">6.5 Multi-Repository and Codebase Understanding</w:t>
      </w:r>
    </w:p>
    <w:p>
      <w:pPr>
        <w:pStyle w:val="Heading3"/>
        <w:spacing w:after="100" w:before="200"/>
      </w:pPr>
      <w:r>
        <w:t xml:space="preserve">R13 — CodeBERT</w:t>
      </w:r>
    </w:p>
    <w:p>
      <w:pPr>
        <w:spacing w:after="100"/>
      </w:pPr>
      <w:r>
        <w:rPr>
          <w:color w:val="555555"/>
          <w:sz w:val="22"/>
          <w:szCs w:val="22"/>
        </w:rPr>
        <w:t xml:space="preserve">Feng et al. (2020). 'CodeBERT: A Pre-Trained Model for Programming and Natural Languages.' EMNLP 2020.</w:t>
      </w:r>
    </w:p>
    <w:p>
      <w:pPr>
        <w:spacing w:after="100"/>
      </w:pPr>
      <w:r>
        <w:rPr>
          <w:color w:val="555555"/>
          <w:sz w:val="22"/>
          <w:szCs w:val="22"/>
        </w:rPr>
        <w:t xml:space="preserve">Relevance: Our CodeAgent must infer what a source file does from its code without executing it. CodeBERT provides code-aware embeddings that our coherence check for multi-repo linking uses: two repos whose component embeddings are semantically distant are likely from different projects. Read Section 3 on the pre-training tasks.</w:t>
      </w:r>
    </w:p>
    <w:p>
      <w:pPr>
        <w:spacing w:after="100"/>
      </w:pPr>
      <w:r>
        <w:rPr>
          <w:color w:val="555555"/>
          <w:sz w:val="22"/>
          <w:szCs w:val="22"/>
        </w:rPr>
        <w:t xml:space="preserve">URL: https://arxiv.org/abs/2002.08155</w:t>
      </w:r>
    </w:p>
    <w:p/>
    <w:p>
      <w:pPr>
        <w:pStyle w:val="Heading3"/>
        <w:spacing w:after="100" w:before="200"/>
      </w:pPr>
      <w:r>
        <w:t xml:space="preserve">R14 — Software Architecture Recovery</w:t>
      </w:r>
    </w:p>
    <w:p>
      <w:pPr>
        <w:spacing w:after="100"/>
      </w:pPr>
      <w:r>
        <w:rPr>
          <w:color w:val="555555"/>
          <w:sz w:val="22"/>
          <w:szCs w:val="22"/>
        </w:rPr>
        <w:t xml:space="preserve">Ducasse &amp; Pollet (2009). 'Software Architecture Reconstruction: A Process-Oriented Taxonomy.' IEEE TSE.</w:t>
      </w:r>
    </w:p>
    <w:p>
      <w:pPr>
        <w:spacing w:after="100"/>
      </w:pPr>
      <w:r>
        <w:rPr>
          <w:color w:val="555555"/>
          <w:sz w:val="22"/>
          <w:szCs w:val="22"/>
        </w:rPr>
        <w:t xml:space="preserve">Relevance: Our CodeAgent performs a simplified form of architecture recovery—inferring component boundaries from file structure and imports. This taxonomy classifies our approach as 'static analysis + clustering' and identifies its limitations (monorepos, dynamic imports). Read Section 3.</w:t>
      </w:r>
    </w:p>
    <w:p>
      <w:pPr>
        <w:spacing w:after="100"/>
      </w:pPr>
      <w:r>
        <w:rPr>
          <w:color w:val="555555"/>
          <w:sz w:val="22"/>
          <w:szCs w:val="22"/>
        </w:rPr>
        <w:t xml:space="preserve">URL: https://ieeexplore.ieee.org/document/4762806</w:t>
      </w:r>
    </w:p>
    <w:p/>
    <w:p>
      <w:r>
        <w:br w:type="page"/>
      </w:r>
    </w:p>
    <w:p>
      <w:pPr>
        <w:pStyle w:val="Heading1"/>
        <w:spacing w:after="160" w:before="400"/>
        <w:rPr>
          <w:b/>
          <w:bCs/>
          <w:color w:val="2E3F6F"/>
        </w:rPr>
      </w:pPr>
      <w:r>
        <w:t xml:space="preserve">7. Project Timeline — Five FYP Phases</w:t>
      </w:r>
    </w:p>
    <w:p>
      <w:pPr>
        <w:pStyle w:val="Heading2"/>
        <w:spacing w:after="120" w:before="300"/>
      </w:pPr>
      <w:r>
        <w:t xml:space="preserve">Phase 0 — Current State (Complete)</w:t>
      </w:r>
    </w:p>
    <w:p>
      <w:pPr>
        <w:spacing w:after="100"/>
      </w:pPr>
      <w:r>
        <w:rPr>
          <w:color w:val="555555"/>
          <w:sz w:val="22"/>
          <w:szCs w:val="22"/>
        </w:rPr>
        <w:t xml:space="preserve">The prototype specified in LogicVault_Prototype_Spec.md is the baseline. By the time of the proposal defense, Milestones 1 through 3 (data layer, manual decision entry, AI chat) should be demonstrable. Milestones 4-6 may be partially complete.</w:t>
      </w:r>
    </w:p>
    <w:p/>
    <w:p>
      <w:pPr>
        <w:pStyle w:val="Heading2"/>
        <w:spacing w:after="120" w:before="300"/>
      </w:pPr>
      <w:r>
        <w:t xml:space="preserve">Phase 1 — Proposal Defense</w:t>
      </w:r>
    </w:p>
    <w:p>
      <w:pPr>
        <w:spacing w:after="80"/>
      </w:pPr>
      <w:r>
        <w:rPr>
          <w:b/>
          <w:bCs/>
          <w:color w:val="1A1A1A"/>
          <w:sz w:val="22"/>
          <w:szCs w:val="22"/>
        </w:rPr>
        <w:t xml:space="preserve">Target: Demonstrate feasibility of the core claim.</w:t>
      </w:r>
    </w:p>
    <w:p>
      <w:pPr>
        <w:spacing w:after="100"/>
      </w:pPr>
      <w:r>
        <w:rPr>
          <w:color w:val="555555"/>
          <w:sz w:val="22"/>
          <w:szCs w:val="22"/>
        </w:rPr>
        <w:t xml:space="preserve">The panel must see that decision extraction from a document works, that the graph stores and serves it, and that an AI chat can answer a question citing that decision. This is not a polished product—it is a proof of concept that the hardest technical risk (LLM-based extraction into a queryable graph) is real and working.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400"/>
      </w:tblGrid>
      <w:tr>
        <w:trPr>
          <w:tblHeader/>
        </w:trPr>
        <w:tc>
          <w:tcPr>
            <w:tcW w:type="dxa" w:w="2800"/>
            <w:shd w:fill="2E3F6F" w:val="clear"/>
          </w:tcPr>
          <w:p>
            <w:pPr>
              <w:spacing w:after="80" w:before="80"/>
              <w:ind w:left="80"/>
            </w:pPr>
            <w:r>
              <w:rPr>
                <w:b/>
                <w:bCs/>
                <w:color w:val="FFFFFF"/>
                <w:sz w:val="20"/>
                <w:szCs w:val="20"/>
              </w:rPr>
              <w:t xml:space="preserve">Deliverable</w:t>
            </w:r>
          </w:p>
        </w:tc>
        <w:tc>
          <w:tcPr>
            <w:tcW w:type="dxa" w:w="1400"/>
            <w:shd w:fill="2E3F6F" w:val="clear"/>
          </w:tcPr>
          <w:p>
            <w:pPr>
              <w:spacing w:after="80" w:before="80"/>
              <w:ind w:left="80"/>
            </w:pPr>
            <w:r>
              <w:rPr>
                <w:b/>
                <w:bCs/>
                <w:color w:val="FFFFFF"/>
                <w:sz w:val="20"/>
                <w:szCs w:val="20"/>
              </w:rPr>
              <w:t xml:space="preserve">Owner</w:t>
            </w:r>
          </w:p>
        </w:tc>
        <w:tc>
          <w:tcPr>
            <w:tcW w:type="dxa" w:w="4400"/>
            <w:shd w:fill="2E3F6F" w:val="clear"/>
          </w:tcPr>
          <w:p>
            <w:pPr>
              <w:spacing w:after="80" w:before="80"/>
              <w:ind w:left="80"/>
            </w:pPr>
            <w:r>
              <w:rPr>
                <w:b/>
                <w:bCs/>
                <w:color w:val="FFFFFF"/>
                <w:sz w:val="20"/>
                <w:szCs w:val="20"/>
              </w:rPr>
              <w:t xml:space="preserve">Acceptance Criterion</w:t>
            </w:r>
          </w:p>
        </w:tc>
      </w:tr>
      <w:tr>
        <w:tc>
          <w:tcPr>
            <w:tcW w:type="dxa" w:w="2800"/>
            <w:shd w:fill="F9FAFB" w:val="clear"/>
          </w:tcPr>
          <w:p>
            <w:pPr>
              <w:spacing w:after="60" w:before="60"/>
              <w:ind w:left="80"/>
            </w:pPr>
            <w:r>
              <w:rPr>
                <w:color w:val="555555"/>
                <w:sz w:val="20"/>
                <w:szCs w:val="20"/>
              </w:rPr>
              <w:t xml:space="preserve">Working Neo4j graph with Decision + Component nodes</w:t>
            </w:r>
          </w:p>
        </w:tc>
        <w:tc>
          <w:tcPr>
            <w:tcW w:type="dxa" w:w="1400"/>
            <w:shd w:fill="F9FAFB" w:val="clear"/>
          </w:tcPr>
          <w:p>
            <w:pPr>
              <w:spacing w:after="60" w:before="60"/>
              <w:ind w:left="80"/>
            </w:pPr>
            <w:r>
              <w:rPr>
                <w:color w:val="555555"/>
                <w:sz w:val="20"/>
                <w:szCs w:val="20"/>
              </w:rPr>
              <w:t xml:space="preserve">Usman</w:t>
            </w:r>
          </w:p>
        </w:tc>
        <w:tc>
          <w:tcPr>
            <w:tcW w:type="dxa" w:w="4400"/>
            <w:shd w:fill="F9FAFB" w:val="clear"/>
          </w:tcPr>
          <w:p>
            <w:pPr>
              <w:spacing w:after="60" w:before="60"/>
              <w:ind w:left="80"/>
            </w:pPr>
            <w:r>
              <w:rPr>
                <w:color w:val="555555"/>
                <w:sz w:val="20"/>
                <w:szCs w:val="20"/>
              </w:rPr>
              <w:t xml:space="preserve">Can run Cypher queries returning decision data</w:t>
            </w:r>
          </w:p>
        </w:tc>
      </w:tr>
      <w:tr>
        <w:tc>
          <w:tcPr>
            <w:tcW w:type="dxa" w:w="2800"/>
            <w:shd w:fill="FFFFFF" w:val="clear"/>
          </w:tcPr>
          <w:p>
            <w:pPr>
              <w:spacing w:after="60" w:before="60"/>
              <w:ind w:left="80"/>
            </w:pPr>
            <w:r>
              <w:rPr>
                <w:color w:val="555555"/>
                <w:sz w:val="20"/>
                <w:szCs w:val="20"/>
              </w:rPr>
              <w:t xml:space="preserve">DocumentAgent extracts at least 3 decisions from sample transcript</w:t>
            </w:r>
          </w:p>
        </w:tc>
        <w:tc>
          <w:tcPr>
            <w:tcW w:type="dxa" w:w="1400"/>
            <w:shd w:fill="FFFFFF" w:val="clear"/>
          </w:tcPr>
          <w:p>
            <w:pPr>
              <w:spacing w:after="60" w:before="60"/>
              <w:ind w:left="80"/>
            </w:pPr>
            <w:r>
              <w:rPr>
                <w:color w:val="555555"/>
                <w:sz w:val="20"/>
                <w:szCs w:val="20"/>
              </w:rPr>
              <w:t xml:space="preserve">Shahmeer</w:t>
            </w:r>
          </w:p>
        </w:tc>
        <w:tc>
          <w:tcPr>
            <w:tcW w:type="dxa" w:w="4400"/>
            <w:shd w:fill="FFFFFF" w:val="clear"/>
          </w:tcPr>
          <w:p>
            <w:pPr>
              <w:spacing w:after="60" w:before="60"/>
              <w:ind w:left="80"/>
            </w:pPr>
            <w:r>
              <w:rPr>
                <w:color w:val="555555"/>
                <w:sz w:val="20"/>
                <w:szCs w:val="20"/>
              </w:rPr>
              <w:t xml:space="preserve">Precision ≥ 60% on 10 manually verified decisions</w:t>
            </w:r>
          </w:p>
        </w:tc>
      </w:tr>
      <w:tr>
        <w:tc>
          <w:tcPr>
            <w:tcW w:type="dxa" w:w="2800"/>
            <w:shd w:fill="F9FAFB" w:val="clear"/>
          </w:tcPr>
          <w:p>
            <w:pPr>
              <w:spacing w:after="60" w:before="60"/>
              <w:ind w:left="80"/>
            </w:pPr>
            <w:r>
              <w:rPr>
                <w:color w:val="555555"/>
                <w:sz w:val="20"/>
                <w:szCs w:val="20"/>
              </w:rPr>
              <w:t xml:space="preserve">Chat endpoint returns grounded answer citing a decision node</w:t>
            </w:r>
          </w:p>
        </w:tc>
        <w:tc>
          <w:tcPr>
            <w:tcW w:type="dxa" w:w="1400"/>
            <w:shd w:fill="F9FAFB" w:val="clear"/>
          </w:tcPr>
          <w:p>
            <w:pPr>
              <w:spacing w:after="60" w:before="60"/>
              <w:ind w:left="80"/>
            </w:pPr>
            <w:r>
              <w:rPr>
                <w:color w:val="555555"/>
                <w:sz w:val="20"/>
                <w:szCs w:val="20"/>
              </w:rPr>
              <w:t xml:space="preserve">Umar</w:t>
            </w:r>
          </w:p>
        </w:tc>
        <w:tc>
          <w:tcPr>
            <w:tcW w:type="dxa" w:w="4400"/>
            <w:shd w:fill="F9FAFB" w:val="clear"/>
          </w:tcPr>
          <w:p>
            <w:pPr>
              <w:spacing w:after="60" w:before="60"/>
              <w:ind w:left="80"/>
            </w:pPr>
            <w:r>
              <w:rPr>
                <w:color w:val="555555"/>
                <w:sz w:val="20"/>
                <w:szCs w:val="20"/>
              </w:rPr>
              <w:t xml:space="preserve">Answer cites decision ID, title, and reasoning source</w:t>
            </w:r>
          </w:p>
        </w:tc>
      </w:tr>
      <w:tr>
        <w:tc>
          <w:tcPr>
            <w:tcW w:type="dxa" w:w="2800"/>
            <w:shd w:fill="FFFFFF" w:val="clear"/>
          </w:tcPr>
          <w:p>
            <w:pPr>
              <w:spacing w:after="60" w:before="60"/>
              <w:ind w:left="80"/>
            </w:pPr>
            <w:r>
              <w:rPr>
                <w:color w:val="555555"/>
                <w:sz w:val="20"/>
                <w:szCs w:val="20"/>
              </w:rPr>
              <w:t xml:space="preserve">Graph visualization page renders nodes and edges</w:t>
            </w:r>
          </w:p>
        </w:tc>
        <w:tc>
          <w:tcPr>
            <w:tcW w:type="dxa" w:w="1400"/>
            <w:shd w:fill="FFFFFF" w:val="clear"/>
          </w:tcPr>
          <w:p>
            <w:pPr>
              <w:spacing w:after="60" w:before="60"/>
              <w:ind w:left="80"/>
            </w:pPr>
            <w:r>
              <w:rPr>
                <w:color w:val="555555"/>
                <w:sz w:val="20"/>
                <w:szCs w:val="20"/>
              </w:rPr>
              <w:t xml:space="preserve">Usman</w:t>
            </w:r>
          </w:p>
        </w:tc>
        <w:tc>
          <w:tcPr>
            <w:tcW w:type="dxa" w:w="4400"/>
            <w:shd w:fill="FFFFFF" w:val="clear"/>
          </w:tcPr>
          <w:p>
            <w:pPr>
              <w:spacing w:after="60" w:before="60"/>
              <w:ind w:left="80"/>
            </w:pPr>
            <w:r>
              <w:rPr>
                <w:color w:val="555555"/>
                <w:sz w:val="20"/>
                <w:szCs w:val="20"/>
              </w:rPr>
              <w:t xml:space="preserve">Viewable in browser, at least 10 nodes rendered</w:t>
            </w:r>
          </w:p>
        </w:tc>
      </w:tr>
      <w:tr>
        <w:tc>
          <w:tcPr>
            <w:tcW w:type="dxa" w:w="2800"/>
            <w:shd w:fill="F9FAFB" w:val="clear"/>
          </w:tcPr>
          <w:p>
            <w:pPr>
              <w:spacing w:after="60" w:before="60"/>
              <w:ind w:left="80"/>
            </w:pPr>
            <w:r>
              <w:rPr>
                <w:color w:val="555555"/>
                <w:sz w:val="20"/>
                <w:szCs w:val="20"/>
              </w:rPr>
              <w:t xml:space="preserve">POC slide deck showing the 9-step demo flow</w:t>
            </w:r>
          </w:p>
        </w:tc>
        <w:tc>
          <w:tcPr>
            <w:tcW w:type="dxa" w:w="1400"/>
            <w:shd w:fill="F9FAFB" w:val="clear"/>
          </w:tcPr>
          <w:p>
            <w:pPr>
              <w:spacing w:after="60" w:before="60"/>
              <w:ind w:left="80"/>
            </w:pPr>
            <w:r>
              <w:rPr>
                <w:color w:val="555555"/>
                <w:sz w:val="20"/>
                <w:szCs w:val="20"/>
              </w:rPr>
              <w:t xml:space="preserve">All</w:t>
            </w:r>
          </w:p>
        </w:tc>
        <w:tc>
          <w:tcPr>
            <w:tcW w:type="dxa" w:w="4400"/>
            <w:shd w:fill="F9FAFB" w:val="clear"/>
          </w:tcPr>
          <w:p>
            <w:pPr>
              <w:spacing w:after="60" w:before="60"/>
              <w:ind w:left="80"/>
            </w:pPr>
            <w:r>
              <w:rPr>
                <w:color w:val="555555"/>
                <w:sz w:val="20"/>
                <w:szCs w:val="20"/>
              </w:rPr>
              <w:t xml:space="preserve">Panel can see each step demonstrated, not described</w:t>
            </w:r>
          </w:p>
        </w:tc>
      </w:tr>
    </w:tbl>
    <w:p/>
    <w:p>
      <w:pPr>
        <w:pStyle w:val="Heading2"/>
        <w:spacing w:after="120" w:before="300"/>
      </w:pPr>
      <w:r>
        <w:t xml:space="preserve">Phase 2 — FYP-1 Mid (Mid-1)</w:t>
      </w:r>
    </w:p>
    <w:p>
      <w:pPr>
        <w:spacing w:after="80"/>
      </w:pPr>
      <w:r>
        <w:rPr>
          <w:b/>
          <w:bCs/>
          <w:color w:val="1A1A1A"/>
          <w:sz w:val="22"/>
          <w:szCs w:val="22"/>
        </w:rPr>
        <w:t xml:space="preserve">Target: All ingestion sources working. Invalidation engine functional. System integrated end to end.</w:t>
      </w:r>
    </w:p>
    <w:p>
      <w:pPr>
        <w:spacing w:after="100"/>
      </w:pPr>
      <w:r>
        <w:rPr>
          <w:color w:val="555555"/>
          <w:sz w:val="22"/>
          <w:szCs w:val="22"/>
        </w:rPr>
        <w:t xml:space="preserve">By Mid-1, a supervisor should be able to create a project, add a Gitea repo, upload a meeting transcript, and have the system automatically populate a knowledge graph that is queryable through chat. The invalidation alert should fire when a commit touches a linked component.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400"/>
      </w:tblGrid>
      <w:tr>
        <w:trPr>
          <w:tblHeader/>
        </w:trPr>
        <w:tc>
          <w:tcPr>
            <w:tcW w:type="dxa" w:w="2600"/>
            <w:shd w:fill="2E3F6F" w:val="clear"/>
          </w:tcPr>
          <w:p>
            <w:pPr>
              <w:spacing w:after="80" w:before="80"/>
              <w:ind w:left="80"/>
            </w:pPr>
            <w:r>
              <w:rPr>
                <w:b/>
                <w:bCs/>
                <w:color w:val="FFFFFF"/>
                <w:sz w:val="20"/>
                <w:szCs w:val="20"/>
              </w:rPr>
              <w:t xml:space="preserve">Feature</w:t>
            </w:r>
          </w:p>
        </w:tc>
        <w:tc>
          <w:tcPr>
            <w:tcW w:type="dxa" w:w="1600"/>
            <w:shd w:fill="2E3F6F" w:val="clear"/>
          </w:tcPr>
          <w:p>
            <w:pPr>
              <w:spacing w:after="80" w:before="80"/>
              <w:ind w:left="80"/>
            </w:pPr>
            <w:r>
              <w:rPr>
                <w:b/>
                <w:bCs/>
                <w:color w:val="FFFFFF"/>
                <w:sz w:val="20"/>
                <w:szCs w:val="20"/>
              </w:rPr>
              <w:t xml:space="preserve">Status at Mid-1</w:t>
            </w:r>
          </w:p>
        </w:tc>
        <w:tc>
          <w:tcPr>
            <w:tcW w:type="dxa" w:w="4400"/>
            <w:shd w:fill="2E3F6F" w:val="clear"/>
          </w:tcPr>
          <w:p>
            <w:pPr>
              <w:spacing w:after="80" w:before="80"/>
              <w:ind w:left="80"/>
            </w:pPr>
            <w:r>
              <w:rPr>
                <w:b/>
                <w:bCs/>
                <w:color w:val="FFFFFF"/>
                <w:sz w:val="20"/>
                <w:szCs w:val="20"/>
              </w:rPr>
              <w:t xml:space="preserve">Measurable Target</w:t>
            </w:r>
          </w:p>
        </w:tc>
      </w:tr>
      <w:tr>
        <w:tc>
          <w:tcPr>
            <w:tcW w:type="dxa" w:w="2600"/>
            <w:shd w:fill="F9FAFB" w:val="clear"/>
          </w:tcPr>
          <w:p>
            <w:pPr>
              <w:spacing w:after="60" w:before="60"/>
              <w:ind w:left="80"/>
            </w:pPr>
            <w:r>
              <w:rPr>
                <w:color w:val="555555"/>
                <w:sz w:val="20"/>
                <w:szCs w:val="20"/>
              </w:rPr>
              <w:t xml:space="preserve">Gitea webhook integration (commits, PRs, issues)</w:t>
            </w:r>
          </w:p>
        </w:tc>
        <w:tc>
          <w:tcPr>
            <w:tcW w:type="dxa" w:w="1600"/>
            <w:shd w:fill="F9FAFB" w:val="clear"/>
          </w:tcPr>
          <w:p>
            <w:pPr>
              <w:spacing w:after="60" w:before="60"/>
              <w:ind w:left="80"/>
            </w:pPr>
            <w:r>
              <w:rPr>
                <w:color w:val="555555"/>
                <w:sz w:val="20"/>
                <w:szCs w:val="20"/>
              </w:rPr>
              <w:t xml:space="preserve">Complete</w:t>
            </w:r>
          </w:p>
        </w:tc>
        <w:tc>
          <w:tcPr>
            <w:tcW w:type="dxa" w:w="4400"/>
            <w:shd w:fill="F9FAFB" w:val="clear"/>
          </w:tcPr>
          <w:p>
            <w:pPr>
              <w:spacing w:after="60" w:before="60"/>
              <w:ind w:left="80"/>
            </w:pPr>
            <w:r>
              <w:rPr>
                <w:color w:val="555555"/>
                <w:sz w:val="20"/>
                <w:szCs w:val="20"/>
              </w:rPr>
              <w:t xml:space="preserve">Webhook fires within 5s of a push; commit node created in graph</w:t>
            </w:r>
          </w:p>
        </w:tc>
      </w:tr>
      <w:tr>
        <w:tc>
          <w:tcPr>
            <w:tcW w:type="dxa" w:w="2600"/>
            <w:shd w:fill="FFFFFF" w:val="clear"/>
          </w:tcPr>
          <w:p>
            <w:pPr>
              <w:spacing w:after="60" w:before="60"/>
              <w:ind w:left="80"/>
            </w:pPr>
            <w:r>
              <w:rPr>
                <w:color w:val="555555"/>
                <w:sz w:val="20"/>
                <w:szCs w:val="20"/>
              </w:rPr>
              <w:t xml:space="preserve">GiteaAgent — full sync of repo history</w:t>
            </w:r>
          </w:p>
        </w:tc>
        <w:tc>
          <w:tcPr>
            <w:tcW w:type="dxa" w:w="1600"/>
            <w:shd w:fill="FFFFFF" w:val="clear"/>
          </w:tcPr>
          <w:p>
            <w:pPr>
              <w:spacing w:after="60" w:before="60"/>
              <w:ind w:left="80"/>
            </w:pPr>
            <w:r>
              <w:rPr>
                <w:color w:val="555555"/>
                <w:sz w:val="20"/>
                <w:szCs w:val="20"/>
              </w:rPr>
              <w:t xml:space="preserve">Complete</w:t>
            </w:r>
          </w:p>
        </w:tc>
        <w:tc>
          <w:tcPr>
            <w:tcW w:type="dxa" w:w="4400"/>
            <w:shd w:fill="FFFFFF" w:val="clear"/>
          </w:tcPr>
          <w:p>
            <w:pPr>
              <w:spacing w:after="60" w:before="60"/>
              <w:ind w:left="80"/>
            </w:pPr>
            <w:r>
              <w:rPr>
                <w:color w:val="555555"/>
                <w:sz w:val="20"/>
                <w:szCs w:val="20"/>
              </w:rPr>
              <w:t xml:space="preserve">All commits and issues from past 3 months ingested for sample repo</w:t>
            </w:r>
          </w:p>
        </w:tc>
      </w:tr>
      <w:tr>
        <w:tc>
          <w:tcPr>
            <w:tcW w:type="dxa" w:w="2600"/>
            <w:shd w:fill="F9FAFB" w:val="clear"/>
          </w:tcPr>
          <w:p>
            <w:pPr>
              <w:spacing w:after="60" w:before="60"/>
              <w:ind w:left="80"/>
            </w:pPr>
            <w:r>
              <w:rPr>
                <w:color w:val="555555"/>
                <w:sz w:val="20"/>
                <w:szCs w:val="20"/>
              </w:rPr>
              <w:t xml:space="preserve">CodeAgent — component inference from file structure</w:t>
            </w:r>
          </w:p>
        </w:tc>
        <w:tc>
          <w:tcPr>
            <w:tcW w:type="dxa" w:w="1600"/>
            <w:shd w:fill="F9FAFB" w:val="clear"/>
          </w:tcPr>
          <w:p>
            <w:pPr>
              <w:spacing w:after="60" w:before="60"/>
              <w:ind w:left="80"/>
            </w:pPr>
            <w:r>
              <w:rPr>
                <w:color w:val="555555"/>
                <w:sz w:val="20"/>
                <w:szCs w:val="20"/>
              </w:rPr>
              <w:t xml:space="preserve">Complete</w:t>
            </w:r>
          </w:p>
        </w:tc>
        <w:tc>
          <w:tcPr>
            <w:tcW w:type="dxa" w:w="4400"/>
            <w:shd w:fill="F9FAFB" w:val="clear"/>
          </w:tcPr>
          <w:p>
            <w:pPr>
              <w:spacing w:after="60" w:before="60"/>
              <w:ind w:left="80"/>
            </w:pPr>
            <w:r>
              <w:rPr>
                <w:color w:val="555555"/>
                <w:sz w:val="20"/>
                <w:szCs w:val="20"/>
              </w:rPr>
              <w:t xml:space="preserve">≥ 80% of identified components match manual annotation</w:t>
            </w:r>
          </w:p>
        </w:tc>
      </w:tr>
      <w:tr>
        <w:tc>
          <w:tcPr>
            <w:tcW w:type="dxa" w:w="2600"/>
            <w:shd w:fill="FFFFFF" w:val="clear"/>
          </w:tcPr>
          <w:p>
            <w:pPr>
              <w:spacing w:after="60" w:before="60"/>
              <w:ind w:left="80"/>
            </w:pPr>
            <w:r>
              <w:rPr>
                <w:color w:val="555555"/>
                <w:sz w:val="20"/>
                <w:szCs w:val="20"/>
              </w:rPr>
              <w:t xml:space="preserve">Invalidation engine — file change → needs_review</w:t>
            </w:r>
          </w:p>
        </w:tc>
        <w:tc>
          <w:tcPr>
            <w:tcW w:type="dxa" w:w="1600"/>
            <w:shd w:fill="FFFFFF" w:val="clear"/>
          </w:tcPr>
          <w:p>
            <w:pPr>
              <w:spacing w:after="60" w:before="60"/>
              <w:ind w:left="80"/>
            </w:pPr>
            <w:r>
              <w:rPr>
                <w:color w:val="555555"/>
                <w:sz w:val="20"/>
                <w:szCs w:val="20"/>
              </w:rPr>
              <w:t xml:space="preserve">Complete</w:t>
            </w:r>
          </w:p>
        </w:tc>
        <w:tc>
          <w:tcPr>
            <w:tcW w:type="dxa" w:w="4400"/>
            <w:shd w:fill="FFFFFF" w:val="clear"/>
          </w:tcPr>
          <w:p>
            <w:pPr>
              <w:spacing w:after="60" w:before="60"/>
              <w:ind w:left="80"/>
            </w:pPr>
            <w:r>
              <w:rPr>
                <w:color w:val="555555"/>
                <w:sz w:val="20"/>
                <w:szCs w:val="20"/>
              </w:rPr>
              <w:t xml:space="preserve">False positive rate &lt; 30% on 20 test commits</w:t>
            </w:r>
          </w:p>
        </w:tc>
      </w:tr>
      <w:tr>
        <w:tc>
          <w:tcPr>
            <w:tcW w:type="dxa" w:w="2600"/>
            <w:shd w:fill="F9FAFB" w:val="clear"/>
          </w:tcPr>
          <w:p>
            <w:pPr>
              <w:spacing w:after="60" w:before="60"/>
              <w:ind w:left="80"/>
            </w:pPr>
            <w:r>
              <w:rPr>
                <w:color w:val="555555"/>
                <w:sz w:val="20"/>
                <w:szCs w:val="20"/>
              </w:rPr>
              <w:t xml:space="preserve">Alerts dashboard</w:t>
            </w:r>
          </w:p>
        </w:tc>
        <w:tc>
          <w:tcPr>
            <w:tcW w:type="dxa" w:w="1600"/>
            <w:shd w:fill="F9FAFB" w:val="clear"/>
          </w:tcPr>
          <w:p>
            <w:pPr>
              <w:spacing w:after="60" w:before="60"/>
              <w:ind w:left="80"/>
            </w:pPr>
            <w:r>
              <w:rPr>
                <w:color w:val="555555"/>
                <w:sz w:val="20"/>
                <w:szCs w:val="20"/>
              </w:rPr>
              <w:t xml:space="preserve">Complete</w:t>
            </w:r>
          </w:p>
        </w:tc>
        <w:tc>
          <w:tcPr>
            <w:tcW w:type="dxa" w:w="4400"/>
            <w:shd w:fill="F9FAFB" w:val="clear"/>
          </w:tcPr>
          <w:p>
            <w:pPr>
              <w:spacing w:after="60" w:before="60"/>
              <w:ind w:left="80"/>
            </w:pPr>
            <w:r>
              <w:rPr>
                <w:color w:val="555555"/>
                <w:sz w:val="20"/>
                <w:szCs w:val="20"/>
              </w:rPr>
              <w:t xml:space="preserve">UI shows needs_review decisions with linked commit</w:t>
            </w:r>
          </w:p>
        </w:tc>
      </w:tr>
      <w:tr>
        <w:tc>
          <w:tcPr>
            <w:tcW w:type="dxa" w:w="2600"/>
            <w:shd w:fill="FFFFFF" w:val="clear"/>
          </w:tcPr>
          <w:p>
            <w:pPr>
              <w:spacing w:after="60" w:before="60"/>
              <w:ind w:left="80"/>
            </w:pPr>
            <w:r>
              <w:rPr>
                <w:color w:val="555555"/>
                <w:sz w:val="20"/>
                <w:szCs w:val="20"/>
              </w:rPr>
              <w:t xml:space="preserve">Multi-repo project model — single repo support hardened</w:t>
            </w:r>
          </w:p>
        </w:tc>
        <w:tc>
          <w:tcPr>
            <w:tcW w:type="dxa" w:w="1600"/>
            <w:shd w:fill="FFFFFF" w:val="clear"/>
          </w:tcPr>
          <w:p>
            <w:pPr>
              <w:spacing w:after="60" w:before="60"/>
              <w:ind w:left="80"/>
            </w:pPr>
            <w:r>
              <w:rPr>
                <w:color w:val="555555"/>
                <w:sz w:val="20"/>
                <w:szCs w:val="20"/>
              </w:rPr>
              <w:t xml:space="preserve">Complete</w:t>
            </w:r>
          </w:p>
        </w:tc>
        <w:tc>
          <w:tcPr>
            <w:tcW w:type="dxa" w:w="4400"/>
            <w:shd w:fill="FFFFFF" w:val="clear"/>
          </w:tcPr>
          <w:p>
            <w:pPr>
              <w:spacing w:after="60" w:before="60"/>
              <w:ind w:left="80"/>
            </w:pPr>
            <w:r>
              <w:rPr>
                <w:color w:val="555555"/>
                <w:sz w:val="20"/>
                <w:szCs w:val="20"/>
              </w:rPr>
              <w:t xml:space="preserve">Project CRUD working; repo linked to project</w:t>
            </w:r>
          </w:p>
        </w:tc>
      </w:tr>
      <w:tr>
        <w:tc>
          <w:tcPr>
            <w:tcW w:type="dxa" w:w="2600"/>
            <w:shd w:fill="F9FAFB" w:val="clear"/>
          </w:tcPr>
          <w:p>
            <w:pPr>
              <w:spacing w:after="60" w:before="60"/>
              <w:ind w:left="80"/>
            </w:pPr>
            <w:r>
              <w:rPr>
                <w:color w:val="555555"/>
                <w:sz w:val="20"/>
                <w:szCs w:val="20"/>
              </w:rPr>
              <w:t xml:space="preserve">Decision extraction precision improvement</w:t>
            </w:r>
          </w:p>
        </w:tc>
        <w:tc>
          <w:tcPr>
            <w:tcW w:type="dxa" w:w="1600"/>
            <w:shd w:fill="F9FAFB" w:val="clear"/>
          </w:tcPr>
          <w:p>
            <w:pPr>
              <w:spacing w:after="60" w:before="60"/>
              <w:ind w:left="80"/>
            </w:pPr>
            <w:r>
              <w:rPr>
                <w:color w:val="555555"/>
                <w:sz w:val="20"/>
                <w:szCs w:val="20"/>
              </w:rPr>
              <w:t xml:space="preserve">Improved</w:t>
            </w:r>
          </w:p>
        </w:tc>
        <w:tc>
          <w:tcPr>
            <w:tcW w:type="dxa" w:w="4400"/>
            <w:shd w:fill="F9FAFB" w:val="clear"/>
          </w:tcPr>
          <w:p>
            <w:pPr>
              <w:spacing w:after="60" w:before="60"/>
              <w:ind w:left="80"/>
            </w:pPr>
            <w:r>
              <w:rPr>
                <w:color w:val="555555"/>
                <w:sz w:val="20"/>
                <w:szCs w:val="20"/>
              </w:rPr>
              <w:t xml:space="preserve">Precision ≥ 75% on held-out test set of 30 decisions</w:t>
            </w:r>
          </w:p>
        </w:tc>
      </w:tr>
      <w:tr>
        <w:tc>
          <w:tcPr>
            <w:tcW w:type="dxa" w:w="2600"/>
            <w:shd w:fill="FFFFFF" w:val="clear"/>
          </w:tcPr>
          <w:p>
            <w:pPr>
              <w:spacing w:after="60" w:before="60"/>
              <w:ind w:left="80"/>
            </w:pPr>
            <w:r>
              <w:rPr>
                <w:color w:val="555555"/>
                <w:sz w:val="20"/>
                <w:szCs w:val="20"/>
              </w:rPr>
              <w:t xml:space="preserve">SRS document</w:t>
            </w:r>
          </w:p>
        </w:tc>
        <w:tc>
          <w:tcPr>
            <w:tcW w:type="dxa" w:w="1600"/>
            <w:shd w:fill="FFFFFF" w:val="clear"/>
          </w:tcPr>
          <w:p>
            <w:pPr>
              <w:spacing w:after="60" w:before="60"/>
              <w:ind w:left="80"/>
            </w:pPr>
            <w:r>
              <w:rPr>
                <w:color w:val="555555"/>
                <w:sz w:val="20"/>
                <w:szCs w:val="20"/>
              </w:rPr>
              <w:t xml:space="preserve">Submitted</w:t>
            </w:r>
          </w:p>
        </w:tc>
        <w:tc>
          <w:tcPr>
            <w:tcW w:type="dxa" w:w="4400"/>
            <w:shd w:fill="FFFFFF" w:val="clear"/>
          </w:tcPr>
          <w:p>
            <w:pPr>
              <w:spacing w:after="60" w:before="60"/>
              <w:ind w:left="80"/>
            </w:pPr>
            <w:r>
              <w:rPr>
                <w:color w:val="555555"/>
                <w:sz w:val="20"/>
                <w:szCs w:val="20"/>
              </w:rPr>
              <w:t xml:space="preserve">Requirements uniquely identified with acceptance criteria</w:t>
            </w:r>
          </w:p>
        </w:tc>
      </w:tr>
    </w:tbl>
    <w:p/>
    <w:p>
      <w:pPr>
        <w:pStyle w:val="Heading2"/>
        <w:spacing w:after="120" w:before="300"/>
      </w:pPr>
      <w:r>
        <w:t xml:space="preserve">Phase 3 — FYP-1 Final (Final-1)</w:t>
      </w:r>
    </w:p>
    <w:p>
      <w:pPr>
        <w:spacing w:after="80"/>
      </w:pPr>
      <w:r>
        <w:rPr>
          <w:b/>
          <w:bCs/>
          <w:color w:val="1A1A1A"/>
          <w:sz w:val="22"/>
          <w:szCs w:val="22"/>
        </w:rPr>
        <w:t xml:space="preserve">Target: MCP server working. Multi-repo coherence check implemented. Core system complete.</w:t>
      </w:r>
    </w:p>
    <w:p>
      <w:pPr>
        <w:spacing w:after="100"/>
      </w:pPr>
      <w:r>
        <w:rPr>
          <w:color w:val="555555"/>
          <w:sz w:val="22"/>
          <w:szCs w:val="22"/>
        </w:rPr>
        <w:t xml:space="preserve">Final-1 is the hardest milestone. The MCP server transforms LogicVault from a query tool into an active memory layer. A developer using Claude Code should be able to open a file and receive automatic context about the decisions that affect it—without typing anything. This is the novel contribution of the project, and it must be demonstrable at Final-1.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000"/>
      </w:tblGrid>
      <w:tr>
        <w:trPr>
          <w:tblHeader/>
        </w:trPr>
        <w:tc>
          <w:tcPr>
            <w:tcW w:type="dxa" w:w="2800"/>
            <w:shd w:fill="2E3F6F" w:val="clear"/>
          </w:tcPr>
          <w:p>
            <w:pPr>
              <w:spacing w:after="80" w:before="80"/>
              <w:ind w:left="80"/>
            </w:pPr>
            <w:r>
              <w:rPr>
                <w:b/>
                <w:bCs/>
                <w:color w:val="FFFFFF"/>
                <w:sz w:val="20"/>
                <w:szCs w:val="20"/>
              </w:rPr>
              <w:t xml:space="preserve">Feature</w:t>
            </w:r>
          </w:p>
        </w:tc>
        <w:tc>
          <w:tcPr>
            <w:tcW w:type="dxa" w:w="1800"/>
            <w:shd w:fill="2E3F6F" w:val="clear"/>
          </w:tcPr>
          <w:p>
            <w:pPr>
              <w:spacing w:after="80" w:before="80"/>
              <w:ind w:left="80"/>
            </w:pPr>
            <w:r>
              <w:rPr>
                <w:b/>
                <w:bCs/>
                <w:color w:val="FFFFFF"/>
                <w:sz w:val="20"/>
                <w:szCs w:val="20"/>
              </w:rPr>
              <w:t xml:space="preserve">Status at Final-1</w:t>
            </w:r>
          </w:p>
        </w:tc>
        <w:tc>
          <w:tcPr>
            <w:tcW w:type="dxa" w:w="4000"/>
            <w:shd w:fill="2E3F6F" w:val="clear"/>
          </w:tcPr>
          <w:p>
            <w:pPr>
              <w:spacing w:after="80" w:before="80"/>
              <w:ind w:left="80"/>
            </w:pPr>
            <w:r>
              <w:rPr>
                <w:b/>
                <w:bCs/>
                <w:color w:val="FFFFFF"/>
                <w:sz w:val="20"/>
                <w:szCs w:val="20"/>
              </w:rPr>
              <w:t xml:space="preserve">Measurable Target</w:t>
            </w:r>
          </w:p>
        </w:tc>
      </w:tr>
      <w:tr>
        <w:tc>
          <w:tcPr>
            <w:tcW w:type="dxa" w:w="2800"/>
            <w:shd w:fill="F9FAFB" w:val="clear"/>
          </w:tcPr>
          <w:p>
            <w:pPr>
              <w:spacing w:after="60" w:before="60"/>
              <w:ind w:left="80"/>
            </w:pPr>
            <w:r>
              <w:rPr>
                <w:color w:val="555555"/>
                <w:sz w:val="20"/>
                <w:szCs w:val="20"/>
              </w:rPr>
              <w:t xml:space="preserve">MCP server — all 5 tools implemented</w:t>
            </w:r>
          </w:p>
        </w:tc>
        <w:tc>
          <w:tcPr>
            <w:tcW w:type="dxa" w:w="1800"/>
            <w:shd w:fill="F9FAFB" w:val="clear"/>
          </w:tcPr>
          <w:p>
            <w:pPr>
              <w:spacing w:after="60" w:before="60"/>
              <w:ind w:left="80"/>
            </w:pPr>
            <w:r>
              <w:rPr>
                <w:color w:val="555555"/>
                <w:sz w:val="20"/>
                <w:szCs w:val="20"/>
              </w:rPr>
              <w:t xml:space="preserve">Complete and tested</w:t>
            </w:r>
          </w:p>
        </w:tc>
        <w:tc>
          <w:tcPr>
            <w:tcW w:type="dxa" w:w="4000"/>
            <w:shd w:fill="F9FAFB" w:val="clear"/>
          </w:tcPr>
          <w:p>
            <w:pPr>
              <w:spacing w:after="60" w:before="60"/>
              <w:ind w:left="80"/>
            </w:pPr>
            <w:r>
              <w:rPr>
                <w:color w:val="555555"/>
                <w:sz w:val="20"/>
                <w:szCs w:val="20"/>
              </w:rPr>
              <w:t xml:space="preserve">Claude Code can call all 5 tools; latency &lt; 150ms per call</w:t>
            </w:r>
          </w:p>
        </w:tc>
      </w:tr>
      <w:tr>
        <w:tc>
          <w:tcPr>
            <w:tcW w:type="dxa" w:w="2800"/>
            <w:shd w:fill="FFFFFF" w:val="clear"/>
          </w:tcPr>
          <w:p>
            <w:pPr>
              <w:spacing w:after="60" w:before="60"/>
              <w:ind w:left="80"/>
            </w:pPr>
            <w:r>
              <w:rPr>
                <w:color w:val="555555"/>
                <w:sz w:val="20"/>
                <w:szCs w:val="20"/>
              </w:rPr>
              <w:t xml:space="preserve">Pre-prompt context injection hook</w:t>
            </w:r>
          </w:p>
        </w:tc>
        <w:tc>
          <w:tcPr>
            <w:tcW w:type="dxa" w:w="1800"/>
            <w:shd w:fill="FFFFFF" w:val="clear"/>
          </w:tcPr>
          <w:p>
            <w:pPr>
              <w:spacing w:after="60" w:before="60"/>
              <w:ind w:left="80"/>
            </w:pPr>
            <w:r>
              <w:rPr>
                <w:color w:val="555555"/>
                <w:sz w:val="20"/>
                <w:szCs w:val="20"/>
              </w:rPr>
              <w:t xml:space="preserve">Complete</w:t>
            </w:r>
          </w:p>
        </w:tc>
        <w:tc>
          <w:tcPr>
            <w:tcW w:type="dxa" w:w="4000"/>
            <w:shd w:fill="FFFFFF" w:val="clear"/>
          </w:tcPr>
          <w:p>
            <w:pPr>
              <w:spacing w:after="60" w:before="60"/>
              <w:ind w:left="80"/>
            </w:pPr>
            <w:r>
              <w:rPr>
                <w:color w:val="555555"/>
                <w:sz w:val="20"/>
                <w:szCs w:val="20"/>
              </w:rPr>
              <w:t xml:space="preserve">Relevant decisions injected into context before every Claude Code prompt on tracked files</w:t>
            </w:r>
          </w:p>
        </w:tc>
      </w:tr>
      <w:tr>
        <w:tc>
          <w:tcPr>
            <w:tcW w:type="dxa" w:w="2800"/>
            <w:shd w:fill="F9FAFB" w:val="clear"/>
          </w:tcPr>
          <w:p>
            <w:pPr>
              <w:spacing w:after="60" w:before="60"/>
              <w:ind w:left="80"/>
            </w:pPr>
            <w:r>
              <w:rPr>
                <w:color w:val="555555"/>
                <w:sz w:val="20"/>
                <w:szCs w:val="20"/>
              </w:rPr>
              <w:t xml:space="preserve">Context selection algorithm (token budget management)</w:t>
            </w:r>
          </w:p>
        </w:tc>
        <w:tc>
          <w:tcPr>
            <w:tcW w:type="dxa" w:w="1800"/>
            <w:shd w:fill="F9FAFB" w:val="clear"/>
          </w:tcPr>
          <w:p>
            <w:pPr>
              <w:spacing w:after="60" w:before="60"/>
              <w:ind w:left="80"/>
            </w:pPr>
            <w:r>
              <w:rPr>
                <w:color w:val="555555"/>
                <w:sz w:val="20"/>
                <w:szCs w:val="20"/>
              </w:rPr>
              <w:t xml:space="preserve">Complete</w:t>
            </w:r>
          </w:p>
        </w:tc>
        <w:tc>
          <w:tcPr>
            <w:tcW w:type="dxa" w:w="4000"/>
            <w:shd w:fill="F9FAFB" w:val="clear"/>
          </w:tcPr>
          <w:p>
            <w:pPr>
              <w:spacing w:after="60" w:before="60"/>
              <w:ind w:left="80"/>
            </w:pPr>
            <w:r>
              <w:rPr>
                <w:color w:val="555555"/>
                <w:sz w:val="20"/>
                <w:szCs w:val="20"/>
              </w:rPr>
              <w:t xml:space="preserve">Injected context stays within 800 token budget; recall ≥ 70% on test queries</w:t>
            </w:r>
          </w:p>
        </w:tc>
      </w:tr>
      <w:tr>
        <w:tc>
          <w:tcPr>
            <w:tcW w:type="dxa" w:w="2800"/>
            <w:shd w:fill="FFFFFF" w:val="clear"/>
          </w:tcPr>
          <w:p>
            <w:pPr>
              <w:spacing w:after="60" w:before="60"/>
              <w:ind w:left="80"/>
            </w:pPr>
            <w:r>
              <w:rPr>
                <w:color w:val="555555"/>
                <w:sz w:val="20"/>
                <w:szCs w:val="20"/>
              </w:rPr>
              <w:t xml:space="preserve">Multi-repo coherence check</w:t>
            </w:r>
          </w:p>
        </w:tc>
        <w:tc>
          <w:tcPr>
            <w:tcW w:type="dxa" w:w="1800"/>
            <w:shd w:fill="FFFFFF" w:val="clear"/>
          </w:tcPr>
          <w:p>
            <w:pPr>
              <w:spacing w:after="60" w:before="60"/>
              <w:ind w:left="80"/>
            </w:pPr>
            <w:r>
              <w:rPr>
                <w:color w:val="555555"/>
                <w:sz w:val="20"/>
                <w:szCs w:val="20"/>
              </w:rPr>
              <w:t xml:space="preserve">Complete</w:t>
            </w:r>
          </w:p>
        </w:tc>
        <w:tc>
          <w:tcPr>
            <w:tcW w:type="dxa" w:w="4000"/>
            <w:shd w:fill="FFFFFF" w:val="clear"/>
          </w:tcPr>
          <w:p>
            <w:pPr>
              <w:spacing w:after="60" w:before="60"/>
              <w:ind w:left="80"/>
            </w:pPr>
            <w:r>
              <w:rPr>
                <w:color w:val="555555"/>
                <w:sz w:val="20"/>
                <w:szCs w:val="20"/>
              </w:rPr>
              <w:t xml:space="preserve">System flags unrelated repos with ≥ 85% accuracy on 20 test pairs</w:t>
            </w:r>
          </w:p>
        </w:tc>
      </w:tr>
      <w:tr>
        <w:tc>
          <w:tcPr>
            <w:tcW w:type="dxa" w:w="2800"/>
            <w:shd w:fill="F9FAFB" w:val="clear"/>
          </w:tcPr>
          <w:p>
            <w:pPr>
              <w:spacing w:after="60" w:before="60"/>
              <w:ind w:left="80"/>
            </w:pPr>
            <w:r>
              <w:rPr>
                <w:color w:val="555555"/>
                <w:sz w:val="20"/>
                <w:szCs w:val="20"/>
              </w:rPr>
              <w:t xml:space="preserve">CLAUDE.md / agent snapshot export</w:t>
            </w:r>
          </w:p>
        </w:tc>
        <w:tc>
          <w:tcPr>
            <w:tcW w:type="dxa" w:w="1800"/>
            <w:shd w:fill="F9FAFB" w:val="clear"/>
          </w:tcPr>
          <w:p>
            <w:pPr>
              <w:spacing w:after="60" w:before="60"/>
              <w:ind w:left="80"/>
            </w:pPr>
            <w:r>
              <w:rPr>
                <w:color w:val="555555"/>
                <w:sz w:val="20"/>
                <w:szCs w:val="20"/>
              </w:rPr>
              <w:t xml:space="preserve">Complete</w:t>
            </w:r>
          </w:p>
        </w:tc>
        <w:tc>
          <w:tcPr>
            <w:tcW w:type="dxa" w:w="4000"/>
            <w:shd w:fill="F9FAFB" w:val="clear"/>
          </w:tcPr>
          <w:p>
            <w:pPr>
              <w:spacing w:after="60" w:before="60"/>
              <w:ind w:left="80"/>
            </w:pPr>
            <w:r>
              <w:rPr>
                <w:color w:val="555555"/>
                <w:sz w:val="20"/>
                <w:szCs w:val="20"/>
              </w:rPr>
              <w:t xml:space="preserve">Generated file is valid CLAUDE.md; decisions correctly scoped to modules</w:t>
            </w:r>
          </w:p>
        </w:tc>
      </w:tr>
      <w:tr>
        <w:tc>
          <w:tcPr>
            <w:tcW w:type="dxa" w:w="2800"/>
            <w:shd w:fill="FFFFFF" w:val="clear"/>
          </w:tcPr>
          <w:p>
            <w:pPr>
              <w:spacing w:after="60" w:before="60"/>
              <w:ind w:left="80"/>
            </w:pPr>
            <w:r>
              <w:rPr>
                <w:color w:val="555555"/>
                <w:sz w:val="20"/>
                <w:szCs w:val="20"/>
              </w:rPr>
              <w:t xml:space="preserve">Baseline comparison against MEMORY.md injection</w:t>
            </w:r>
          </w:p>
        </w:tc>
        <w:tc>
          <w:tcPr>
            <w:tcW w:type="dxa" w:w="1800"/>
            <w:shd w:fill="FFFFFF" w:val="clear"/>
          </w:tcPr>
          <w:p>
            <w:pPr>
              <w:spacing w:after="60" w:before="60"/>
              <w:ind w:left="80"/>
            </w:pPr>
            <w:r>
              <w:rPr>
                <w:color w:val="555555"/>
                <w:sz w:val="20"/>
                <w:szCs w:val="20"/>
              </w:rPr>
              <w:t xml:space="preserve">Measured</w:t>
            </w:r>
          </w:p>
        </w:tc>
        <w:tc>
          <w:tcPr>
            <w:tcW w:type="dxa" w:w="4000"/>
            <w:shd w:fill="FFFFFF" w:val="clear"/>
          </w:tcPr>
          <w:p>
            <w:pPr>
              <w:spacing w:after="60" w:before="60"/>
              <w:ind w:left="80"/>
            </w:pPr>
            <w:r>
              <w:rPr>
                <w:color w:val="555555"/>
                <w:sz w:val="20"/>
                <w:szCs w:val="20"/>
              </w:rPr>
              <w:t xml:space="preserve">LogicVault injection hits ≥ 80% relevance vs 200-line flat file on 15 test scenarios</w:t>
            </w:r>
          </w:p>
        </w:tc>
      </w:tr>
      <w:tr>
        <w:tc>
          <w:tcPr>
            <w:tcW w:type="dxa" w:w="2800"/>
            <w:shd w:fill="F9FAFB" w:val="clear"/>
          </w:tcPr>
          <w:p>
            <w:pPr>
              <w:spacing w:after="60" w:before="60"/>
              <w:ind w:left="80"/>
            </w:pPr>
            <w:r>
              <w:rPr>
                <w:color w:val="555555"/>
                <w:sz w:val="20"/>
                <w:szCs w:val="20"/>
              </w:rPr>
              <w:t xml:space="preserve">SDS document</w:t>
            </w:r>
          </w:p>
        </w:tc>
        <w:tc>
          <w:tcPr>
            <w:tcW w:type="dxa" w:w="1800"/>
            <w:shd w:fill="F9FAFB" w:val="clear"/>
          </w:tcPr>
          <w:p>
            <w:pPr>
              <w:spacing w:after="60" w:before="60"/>
              <w:ind w:left="80"/>
            </w:pPr>
            <w:r>
              <w:rPr>
                <w:color w:val="555555"/>
                <w:sz w:val="20"/>
                <w:szCs w:val="20"/>
              </w:rPr>
              <w:t xml:space="preserve">Submitted</w:t>
            </w:r>
          </w:p>
        </w:tc>
        <w:tc>
          <w:tcPr>
            <w:tcW w:type="dxa" w:w="4000"/>
            <w:shd w:fill="F9FAFB" w:val="clear"/>
          </w:tcPr>
          <w:p>
            <w:pPr>
              <w:spacing w:after="60" w:before="60"/>
              <w:ind w:left="80"/>
            </w:pPr>
            <w:r>
              <w:rPr>
                <w:color w:val="555555"/>
                <w:sz w:val="20"/>
                <w:szCs w:val="20"/>
              </w:rPr>
              <w:t xml:space="preserve">Architecture and component design documented and approved</w:t>
            </w:r>
          </w:p>
        </w:tc>
      </w:tr>
      <w:tr>
        <w:tc>
          <w:tcPr>
            <w:tcW w:type="dxa" w:w="2800"/>
            <w:shd w:fill="FFFFFF" w:val="clear"/>
          </w:tcPr>
          <w:p>
            <w:pPr>
              <w:spacing w:after="60" w:before="60"/>
              <w:ind w:left="80"/>
            </w:pPr>
            <w:r>
              <w:rPr>
                <w:color w:val="555555"/>
                <w:sz w:val="20"/>
                <w:szCs w:val="20"/>
              </w:rPr>
              <w:t xml:space="preserve">Deployment on VM (backend) + Vercel (frontend)</w:t>
            </w:r>
          </w:p>
        </w:tc>
        <w:tc>
          <w:tcPr>
            <w:tcW w:type="dxa" w:w="1800"/>
            <w:shd w:fill="FFFFFF" w:val="clear"/>
          </w:tcPr>
          <w:p>
            <w:pPr>
              <w:spacing w:after="60" w:before="60"/>
              <w:ind w:left="80"/>
            </w:pPr>
            <w:r>
              <w:rPr>
                <w:color w:val="555555"/>
                <w:sz w:val="20"/>
                <w:szCs w:val="20"/>
              </w:rPr>
              <w:t xml:space="preserve">Complete</w:t>
            </w:r>
          </w:p>
        </w:tc>
        <w:tc>
          <w:tcPr>
            <w:tcW w:type="dxa" w:w="4000"/>
            <w:shd w:fill="FFFFFF" w:val="clear"/>
          </w:tcPr>
          <w:p>
            <w:pPr>
              <w:spacing w:after="60" w:before="60"/>
              <w:ind w:left="80"/>
            </w:pPr>
            <w:r>
              <w:rPr>
                <w:color w:val="555555"/>
                <w:sz w:val="20"/>
                <w:szCs w:val="20"/>
              </w:rPr>
              <w:t xml:space="preserve">System accessible at a public URL; another person can install from README</w:t>
            </w:r>
          </w:p>
        </w:tc>
      </w:tr>
    </w:tbl>
    <w:p/>
    <w:p>
      <w:pPr>
        <w:pStyle w:val="Heading2"/>
        <w:spacing w:after="120" w:before="300"/>
      </w:pPr>
      <w:r>
        <w:t xml:space="preserve">Phase 4 — FYP-2 Mid (Mid-2)</w:t>
      </w:r>
    </w:p>
    <w:p>
      <w:pPr>
        <w:spacing w:after="80"/>
      </w:pPr>
      <w:r>
        <w:rPr>
          <w:b/>
          <w:bCs/>
          <w:color w:val="1A1A1A"/>
          <w:sz w:val="22"/>
          <w:szCs w:val="22"/>
        </w:rPr>
        <w:t xml:space="preserve">Target: Evaluation complete. Non-functional requirements measured. System production-hardened.</w:t>
      </w:r>
    </w:p>
    <w:p>
      <w:pPr>
        <w:spacing w:after="100"/>
      </w:pPr>
      <w:r>
        <w:rPr>
          <w:color w:val="555555"/>
          <w:sz w:val="22"/>
          <w:szCs w:val="22"/>
        </w:rPr>
        <w:t xml:space="preserve">Mid-2 is about evidence, not new features. The evaluation must run against a real (or realistically simulated) project with at least 6 months of history. Every measurable target from prior phases must have a measurement.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tblHeader/>
        </w:trPr>
        <w:tc>
          <w:tcPr>
            <w:tcW w:type="dxa" w:w="2200"/>
            <w:shd w:fill="2E3F6F" w:val="clear"/>
          </w:tcPr>
          <w:p>
            <w:pPr>
              <w:spacing w:after="80" w:before="80"/>
              <w:ind w:left="80"/>
            </w:pPr>
            <w:r>
              <w:rPr>
                <w:b/>
                <w:bCs/>
                <w:color w:val="FFFFFF"/>
                <w:sz w:val="20"/>
                <w:szCs w:val="20"/>
              </w:rPr>
              <w:t xml:space="preserve">Task</w:t>
            </w:r>
          </w:p>
        </w:tc>
        <w:tc>
          <w:tcPr>
            <w:tcW w:type="dxa" w:w="3200"/>
            <w:shd w:fill="2E3F6F" w:val="clear"/>
          </w:tcPr>
          <w:p>
            <w:pPr>
              <w:spacing w:after="80" w:before="80"/>
              <w:ind w:left="80"/>
            </w:pPr>
            <w:r>
              <w:rPr>
                <w:b/>
                <w:bCs/>
                <w:color w:val="FFFFFF"/>
                <w:sz w:val="20"/>
                <w:szCs w:val="20"/>
              </w:rPr>
              <w:t xml:space="preserve">Description</w:t>
            </w:r>
          </w:p>
        </w:tc>
        <w:tc>
          <w:tcPr>
            <w:tcW w:type="dxa" w:w="3200"/>
            <w:shd w:fill="2E3F6F" w:val="clear"/>
          </w:tcPr>
          <w:p>
            <w:pPr>
              <w:spacing w:after="80" w:before="80"/>
              <w:ind w:left="80"/>
            </w:pPr>
            <w:r>
              <w:rPr>
                <w:b/>
                <w:bCs/>
                <w:color w:val="FFFFFF"/>
                <w:sz w:val="20"/>
                <w:szCs w:val="20"/>
              </w:rPr>
              <w:t xml:space="preserve">Evidence</w:t>
            </w:r>
          </w:p>
        </w:tc>
      </w:tr>
      <w:tr>
        <w:tc>
          <w:tcPr>
            <w:tcW w:type="dxa" w:w="2200"/>
            <w:shd w:fill="F9FAFB" w:val="clear"/>
          </w:tcPr>
          <w:p>
            <w:pPr>
              <w:spacing w:after="60" w:before="60"/>
              <w:ind w:left="80"/>
            </w:pPr>
            <w:r>
              <w:rPr>
                <w:color w:val="555555"/>
                <w:sz w:val="20"/>
                <w:szCs w:val="20"/>
              </w:rPr>
              <w:t xml:space="preserve">User acceptance testing</w:t>
            </w:r>
          </w:p>
        </w:tc>
        <w:tc>
          <w:tcPr>
            <w:tcW w:type="dxa" w:w="3200"/>
            <w:shd w:fill="F9FAFB" w:val="clear"/>
          </w:tcPr>
          <w:p>
            <w:pPr>
              <w:spacing w:after="60" w:before="60"/>
              <w:ind w:left="80"/>
            </w:pPr>
            <w:r>
              <w:rPr>
                <w:color w:val="555555"/>
                <w:sz w:val="20"/>
                <w:szCs w:val="20"/>
              </w:rPr>
              <w:t xml:space="preserve">5-8 developers use the system on their own project for 2 weeks</w:t>
            </w:r>
          </w:p>
        </w:tc>
        <w:tc>
          <w:tcPr>
            <w:tcW w:type="dxa" w:w="3200"/>
            <w:shd w:fill="F9FAFB" w:val="clear"/>
          </w:tcPr>
          <w:p>
            <w:pPr>
              <w:spacing w:after="60" w:before="60"/>
              <w:ind w:left="80"/>
            </w:pPr>
            <w:r>
              <w:rPr>
                <w:color w:val="555555"/>
                <w:sz w:val="20"/>
                <w:szCs w:val="20"/>
              </w:rPr>
              <w:t xml:space="preserve">Task completion rates, decision retrieval accuracy, qualitative feedback recorded</w:t>
            </w:r>
          </w:p>
        </w:tc>
      </w:tr>
      <w:tr>
        <w:tc>
          <w:tcPr>
            <w:tcW w:type="dxa" w:w="2200"/>
            <w:shd w:fill="FFFFFF" w:val="clear"/>
          </w:tcPr>
          <w:p>
            <w:pPr>
              <w:spacing w:after="60" w:before="60"/>
              <w:ind w:left="80"/>
            </w:pPr>
            <w:r>
              <w:rPr>
                <w:color w:val="555555"/>
                <w:sz w:val="20"/>
                <w:szCs w:val="20"/>
              </w:rPr>
              <w:t xml:space="preserve">Invalidation false positive study</w:t>
            </w:r>
          </w:p>
        </w:tc>
        <w:tc>
          <w:tcPr>
            <w:tcW w:type="dxa" w:w="3200"/>
            <w:shd w:fill="FFFFFF" w:val="clear"/>
          </w:tcPr>
          <w:p>
            <w:pPr>
              <w:spacing w:after="60" w:before="60"/>
              <w:ind w:left="80"/>
            </w:pPr>
            <w:r>
              <w:rPr>
                <w:color w:val="555555"/>
                <w:sz w:val="20"/>
                <w:szCs w:val="20"/>
              </w:rPr>
              <w:t xml:space="preserve">Analyze 50 commits on a real repo; compare system alerts to manual ground truth</w:t>
            </w:r>
          </w:p>
        </w:tc>
        <w:tc>
          <w:tcPr>
            <w:tcW w:type="dxa" w:w="3200"/>
            <w:shd w:fill="FFFFFF" w:val="clear"/>
          </w:tcPr>
          <w:p>
            <w:pPr>
              <w:spacing w:after="60" w:before="60"/>
              <w:ind w:left="80"/>
            </w:pPr>
            <w:r>
              <w:rPr>
                <w:color w:val="555555"/>
                <w:sz w:val="20"/>
                <w:szCs w:val="20"/>
              </w:rPr>
              <w:t xml:space="preserve">Precision and recall numbers for invalidation engine</w:t>
            </w:r>
          </w:p>
        </w:tc>
      </w:tr>
      <w:tr>
        <w:tc>
          <w:tcPr>
            <w:tcW w:type="dxa" w:w="2200"/>
            <w:shd w:fill="F9FAFB" w:val="clear"/>
          </w:tcPr>
          <w:p>
            <w:pPr>
              <w:spacing w:after="60" w:before="60"/>
              <w:ind w:left="80"/>
            </w:pPr>
            <w:r>
              <w:rPr>
                <w:color w:val="555555"/>
                <w:sz w:val="20"/>
                <w:szCs w:val="20"/>
              </w:rPr>
              <w:t xml:space="preserve">MCP injection relevance study</w:t>
            </w:r>
          </w:p>
        </w:tc>
        <w:tc>
          <w:tcPr>
            <w:tcW w:type="dxa" w:w="3200"/>
            <w:shd w:fill="F9FAFB" w:val="clear"/>
          </w:tcPr>
          <w:p>
            <w:pPr>
              <w:spacing w:after="60" w:before="60"/>
              <w:ind w:left="80"/>
            </w:pPr>
            <w:r>
              <w:rPr>
                <w:color w:val="555555"/>
                <w:sz w:val="20"/>
                <w:szCs w:val="20"/>
              </w:rPr>
              <w:t xml:space="preserve">For 20 file-opening events, compare injected context to developer-rated relevance</w:t>
            </w:r>
          </w:p>
        </w:tc>
        <w:tc>
          <w:tcPr>
            <w:tcW w:type="dxa" w:w="3200"/>
            <w:shd w:fill="F9FAFB" w:val="clear"/>
          </w:tcPr>
          <w:p>
            <w:pPr>
              <w:spacing w:after="60" w:before="60"/>
              <w:ind w:left="80"/>
            </w:pPr>
            <w:r>
              <w:rPr>
                <w:color w:val="555555"/>
                <w:sz w:val="20"/>
                <w:szCs w:val="20"/>
              </w:rPr>
              <w:t xml:space="preserve">Relevance score distribution; comparison against MEMORY.md baseline</w:t>
            </w:r>
          </w:p>
        </w:tc>
      </w:tr>
      <w:tr>
        <w:tc>
          <w:tcPr>
            <w:tcW w:type="dxa" w:w="2200"/>
            <w:shd w:fill="FFFFFF" w:val="clear"/>
          </w:tcPr>
          <w:p>
            <w:pPr>
              <w:spacing w:after="60" w:before="60"/>
              <w:ind w:left="80"/>
            </w:pPr>
            <w:r>
              <w:rPr>
                <w:color w:val="555555"/>
                <w:sz w:val="20"/>
                <w:szCs w:val="20"/>
              </w:rPr>
              <w:t xml:space="preserve">Multi-repo coherence accuracy</w:t>
            </w:r>
          </w:p>
        </w:tc>
        <w:tc>
          <w:tcPr>
            <w:tcW w:type="dxa" w:w="3200"/>
            <w:shd w:fill="FFFFFF" w:val="clear"/>
          </w:tcPr>
          <w:p>
            <w:pPr>
              <w:spacing w:after="60" w:before="60"/>
              <w:ind w:left="80"/>
            </w:pPr>
            <w:r>
              <w:rPr>
                <w:color w:val="555555"/>
                <w:sz w:val="20"/>
                <w:szCs w:val="20"/>
              </w:rPr>
              <w:t xml:space="preserve">Run coherence check on 30 repo pairs (15 related, 15 unrelated)</w:t>
            </w:r>
          </w:p>
        </w:tc>
        <w:tc>
          <w:tcPr>
            <w:tcW w:type="dxa" w:w="3200"/>
            <w:shd w:fill="FFFFFF" w:val="clear"/>
          </w:tcPr>
          <w:p>
            <w:pPr>
              <w:spacing w:after="60" w:before="60"/>
              <w:ind w:left="80"/>
            </w:pPr>
            <w:r>
              <w:rPr>
                <w:color w:val="555555"/>
                <w:sz w:val="20"/>
                <w:szCs w:val="20"/>
              </w:rPr>
              <w:t xml:space="preserve">Classification accuracy, false positive and false negative rates</w:t>
            </w:r>
          </w:p>
        </w:tc>
      </w:tr>
      <w:tr>
        <w:tc>
          <w:tcPr>
            <w:tcW w:type="dxa" w:w="2200"/>
            <w:shd w:fill="F9FAFB" w:val="clear"/>
          </w:tcPr>
          <w:p>
            <w:pPr>
              <w:spacing w:after="60" w:before="60"/>
              <w:ind w:left="80"/>
            </w:pPr>
            <w:r>
              <w:rPr>
                <w:color w:val="555555"/>
                <w:sz w:val="20"/>
                <w:szCs w:val="20"/>
              </w:rPr>
              <w:t xml:space="preserve">System test report</w:t>
            </w:r>
          </w:p>
        </w:tc>
        <w:tc>
          <w:tcPr>
            <w:tcW w:type="dxa" w:w="3200"/>
            <w:shd w:fill="F9FAFB" w:val="clear"/>
          </w:tcPr>
          <w:p>
            <w:pPr>
              <w:spacing w:after="60" w:before="60"/>
              <w:ind w:left="80"/>
            </w:pPr>
            <w:r>
              <w:rPr>
                <w:color w:val="555555"/>
                <w:sz w:val="20"/>
                <w:szCs w:val="20"/>
              </w:rPr>
              <w:t xml:space="preserve">All committed requirements tested</w:t>
            </w:r>
          </w:p>
        </w:tc>
        <w:tc>
          <w:tcPr>
            <w:tcW w:type="dxa" w:w="3200"/>
            <w:shd w:fill="F9FAFB" w:val="clear"/>
          </w:tcPr>
          <w:p>
            <w:pPr>
              <w:spacing w:after="60" w:before="60"/>
              <w:ind w:left="80"/>
            </w:pPr>
            <w:r>
              <w:rPr>
                <w:color w:val="555555"/>
                <w:sz w:val="20"/>
                <w:szCs w:val="20"/>
              </w:rPr>
              <w:t xml:space="preserve">No open Critical defects; High defects dispositioned</w:t>
            </w:r>
          </w:p>
        </w:tc>
      </w:tr>
      <w:tr>
        <w:tc>
          <w:tcPr>
            <w:tcW w:type="dxa" w:w="2200"/>
            <w:shd w:fill="FFFFFF" w:val="clear"/>
          </w:tcPr>
          <w:p>
            <w:pPr>
              <w:spacing w:after="60" w:before="60"/>
              <w:ind w:left="80"/>
            </w:pPr>
            <w:r>
              <w:rPr>
                <w:color w:val="555555"/>
                <w:sz w:val="20"/>
                <w:szCs w:val="20"/>
              </w:rPr>
              <w:t xml:space="preserve">Non-functional measurement</w:t>
            </w:r>
          </w:p>
        </w:tc>
        <w:tc>
          <w:tcPr>
            <w:tcW w:type="dxa" w:w="3200"/>
            <w:shd w:fill="FFFFFF" w:val="clear"/>
          </w:tcPr>
          <w:p>
            <w:pPr>
              <w:spacing w:after="60" w:before="60"/>
              <w:ind w:left="80"/>
            </w:pPr>
            <w:r>
              <w:rPr>
                <w:color w:val="555555"/>
                <w:sz w:val="20"/>
                <w:szCs w:val="20"/>
              </w:rPr>
              <w:t xml:space="preserve">Latency, availability, MCP response time measured under load</w:t>
            </w:r>
          </w:p>
        </w:tc>
        <w:tc>
          <w:tcPr>
            <w:tcW w:type="dxa" w:w="3200"/>
            <w:shd w:fill="FFFFFF" w:val="clear"/>
          </w:tcPr>
          <w:p>
            <w:pPr>
              <w:spacing w:after="60" w:before="60"/>
              <w:ind w:left="80"/>
            </w:pPr>
            <w:r>
              <w:rPr>
                <w:color w:val="555555"/>
                <w:sz w:val="20"/>
                <w:szCs w:val="20"/>
              </w:rPr>
              <w:t xml:space="preserve">All NFRs stated as numbers in SRS met or disposition recorded</w:t>
            </w:r>
          </w:p>
        </w:tc>
      </w:tr>
    </w:tbl>
    <w:p/>
    <w:p>
      <w:pPr>
        <w:pStyle w:val="Heading2"/>
        <w:spacing w:after="120" w:before="300"/>
      </w:pPr>
      <w:r>
        <w:t xml:space="preserve">Phase 5 — FYP-2 Final (Final-2)</w:t>
      </w:r>
    </w:p>
    <w:p>
      <w:pPr>
        <w:spacing w:after="80"/>
      </w:pPr>
      <w:r>
        <w:rPr>
          <w:b/>
          <w:bCs/>
          <w:color w:val="1A1A1A"/>
          <w:sz w:val="22"/>
          <w:szCs w:val="22"/>
        </w:rPr>
        <w:t xml:space="preserve">Target: Deployable, documented, defended.</w:t>
      </w:r>
    </w:p>
    <w:p>
      <w:pPr>
        <w:spacing w:after="100"/>
      </w:pPr>
      <w:r>
        <w:rPr>
          <w:color w:val="555555"/>
          <w:sz w:val="22"/>
          <w:szCs w:val="22"/>
        </w:rPr>
        <w:t xml:space="preserve">Final-2 is submission. Every document must be at approved version. The system must be installable from documentation by someone outside the team. Every member must be able to defend their technical ownership under questioning—including explaining the extraction algorithm, the graph schema design choices, the invalidation logic, and the MCP context selection algorithm.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200"/>
      </w:tblGrid>
      <w:tr>
        <w:trPr>
          <w:tblHeader/>
        </w:trPr>
        <w:tc>
          <w:tcPr>
            <w:tcW w:type="dxa" w:w="2400"/>
            <w:shd w:fill="2E3F6F" w:val="clear"/>
          </w:tcPr>
          <w:p>
            <w:pPr>
              <w:spacing w:after="80" w:before="80"/>
              <w:ind w:left="80"/>
            </w:pPr>
            <w:r>
              <w:rPr>
                <w:b/>
                <w:bCs/>
                <w:color w:val="FFFFFF"/>
                <w:sz w:val="20"/>
                <w:szCs w:val="20"/>
              </w:rPr>
              <w:t xml:space="preserve">Deliverable</w:t>
            </w:r>
          </w:p>
        </w:tc>
        <w:tc>
          <w:tcPr>
            <w:tcW w:type="dxa" w:w="2000"/>
            <w:shd w:fill="2E3F6F" w:val="clear"/>
          </w:tcPr>
          <w:p>
            <w:pPr>
              <w:spacing w:after="80" w:before="80"/>
              <w:ind w:left="80"/>
            </w:pPr>
            <w:r>
              <w:rPr>
                <w:b/>
                <w:bCs/>
                <w:color w:val="FFFFFF"/>
                <w:sz w:val="20"/>
                <w:szCs w:val="20"/>
              </w:rPr>
              <w:t xml:space="preserve">State</w:t>
            </w:r>
          </w:p>
        </w:tc>
        <w:tc>
          <w:tcPr>
            <w:tcW w:type="dxa" w:w="4200"/>
            <w:shd w:fill="2E3F6F" w:val="clear"/>
          </w:tcPr>
          <w:p>
            <w:pPr>
              <w:spacing w:after="80" w:before="80"/>
              <w:ind w:left="80"/>
            </w:pPr>
            <w:r>
              <w:rPr>
                <w:b/>
                <w:bCs/>
                <w:color w:val="FFFFFF"/>
                <w:sz w:val="20"/>
                <w:szCs w:val="20"/>
              </w:rPr>
              <w:t xml:space="preserve">Note</w:t>
            </w:r>
          </w:p>
        </w:tc>
      </w:tr>
      <w:tr>
        <w:tc>
          <w:tcPr>
            <w:tcW w:type="dxa" w:w="2400"/>
            <w:shd w:fill="F9FAFB" w:val="clear"/>
          </w:tcPr>
          <w:p>
            <w:pPr>
              <w:spacing w:after="60" w:before="60"/>
              <w:ind w:left="80"/>
            </w:pPr>
            <w:r>
              <w:rPr>
                <w:color w:val="555555"/>
                <w:sz w:val="20"/>
                <w:szCs w:val="20"/>
              </w:rPr>
              <w:t xml:space="preserve">Project report (all documents)</w:t>
            </w:r>
          </w:p>
        </w:tc>
        <w:tc>
          <w:tcPr>
            <w:tcW w:type="dxa" w:w="2000"/>
            <w:shd w:fill="F9FAFB" w:val="clear"/>
          </w:tcPr>
          <w:p>
            <w:pPr>
              <w:spacing w:after="60" w:before="60"/>
              <w:ind w:left="80"/>
            </w:pPr>
            <w:r>
              <w:rPr>
                <w:color w:val="555555"/>
                <w:sz w:val="20"/>
                <w:szCs w:val="20"/>
              </w:rPr>
              <w:t xml:space="preserve">Final approved version</w:t>
            </w:r>
          </w:p>
        </w:tc>
        <w:tc>
          <w:tcPr>
            <w:tcW w:type="dxa" w:w="4200"/>
            <w:shd w:fill="F9FAFB" w:val="clear"/>
          </w:tcPr>
          <w:p>
            <w:pPr>
              <w:spacing w:after="60" w:before="60"/>
              <w:ind w:left="80"/>
            </w:pPr>
            <w:r>
              <w:rPr>
                <w:color w:val="555555"/>
                <w:sz w:val="20"/>
                <w:szCs w:val="20"/>
              </w:rPr>
              <w:t xml:space="preserve">SRS, SDS, test report, evaluation, RAID, traceability matrix all submitted</w:t>
            </w:r>
          </w:p>
        </w:tc>
      </w:tr>
      <w:tr>
        <w:tc>
          <w:tcPr>
            <w:tcW w:type="dxa" w:w="2400"/>
            <w:shd w:fill="FFFFFF" w:val="clear"/>
          </w:tcPr>
          <w:p>
            <w:pPr>
              <w:spacing w:after="60" w:before="60"/>
              <w:ind w:left="80"/>
            </w:pPr>
            <w:r>
              <w:rPr>
                <w:color w:val="555555"/>
                <w:sz w:val="20"/>
                <w:szCs w:val="20"/>
              </w:rPr>
              <w:t xml:space="preserve">Handover package</w:t>
            </w:r>
          </w:p>
        </w:tc>
        <w:tc>
          <w:tcPr>
            <w:tcW w:type="dxa" w:w="2000"/>
            <w:shd w:fill="FFFFFF" w:val="clear"/>
          </w:tcPr>
          <w:p>
            <w:pPr>
              <w:spacing w:after="60" w:before="60"/>
              <w:ind w:left="80"/>
            </w:pPr>
            <w:r>
              <w:rPr>
                <w:color w:val="555555"/>
                <w:sz w:val="20"/>
                <w:szCs w:val="20"/>
              </w:rPr>
              <w:t xml:space="preserve">Complete</w:t>
            </w:r>
          </w:p>
        </w:tc>
        <w:tc>
          <w:tcPr>
            <w:tcW w:type="dxa" w:w="4200"/>
            <w:shd w:fill="FFFFFF" w:val="clear"/>
          </w:tcPr>
          <w:p>
            <w:pPr>
              <w:spacing w:after="60" w:before="60"/>
              <w:ind w:left="80"/>
            </w:pPr>
            <w:r>
              <w:rPr>
                <w:color w:val="555555"/>
                <w:sz w:val="20"/>
                <w:szCs w:val="20"/>
              </w:rPr>
              <w:t xml:space="preserve">Source, build instructions, dependencies, credentials handling, known limitations</w:t>
            </w:r>
          </w:p>
        </w:tc>
      </w:tr>
      <w:tr>
        <w:tc>
          <w:tcPr>
            <w:tcW w:type="dxa" w:w="2400"/>
            <w:shd w:fill="F9FAFB" w:val="clear"/>
          </w:tcPr>
          <w:p>
            <w:pPr>
              <w:spacing w:after="60" w:before="60"/>
              <w:ind w:left="80"/>
            </w:pPr>
            <w:r>
              <w:rPr>
                <w:color w:val="555555"/>
                <w:sz w:val="20"/>
                <w:szCs w:val="20"/>
              </w:rPr>
              <w:t xml:space="preserve">Deployed system</w:t>
            </w:r>
          </w:p>
        </w:tc>
        <w:tc>
          <w:tcPr>
            <w:tcW w:type="dxa" w:w="2000"/>
            <w:shd w:fill="F9FAFB" w:val="clear"/>
          </w:tcPr>
          <w:p>
            <w:pPr>
              <w:spacing w:after="60" w:before="60"/>
              <w:ind w:left="80"/>
            </w:pPr>
            <w:r>
              <w:rPr>
                <w:color w:val="555555"/>
                <w:sz w:val="20"/>
                <w:szCs w:val="20"/>
              </w:rPr>
              <w:t xml:space="preserve">Running at public URL</w:t>
            </w:r>
          </w:p>
        </w:tc>
        <w:tc>
          <w:tcPr>
            <w:tcW w:type="dxa" w:w="4200"/>
            <w:shd w:fill="F9FAFB" w:val="clear"/>
          </w:tcPr>
          <w:p>
            <w:pPr>
              <w:spacing w:after="60" w:before="60"/>
              <w:ind w:left="80"/>
            </w:pPr>
            <w:r>
              <w:rPr>
                <w:color w:val="555555"/>
                <w:sz w:val="20"/>
                <w:szCs w:val="20"/>
              </w:rPr>
              <w:t xml:space="preserve">Someone outside the team installs and operates it from the README</w:t>
            </w:r>
          </w:p>
        </w:tc>
      </w:tr>
      <w:tr>
        <w:tc>
          <w:tcPr>
            <w:tcW w:type="dxa" w:w="2400"/>
            <w:shd w:fill="FFFFFF" w:val="clear"/>
          </w:tcPr>
          <w:p>
            <w:pPr>
              <w:spacing w:after="60" w:before="60"/>
              <w:ind w:left="80"/>
            </w:pPr>
            <w:r>
              <w:rPr>
                <w:color w:val="555555"/>
                <w:sz w:val="20"/>
                <w:szCs w:val="20"/>
              </w:rPr>
              <w:t xml:space="preserve">Acceptance testing</w:t>
            </w:r>
          </w:p>
        </w:tc>
        <w:tc>
          <w:tcPr>
            <w:tcW w:type="dxa" w:w="2000"/>
            <w:shd w:fill="FFFFFF" w:val="clear"/>
          </w:tcPr>
          <w:p>
            <w:pPr>
              <w:spacing w:after="60" w:before="60"/>
              <w:ind w:left="80"/>
            </w:pPr>
            <w:r>
              <w:rPr>
                <w:color w:val="555555"/>
                <w:sz w:val="20"/>
                <w:szCs w:val="20"/>
              </w:rPr>
              <w:t xml:space="preserve">Completed with named participants</w:t>
            </w:r>
          </w:p>
        </w:tc>
        <w:tc>
          <w:tcPr>
            <w:tcW w:type="dxa" w:w="4200"/>
            <w:shd w:fill="FFFFFF" w:val="clear"/>
          </w:tcPr>
          <w:p>
            <w:pPr>
              <w:spacing w:after="60" w:before="60"/>
              <w:ind w:left="80"/>
            </w:pPr>
            <w:r>
              <w:rPr>
                <w:color w:val="555555"/>
                <w:sz w:val="20"/>
                <w:szCs w:val="20"/>
              </w:rPr>
              <w:t xml:space="preserve">Recorded session or signed acceptance form</w:t>
            </w:r>
          </w:p>
        </w:tc>
      </w:tr>
      <w:tr>
        <w:tc>
          <w:tcPr>
            <w:tcW w:type="dxa" w:w="2400"/>
            <w:shd w:fill="F9FAFB" w:val="clear"/>
          </w:tcPr>
          <w:p>
            <w:pPr>
              <w:spacing w:after="60" w:before="60"/>
              <w:ind w:left="80"/>
            </w:pPr>
            <w:r>
              <w:rPr>
                <w:color w:val="555555"/>
                <w:sz w:val="20"/>
                <w:szCs w:val="20"/>
              </w:rPr>
              <w:t xml:space="preserve">Evaluation results</w:t>
            </w:r>
          </w:p>
        </w:tc>
        <w:tc>
          <w:tcPr>
            <w:tcW w:type="dxa" w:w="2000"/>
            <w:shd w:fill="F9FAFB" w:val="clear"/>
          </w:tcPr>
          <w:p>
            <w:pPr>
              <w:spacing w:after="60" w:before="60"/>
              <w:ind w:left="80"/>
            </w:pPr>
            <w:r>
              <w:rPr>
                <w:color w:val="555555"/>
                <w:sz w:val="20"/>
                <w:szCs w:val="20"/>
              </w:rPr>
              <w:t xml:space="preserve">Documented with baselines</w:t>
            </w:r>
          </w:p>
        </w:tc>
        <w:tc>
          <w:tcPr>
            <w:tcW w:type="dxa" w:w="4200"/>
            <w:shd w:fill="F9FAFB" w:val="clear"/>
          </w:tcPr>
          <w:p>
            <w:pPr>
              <w:spacing w:after="60" w:before="60"/>
              <w:ind w:left="80"/>
            </w:pPr>
            <w:r>
              <w:rPr>
                <w:color w:val="555555"/>
                <w:sz w:val="20"/>
                <w:szCs w:val="20"/>
              </w:rPr>
              <w:t xml:space="preserve">All four experiments have precision/recall/latency numbers and analysis</w:t>
            </w:r>
          </w:p>
        </w:tc>
      </w:tr>
      <w:tr>
        <w:tc>
          <w:tcPr>
            <w:tcW w:type="dxa" w:w="2400"/>
            <w:shd w:fill="FFFFFF" w:val="clear"/>
          </w:tcPr>
          <w:p>
            <w:pPr>
              <w:spacing w:after="60" w:before="60"/>
              <w:ind w:left="80"/>
            </w:pPr>
            <w:r>
              <w:rPr>
                <w:color w:val="555555"/>
                <w:sz w:val="20"/>
                <w:szCs w:val="20"/>
              </w:rPr>
              <w:t xml:space="preserve">AI usage log</w:t>
            </w:r>
          </w:p>
        </w:tc>
        <w:tc>
          <w:tcPr>
            <w:tcW w:type="dxa" w:w="2000"/>
            <w:shd w:fill="FFFFFF" w:val="clear"/>
          </w:tcPr>
          <w:p>
            <w:pPr>
              <w:spacing w:after="60" w:before="60"/>
              <w:ind w:left="80"/>
            </w:pPr>
            <w:r>
              <w:rPr>
                <w:color w:val="555555"/>
                <w:sz w:val="20"/>
                <w:szCs w:val="20"/>
              </w:rPr>
              <w:t xml:space="preserve">Submitted and signed</w:t>
            </w:r>
          </w:p>
        </w:tc>
        <w:tc>
          <w:tcPr>
            <w:tcW w:type="dxa" w:w="4200"/>
            <w:shd w:fill="FFFFFF" w:val="clear"/>
          </w:tcPr>
          <w:p>
            <w:pPr>
              <w:spacing w:after="60" w:before="60"/>
              <w:ind w:left="80"/>
            </w:pPr>
            <w:r>
              <w:rPr>
                <w:color w:val="555555"/>
                <w:sz w:val="20"/>
                <w:szCs w:val="20"/>
              </w:rPr>
              <w:t xml:space="preserve">Every CCP-relevant AI use disclosed; each member can defend their entries</w:t>
            </w:r>
          </w:p>
        </w:tc>
      </w:tr>
      <w:tr>
        <w:tc>
          <w:tcPr>
            <w:tcW w:type="dxa" w:w="2400"/>
            <w:shd w:fill="F9FAFB" w:val="clear"/>
          </w:tcPr>
          <w:p>
            <w:pPr>
              <w:spacing w:after="60" w:before="60"/>
              <w:ind w:left="80"/>
            </w:pPr>
            <w:r>
              <w:rPr>
                <w:color w:val="555555"/>
                <w:sz w:val="20"/>
                <w:szCs w:val="20"/>
              </w:rPr>
              <w:t xml:space="preserve">Final presentation</w:t>
            </w:r>
          </w:p>
        </w:tc>
        <w:tc>
          <w:tcPr>
            <w:tcW w:type="dxa" w:w="2000"/>
            <w:shd w:fill="F9FAFB" w:val="clear"/>
          </w:tcPr>
          <w:p>
            <w:pPr>
              <w:spacing w:after="60" w:before="60"/>
              <w:ind w:left="80"/>
            </w:pPr>
            <w:r>
              <w:rPr>
                <w:color w:val="555555"/>
                <w:sz w:val="20"/>
                <w:szCs w:val="20"/>
              </w:rPr>
              <w:t xml:space="preserve">Rehearsed</w:t>
            </w:r>
          </w:p>
        </w:tc>
        <w:tc>
          <w:tcPr>
            <w:tcW w:type="dxa" w:w="4200"/>
            <w:shd w:fill="F9FAFB" w:val="clear"/>
          </w:tcPr>
          <w:p>
            <w:pPr>
              <w:spacing w:after="60" w:before="60"/>
              <w:ind w:left="80"/>
            </w:pPr>
            <w:r>
              <w:rPr>
                <w:color w:val="555555"/>
                <w:sz w:val="20"/>
                <w:szCs w:val="20"/>
              </w:rPr>
              <w:t xml:space="preserve">Each member presents their owned component without reading from code</w:t>
            </w:r>
          </w:p>
        </w:tc>
      </w:tr>
    </w:tbl>
    <w:p/>
    <w:p>
      <w:r>
        <w:br w:type="page"/>
      </w:r>
    </w:p>
    <w:p>
      <w:pPr>
        <w:pStyle w:val="Heading1"/>
        <w:spacing w:after="160" w:before="400"/>
        <w:rPr>
          <w:b/>
          <w:bCs/>
          <w:color w:val="2E3F6F"/>
        </w:rPr>
      </w:pPr>
      <w:r>
        <w:t xml:space="preserve">8. Proposed Individual Ownership</w:t>
      </w:r>
    </w:p>
    <w:p>
      <w:pPr>
        <w:spacing w:after="100"/>
      </w:pPr>
      <w:r>
        <w:rPr>
          <w:color w:val="555555"/>
          <w:sz w:val="22"/>
          <w:szCs w:val="22"/>
        </w:rPr>
        <w:t xml:space="preserve">Each member owns end-to-end responsibility for one or more technical subsystems. Ownership means: you designed it, you can explain the trade-offs, you can predict what breaks if the inputs change, and you can modify it under questioning.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00"/>
      </w:tblGrid>
      <w:tr>
        <w:trPr>
          <w:tblHeader/>
        </w:trPr>
        <w:tc>
          <w:tcPr>
            <w:tcW w:type="dxa" w:w="2200"/>
            <w:shd w:fill="2E3F6F" w:val="clear"/>
          </w:tcPr>
          <w:p>
            <w:pPr>
              <w:spacing w:after="80" w:before="80"/>
              <w:ind w:left="80"/>
            </w:pPr>
            <w:r>
              <w:rPr>
                <w:b/>
                <w:bCs/>
                <w:color w:val="FFFFFF"/>
                <w:sz w:val="20"/>
                <w:szCs w:val="20"/>
              </w:rPr>
              <w:t xml:space="preserve">Member</w:t>
            </w:r>
          </w:p>
        </w:tc>
        <w:tc>
          <w:tcPr>
            <w:tcW w:type="dxa" w:w="3600"/>
            <w:shd w:fill="2E3F6F" w:val="clear"/>
          </w:tcPr>
          <w:p>
            <w:pPr>
              <w:spacing w:after="80" w:before="80"/>
              <w:ind w:left="80"/>
            </w:pPr>
            <w:r>
              <w:rPr>
                <w:b/>
                <w:bCs/>
                <w:color w:val="FFFFFF"/>
                <w:sz w:val="20"/>
                <w:szCs w:val="20"/>
              </w:rPr>
              <w:t xml:space="preserve">Primary Ownership</w:t>
            </w:r>
          </w:p>
        </w:tc>
        <w:tc>
          <w:tcPr>
            <w:tcW w:type="dxa" w:w="2800"/>
            <w:shd w:fill="2E3F6F" w:val="clear"/>
          </w:tcPr>
          <w:p>
            <w:pPr>
              <w:spacing w:after="80" w:before="80"/>
              <w:ind w:left="80"/>
            </w:pPr>
            <w:r>
              <w:rPr>
                <w:b/>
                <w:bCs/>
                <w:color w:val="FFFFFF"/>
                <w:sz w:val="20"/>
                <w:szCs w:val="20"/>
              </w:rPr>
              <w:t xml:space="preserve">Shared Responsibility</w:t>
            </w:r>
          </w:p>
        </w:tc>
      </w:tr>
      <w:tr>
        <w:tc>
          <w:tcPr>
            <w:tcW w:type="dxa" w:w="2200"/>
            <w:shd w:fill="F9FAFB" w:val="clear"/>
          </w:tcPr>
          <w:p>
            <w:pPr>
              <w:spacing w:after="60" w:before="60"/>
              <w:ind w:left="80"/>
            </w:pPr>
            <w:r>
              <w:rPr>
                <w:color w:val="555555"/>
                <w:sz w:val="20"/>
                <w:szCs w:val="20"/>
              </w:rPr>
              <w:t xml:space="preserve">Muhammad Umar (23I-0782)</w:t>
            </w:r>
          </w:p>
        </w:tc>
        <w:tc>
          <w:tcPr>
            <w:tcW w:type="dxa" w:w="3600"/>
            <w:shd w:fill="F9FAFB" w:val="clear"/>
          </w:tcPr>
          <w:p>
            <w:pPr>
              <w:spacing w:after="60" w:before="60"/>
              <w:ind w:left="80"/>
            </w:pPr>
            <w:r>
              <w:rPr>
                <w:color w:val="555555"/>
                <w:sz w:val="20"/>
                <w:szCs w:val="20"/>
              </w:rPr>
              <w:t xml:space="preserve">MCP Server · Pre-prompt context injection · Context selection algorithm · CLAUDE.md export</w:t>
            </w:r>
          </w:p>
        </w:tc>
        <w:tc>
          <w:tcPr>
            <w:tcW w:type="dxa" w:w="2800"/>
            <w:shd w:fill="F9FAFB" w:val="clear"/>
          </w:tcPr>
          <w:p>
            <w:pPr>
              <w:spacing w:after="60" w:before="60"/>
              <w:ind w:left="80"/>
            </w:pPr>
            <w:r>
              <w:rPr>
                <w:color w:val="555555"/>
                <w:sz w:val="20"/>
                <w:szCs w:val="20"/>
              </w:rPr>
              <w:t xml:space="preserve">API integration · Graph query design</w:t>
            </w:r>
          </w:p>
        </w:tc>
      </w:tr>
      <w:tr>
        <w:tc>
          <w:tcPr>
            <w:tcW w:type="dxa" w:w="2200"/>
            <w:shd w:fill="FFFFFF" w:val="clear"/>
          </w:tcPr>
          <w:p>
            <w:pPr>
              <w:spacing w:after="60" w:before="60"/>
              <w:ind w:left="80"/>
            </w:pPr>
            <w:r>
              <w:rPr>
                <w:color w:val="555555"/>
                <w:sz w:val="20"/>
                <w:szCs w:val="20"/>
              </w:rPr>
              <w:t xml:space="preserve">Muhammad Usman Al Haq (23I-0585)</w:t>
            </w:r>
          </w:p>
        </w:tc>
        <w:tc>
          <w:tcPr>
            <w:tcW w:type="dxa" w:w="3600"/>
            <w:shd w:fill="FFFFFF" w:val="clear"/>
          </w:tcPr>
          <w:p>
            <w:pPr>
              <w:spacing w:after="60" w:before="60"/>
              <w:ind w:left="80"/>
            </w:pPr>
            <w:r>
              <w:rPr>
                <w:color w:val="555555"/>
                <w:sz w:val="20"/>
                <w:szCs w:val="20"/>
              </w:rPr>
              <w:t xml:space="preserve">Knowledge Graph schema · Neo4j queries · Invalidation engine · Webhook handling · Multi-repo coherence check</w:t>
            </w:r>
          </w:p>
        </w:tc>
        <w:tc>
          <w:tcPr>
            <w:tcW w:type="dxa" w:w="2800"/>
            <w:shd w:fill="FFFFFF" w:val="clear"/>
          </w:tcPr>
          <w:p>
            <w:pPr>
              <w:spacing w:after="60" w:before="60"/>
              <w:ind w:left="80"/>
            </w:pPr>
            <w:r>
              <w:rPr>
                <w:color w:val="555555"/>
                <w:sz w:val="20"/>
                <w:szCs w:val="20"/>
              </w:rPr>
              <w:t xml:space="preserve">Architecture integration · Data consistency</w:t>
            </w:r>
          </w:p>
        </w:tc>
      </w:tr>
      <w:tr>
        <w:tc>
          <w:tcPr>
            <w:tcW w:type="dxa" w:w="2200"/>
            <w:shd w:fill="F9FAFB" w:val="clear"/>
          </w:tcPr>
          <w:p>
            <w:pPr>
              <w:spacing w:after="60" w:before="60"/>
              <w:ind w:left="80"/>
            </w:pPr>
            <w:r>
              <w:rPr>
                <w:color w:val="555555"/>
                <w:sz w:val="20"/>
                <w:szCs w:val="20"/>
              </w:rPr>
              <w:t xml:space="preserve">Shahmeer Atif (23I-0711)</w:t>
            </w:r>
          </w:p>
        </w:tc>
        <w:tc>
          <w:tcPr>
            <w:tcW w:type="dxa" w:w="3600"/>
            <w:shd w:fill="F9FAFB" w:val="clear"/>
          </w:tcPr>
          <w:p>
            <w:pPr>
              <w:spacing w:after="60" w:before="60"/>
              <w:ind w:left="80"/>
            </w:pPr>
            <w:r>
              <w:rPr>
                <w:color w:val="555555"/>
                <w:sz w:val="20"/>
                <w:szCs w:val="20"/>
              </w:rPr>
              <w:t xml:space="preserve">Decision extraction pipeline (DocumentAgent) · GiteaAgent + CodeAgent · Evaluation design and execution</w:t>
            </w:r>
          </w:p>
        </w:tc>
        <w:tc>
          <w:tcPr>
            <w:tcW w:type="dxa" w:w="2800"/>
            <w:shd w:fill="F9FAFB" w:val="clear"/>
          </w:tcPr>
          <w:p>
            <w:pPr>
              <w:spacing w:after="60" w:before="60"/>
              <w:ind w:left="80"/>
            </w:pPr>
            <w:r>
              <w:rPr>
                <w:color w:val="555555"/>
                <w:sz w:val="20"/>
                <w:szCs w:val="20"/>
              </w:rPr>
              <w:t xml:space="preserve">Frontend integration · Ingestion quality measurement</w:t>
            </w:r>
          </w:p>
        </w:tc>
      </w:tr>
    </w:tbl>
    <w:p>
      <w:pPr>
        <w:spacing w:after="100"/>
      </w:pPr>
      <w:r>
        <w:rPr>
          <w:color w:val="555555"/>
          <w:sz w:val="22"/>
          <w:szCs w:val="22"/>
        </w:rPr>
        <w:t xml:space="preserve">All three members share: system deployment, final defense, SRS/SDS documentation review, acceptance testing, and AI usage log.</w:t>
      </w:r>
    </w:p>
    <w:p/>
    <w:p>
      <w:r>
        <w:br w:type="page"/>
      </w:r>
    </w:p>
    <w:p>
      <w:pPr>
        <w:pStyle w:val="Heading1"/>
        <w:spacing w:after="160" w:before="400"/>
        <w:rPr>
          <w:b/>
          <w:bCs/>
          <w:color w:val="2E3F6F"/>
        </w:rPr>
      </w:pPr>
      <w:r>
        <w:t xml:space="preserve">9. Complex Computing Problem Statement</w:t>
      </w:r>
    </w:p>
    <w:p>
      <w:pPr>
        <w:spacing w:after="100"/>
      </w:pPr>
      <w:r>
        <w:rPr>
          <w:color w:val="555555"/>
          <w:sz w:val="22"/>
          <w:szCs w:val="22"/>
        </w:rPr>
        <w:t xml:space="preserve">Existing approaches to developer knowledge management (wikis, commit messages, flat markdown memory files) capture what changed but not why, are not queryable, are not attributed to decisions and people, go stale without active maintenance, and are inaccessible to AI code agents at the point of work.</w:t>
      </w:r>
    </w:p>
    <w:p>
      <w:pPr>
        <w:spacing w:after="100"/>
      </w:pPr>
      <w:r>
        <w:rPr>
          <w:color w:val="555555"/>
          <w:sz w:val="22"/>
          <w:szCs w:val="22"/>
        </w:rPr>
        <w:t xml:space="preserve">We will contribute a decision intelligence layer that: (1) extracts structured decisions from unstructured sources using LLM-based information extraction, (2) stores them in a property graph with causal and attribution edges, (3) detects and flags stale decisions using commit-triggered change impact analysis, and (4) injects relevant context into code agent prompts within a fixed token budget using graph traversal and semantic retrieval.</w:t>
      </w:r>
    </w:p>
    <w:p>
      <w:pPr>
        <w:spacing w:after="100"/>
      </w:pPr>
      <w:r>
        <w:rPr>
          <w:color w:val="555555"/>
          <w:sz w:val="22"/>
          <w:szCs w:val="22"/>
        </w:rPr>
        <w:t xml:space="preserve">We evaluate this using: (a) precision/recall of decision extraction on a held-out test set, (b) false-positive rate of the invalidation engine on real commit history, (c) relevance of MCP-injected context vs baseline MEMORY.md injection on 20 file-opening scenarios, and (d) user acceptance testing with 5-8 developers over a 2-week trial.</w:t>
      </w:r>
    </w:p>
    <w:p>
      <w:pPr>
        <w:spacing w:after="100"/>
      </w:pPr>
      <w:r>
        <w:rPr>
          <w:color w:val="555555"/>
          <w:sz w:val="22"/>
          <w:szCs w:val="22"/>
        </w:rPr>
        <w:t xml:space="preserve">Seoul Accord characteristics this addresses: (1) conflicting requirements — precision vs latency in extraction; recall vs token budget in injection; (2) no obvious solution — no existing tool combines graph-based decision storage with real-time invalidation and agent context injection; (3) depth of knowledge — requires understanding of knowledge graphs, LLM information extraction, change impact analysis, and the MCP protocol; (5) beyond standard practice — a CRUD wiki does not solve this; (7) significant consequences — an engineering team acting on a stale or missing decision causes production incidents; (8) interdependence — extraction quality affects graph quality which affects injection quality which affects agent usefulness; all four components must work together.</w:t>
      </w:r>
    </w:p>
    <w:p/>
    <w:p>
      <w:pPr>
        <w:pBdr>
          <w:bottom w:val="single" w:color="CCCCCC" w:sz="6"/>
        </w:pBdr>
        <w:spacing w:after="200"/>
      </w:pPr>
    </w:p>
    <w:p>
      <w:pPr>
        <w:jc w:val="center"/>
      </w:pPr>
      <w:r>
        <w:rPr>
          <w:i/>
          <w:iCs/>
          <w:color w:val="999999"/>
          <w:sz w:val="18"/>
          <w:szCs w:val="18"/>
        </w:rPr>
        <w:t xml:space="preserve">LogicVault — FAST NUCES FYP Project Plan · August 2026 · For internal use and supervisor review.</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LogicVault FYP Project Plan</dc:title>
  <dc:creator>LogicVault Team</dc:creator>
  <cp:lastModifiedBy>Un-named</cp:lastModifiedBy>
  <cp:revision>1</cp:revision>
  <dcterms:created xsi:type="dcterms:W3CDTF">2026-08-29T14:06:28.619Z</dcterms:created>
  <dcterms:modified xsi:type="dcterms:W3CDTF">2026-08-29T14:06:28.647Z</dcterms:modified>
</cp:coreProperties>
</file>

<file path=docProps/custom.xml><?xml version="1.0" encoding="utf-8"?>
<Properties xmlns="http://schemas.openxmlformats.org/officeDocument/2006/custom-properties" xmlns:vt="http://schemas.openxmlformats.org/officeDocument/2006/docPropsVTypes"/>
</file>