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وَلَاٰمُرَنَّهُمْ فَلَیُغَیِّرُنَّ خَلْقَ اللّٰهِ ؕ وَمَنْ یَّتَّخِذِ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الشَّیْطٰنَ وَلِیًّا مِّنْ دُوْنِ اللّٰهِ فَقَدْ خَسِرَ خُسْرَانًا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مُّبِیْنًا ۟ؕ یَعِدُهُمْ وَیُمَنِّیْهِمْ ؕ وَمَا یَعِدُهُمُ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الشَّیْطٰنُ اِلَّا غُرُوْرًا ۟ اُولٰٓىِٕكَ مَاْوٰىهُمْ جَهَنَّمُ ؗ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یَجِدُوْنَ عَنْهَا مَحِیْصًا ۟ وَالَّذِیْنَ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سَنُدْخِلُهُمْ جَنّٰتٍ تَجْرِیْ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تَحْتِهَا الْاَنْهٰرُ خٰلِدِیْنَ فِیْهَاۤ اَبَدًا ؕ وَعْدَ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حَقًّا ؕ وَمَنْ اَصْدَقُ مِنَ اللّٰهِ قِیْلًا ۟ 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بِاَمَانِیِّكُمْ وَلَاۤ اَمَانِیِّ اَهْلِ الْكِتٰبِ ؕ مَنْ یَّعْمَلْ</w:t>
      </w:r>
    </w:p>
    <w:p w:rsidR="00000000" w:rsidDel="00000000" w:rsidP="00000000" w:rsidRDefault="00000000" w:rsidRPr="00000000" w14:paraId="00000001">
      <w:pPr>
        <w:jc w:val="right"/>
        <w:rPr/>
      </w:pPr>
      <w:r>
        <w:t>سُوْٓءًا یُّجْزَ بِهٖ ۙ وَلَا یَجِدْ لَهٗ مِنْ دُوْنِ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وَلِیًّا وَّلَا نَصِیْرًا ۟ وَمَنْ یَّعْمَلْ مِنَ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ذَكَرٍ اَوْ اُ وَهُوَ مُؤْمِنٌ فَاُولٰٓىِٕكَ یَدْخُلُوْنَ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الْجَنَّةَ وَلَا یُظْلَمُوْنَ نَقِیْرًا ۟ وَمَنْ اَحْسَنُ دِیْنًا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