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اٰتَوْهُ مَوْثِقَهُمْ قَالَ اللّٰهُ عَلٰی مَا نَقُوْلُ وَكِیْلٌ ۟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یٰبَنِیَّ لَا تَدْخُلُوْا مِنْ بَابٍ وَّاحِدٍ وَّادْخُلُوْا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اَبْوَابٍ مُّتَفَرِّقَةٍ ؕ وَمَاۤ اُغْنِیْ عَنْكُمْ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ؕ اِنِ الْحُكْمُ اِلَّا لِلّٰهِ ؕ عَلَیْهِ تَوَكَّلْتُ ۚ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وَعَلَیْهِ فَلْیَتَوَكَّلِ الْمُتَوَكِّلُوْنَ ۟ وَلَمَّا دَخَلُوْا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حَیْثُ اَمَرَهُمْ اَبُوْهُمْ ؕ مَا كَانَ یُغْنِیْ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مِنْ شَیْءٍ اِلَّا حَاجَةً فِیْ نَفْسِ یَعْقُوْبَ</w:t>
      </w:r>
    </w:p>
    <w:p w:rsidR="00000000" w:rsidDel="00000000" w:rsidP="00000000" w:rsidRDefault="00000000" w:rsidRPr="00000000" w14:paraId="00000001">
      <w:pPr>
        <w:jc w:val="right"/>
        <w:rPr/>
      </w:pPr>
      <w:r>
        <w:t>قَضٰىهَا ؕ وَاِنَّهٗ لَذُوْ عِلْمٍ لِّمَا عَلَّمْنٰهُ وَلٰكِنَّ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النَّاسِ لَا یَعْلَمُوْنَ ۟۠ وَلَمَّا دَخَلُوْا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یُوْسُفَ اٰوٰۤی اِلَیْهِ اَخَاهُ قَالَ اِنِّیْۤ اَنَا اَخُوْكَ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تَبْتَىِٕسْ بِمَا كَانُوْا یَعْمَلُوْنَ ۟ فَلَمَّا جَهَّزَهُمْ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بِجَهَازِهِمْ جَعَلَ السِّقَایَةَ فِیْ رَحْلِ اَخِیْهِ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اَذَّنَ مُؤَذِّنٌ اَیَّتُهَا الْعِیْرُ اِنَّكُمْ لَسٰرِقُوْنَ ۟ قَالُوْا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