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2547"/>
          <w:sz w:val="44"/>
          <w:szCs w:val="44"/>
        </w:rPr>
        <w:t xml:space="preserve">ТЕХНИЧЕСКОЕ ЗАДАНИЕ</w:t>
      </w:r>
    </w:p>
    <w:p>
      <w:pPr>
        <w:spacing w:after="60"/>
        <w:jc w:val="center"/>
      </w:pPr>
      <w:r>
        <w:rPr>
          <w:b/>
          <w:bCs/>
          <w:color w:val="B8862B"/>
          <w:sz w:val="56"/>
          <w:szCs w:val="56"/>
        </w:rPr>
        <w:t xml:space="preserve">ШартномаЁр</w:t>
      </w:r>
    </w:p>
    <w:p>
      <w:pPr>
        <w:spacing w:after="400"/>
        <w:jc w:val="center"/>
      </w:pPr>
      <w:r>
        <w:rPr>
          <w:i/>
          <w:iCs/>
          <w:color w:val="44506B"/>
          <w:sz w:val="24"/>
          <w:szCs w:val="24"/>
        </w:rPr>
        <w:t xml:space="preserve">Веб-платформа для автоматизации составления юридических договоров с ИИ-ассистентом</w:t>
      </w:r>
    </w:p>
    <w:p>
      <w:pPr>
        <w:pBdr>
          <w:top w:val="single" w:color="D8DBE6" w:sz="4"/>
        </w:pBdr>
        <w:spacing w:after="60" w:before="300"/>
        <w:jc w:val="center"/>
      </w:pPr>
      <w:r>
        <w:t xml:space="preserve"/>
      </w:r>
    </w:p>
    <w:p>
      <w:pPr>
        <w:spacing w:after="140"/>
        <w:jc w:val="left"/>
      </w:pPr>
      <w:r>
        <w:rPr>
          <w:i/>
          <w:iCs/>
          <w:color w:val="1A1A2E"/>
          <w:sz w:val="21"/>
          <w:szCs w:val="21"/>
        </w:rPr>
        <w:t xml:space="preserve">Категория проекта: LegalTech / SaaS</w:t>
      </w:r>
    </w:p>
    <w:p>
      <w:pPr>
        <w:spacing w:after="140"/>
        <w:jc w:val="left"/>
      </w:pPr>
      <w:r>
        <w:rPr>
          <w:i/>
          <w:iCs/>
          <w:color w:val="1A1A2E"/>
          <w:sz w:val="21"/>
          <w:szCs w:val="21"/>
        </w:rPr>
        <w:t xml:space="preserve">Целевой рынок: юристы и юридические фирмы Республики Таджикистан</w:t>
      </w:r>
    </w:p>
    <w:p>
      <w:pPr>
        <w:spacing w:after="140"/>
        <w:jc w:val="left"/>
      </w:pPr>
      <w:r>
        <w:rPr>
          <w:i/>
          <w:iCs/>
          <w:color w:val="1A1A2E"/>
          <w:sz w:val="21"/>
          <w:szCs w:val="21"/>
        </w:rPr>
        <w:t xml:space="preserve">Языки интерфейса: русский, тоҷикӣ, English</w:t>
      </w:r>
    </w:p>
    <w:p>
      <w:pPr>
        <w:spacing w:after="140"/>
        <w:jc w:val="left"/>
      </w:pPr>
      <w:r>
        <w:rPr>
          <w:i/>
          <w:iCs/>
          <w:color w:val="1A1A2E"/>
          <w:sz w:val="21"/>
          <w:szCs w:val="21"/>
        </w:rPr>
        <w:t xml:space="preserve">Статус: рабочий прототип (frontend-MVP), развёрнут на Vercel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2547"/>
          <w:sz w:val="30"/>
          <w:szCs w:val="30"/>
        </w:rPr>
        <w:t xml:space="preserve">1. Идея и проблема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Составление договоров юристами в малых и средних юрфирмах Таджикистана сегодня — ручной, медленный и подверженный ошибкам процесс: юрист берёт старый шаблон в Word, правит вручную, теряет версии, не всегда успевает отследить изменения в законодательстве, которые затрагивают уже используемые формулировки.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ШартномаЁр — веб-платформа, которая переносит этот процесс в единый кабинет: карточки клиентов и дел, библиотека шаблонов и типовых пунктов договоров, ИИ-сборка черновика по анкете, версионирование правок, экспорт в готовый .docx, и уведомления об изменениях в законодательстве, затрагивающих используемые шаблоны.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Целевая аудитория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Практикующие юристы и адвокаты, ведущие типовые сделки (NDA, аренда, поставка, трудовые договоры).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Юридические фирмы, которым нужна единая база клиентов/дел и контроль версий документов.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Многоязычная среда Таджикистана — интерфейс на русском, тоҷикӣ и английском равноценен, не «переведённый», а спроектированный с нуля под каждый язык.</w:t>
      </w:r>
    </w:p>
    <w:p>
      <w:pPr>
        <w:pStyle w:val="Heading1"/>
        <w:spacing w:after="160" w:before="400"/>
      </w:pPr>
      <w:r>
        <w:rPr>
          <w:b/>
          <w:bCs/>
          <w:color w:val="1F2547"/>
          <w:sz w:val="30"/>
          <w:szCs w:val="30"/>
        </w:rPr>
        <w:t xml:space="preserve">2. Функциональные требования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2.1 Публичная часть (маркетинговый сайт)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Лендинг с описанием продукта, макетом кабинета, преимуществами.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Страницы: Возможности, Как это работает, Шаблоны, Тарифы, FAQ.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Переключатель языка (RU / TG / EN) и светлой/тёмной темы, сохраняются между визитами.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Адаптивная вёрстка: мобильная, планшетная и десктопная раскладки на всех страницах.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2.2 Личный кабинет юриста (SPA)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Вход/регистрация (демо-режим — любой e-mail и пароль; реальная авторизация подключается через backend по готовому контракту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Дашборд: сводка по черновикам, клиентам, непрочитанным уведомлениям, остаток лимита ИИ-запросов.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Клиенты: список, карточка клиента, статус (активный / потенциальный / архив), тип (физ./юр. лицо).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Дела: привязка к клиенту, статус, список связанных черновиков.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Мастер создания черновика: выбор шаблона → анкета полей → ИИ собирает текст договора из библиотеки типовых пунктов.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Редактор черновика: журнал версий, откат к любой версии, ручное редактирование с сохранением новой версии, экспорт в .docx (реальная генерация файла) и в PDF (через печать браузера).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Чек-бокс подтверждения ответственности юриста перед экспортом — обязателен, отражает то, что ИИ не подписывает и не заверяет документы.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Библиотека шаблонов и пунктов договоров по категориям.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Уведомления об изменениях законодательства с привязкой к затронутым шаблонам и уровнем важности (информация / важно / критично).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Настройки: профиль юриста, план (free / pro), лимит ИИ-запросов, журнал аудита всех действий (кто, что, когда).</w:t>
      </w:r>
    </w:p>
    <w:p>
      <w:pPr>
        <w:pStyle w:val="Heading1"/>
        <w:spacing w:after="160" w:before="400"/>
      </w:pPr>
      <w:r>
        <w:rPr>
          <w:b/>
          <w:bCs/>
          <w:color w:val="1F2547"/>
          <w:sz w:val="30"/>
          <w:szCs w:val="30"/>
        </w:rPr>
        <w:t xml:space="preserve">3. Архитектура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Проект спроектирован по принципу чёткого разделения слоёв: интерфейс никогда не обращается к источнику данных напрямую — только через один хук useAppData()/useAuth(). Это значит, что подключение реального backend не требует переписывать ни один экран.</w:t>
      </w:r>
    </w:p>
    <w:p>
      <w:pPr>
        <w:spacing w:after="80" w:before="180"/>
      </w:pPr>
      <w:r>
        <w:rPr>
          <w:b/>
          <w:bCs/>
          <w:color w:val="B8862B"/>
          <w:sz w:val="21"/>
          <w:szCs w:val="21"/>
        </w:rPr>
        <w:t xml:space="preserve">Текущее состояние (демо-режим)</w:t>
      </w:r>
    </w:p>
    <w:p>
      <w:pPr>
        <w:spacing w:after="140"/>
        <w:jc w:val="left"/>
      </w:pPr>
      <w:r>
        <w:rPr>
          <w:b/>
          <w:bCs/>
          <w:color w:val="1A1A2E"/>
          <w:sz w:val="21"/>
          <w:szCs w:val="21"/>
        </w:rPr>
        <w:t xml:space="preserve">UI (React) → useAppData() / useAuth() → localStorage браузера (мок-данные из src/data/seed.ts).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Все данные — клиенты, дела, черновики, версии, уведомления, журнал аудита — хранятся локально в браузере и переживают перезагрузку страницы. ИИ-генерация текста сейчас симулируется: подставляются реальные типовые формулировки из библиотеки пунктов с реалистичной задержкой (1.6–2.5 сек), как в настоящем запросе к языковой модели.</w:t>
      </w:r>
    </w:p>
    <w:p>
      <w:pPr>
        <w:spacing w:after="80" w:before="180"/>
      </w:pPr>
      <w:r>
        <w:rPr>
          <w:b/>
          <w:bCs/>
          <w:color w:val="B8862B"/>
          <w:sz w:val="21"/>
          <w:szCs w:val="21"/>
        </w:rPr>
        <w:t xml:space="preserve">Целевая архитектура (продакшн)</w:t>
      </w:r>
    </w:p>
    <w:p>
      <w:pPr>
        <w:spacing w:after="140"/>
        <w:jc w:val="left"/>
      </w:pPr>
      <w:r>
        <w:rPr>
          <w:b/>
          <w:bCs/>
          <w:color w:val="1A1A2E"/>
          <w:sz w:val="21"/>
          <w:szCs w:val="21"/>
        </w:rPr>
        <w:t xml:space="preserve">UI (React) → useAppData() / useAuth() → src/lib/api.ts (типизированный REST-клиент) → Backend API → БД + ИИ-сервис.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Слой src/lib/api.ts уже реализован и полностью описывает контракт будущего backend: эндпоинты авторизации, клиентов, дел, шаблонов, черновиков (включая POST /drafts/generate для реальной ИИ-генерации и POST /drafts/:id/export для серверного экспорта), уведомлений и журнала аудита. Все запросы типизированы через src/lib/types.ts. Переключение между демо- и боевым режимом — это переменная окружения VITE_API_URL: если она задана, приложение обращается к настоящему API; если нет — работает автономно на localStorage.</w:t>
      </w:r>
    </w:p>
    <w:p>
      <w:pPr>
        <w:pStyle w:val="Heading1"/>
        <w:spacing w:after="160" w:before="400"/>
      </w:pPr>
      <w:r>
        <w:rPr>
          <w:b/>
          <w:bCs/>
          <w:color w:val="1F2547"/>
          <w:sz w:val="30"/>
          <w:szCs w:val="30"/>
        </w:rPr>
        <w:t xml:space="preserve">4. Технологический стек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000"/>
      </w:tblGrid>
      <w:tr>
        <w:tc>
          <w:tcPr>
            <w:tcW w:type="dxa" w:w="2200"/>
            <w:shd w:fill="1F25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600"/>
            <w:shd w:fill="1F25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00"/>
            <w:shd w:fill="1F25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компонентный UI, строгая типизация</w:t>
            </w:r>
          </w:p>
        </w:tc>
      </w:tr>
      <w:tr>
        <w:tc>
          <w:tcPr>
            <w:tcW w:type="dxa" w:w="2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36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Vite 5</w:t>
            </w:r>
          </w:p>
        </w:tc>
        <w:tc>
          <w:tcPr>
            <w:tcW w:type="dxa" w:w="40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dev-сервер, продакшн-бандл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Стили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дизайн-система, тёмная/светлая тема</w:t>
            </w:r>
          </w:p>
        </w:tc>
      </w:tr>
      <w:tr>
        <w:tc>
          <w:tcPr>
            <w:tcW w:type="dxa" w:w="2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Роутинг</w:t>
            </w:r>
          </w:p>
        </w:tc>
        <w:tc>
          <w:tcPr>
            <w:tcW w:type="dxa" w:w="36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0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публичный сайт + SPA кабинета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Экспорт документов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docx (npm) + file-saver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реальная генерация .docx на клиенте</w:t>
            </w:r>
          </w:p>
        </w:tc>
      </w:tr>
      <w:tr>
        <w:tc>
          <w:tcPr>
            <w:tcW w:type="dxa" w:w="2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Иконки</w:t>
            </w:r>
          </w:p>
        </w:tc>
        <w:tc>
          <w:tcPr>
            <w:tcW w:type="dxa" w:w="36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0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единый набор иконок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собственный i18n-слой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RU / TG / EN словари + контекст</w:t>
            </w:r>
          </w:p>
        </w:tc>
      </w:tr>
      <w:tr>
        <w:tc>
          <w:tcPr>
            <w:tcW w:type="dxa" w:w="2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API-клиент</w:t>
            </w:r>
          </w:p>
        </w:tc>
        <w:tc>
          <w:tcPr>
            <w:tcW w:type="dxa" w:w="36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src/lib/api.ts (fetch-обёртка)</w:t>
            </w:r>
          </w:p>
        </w:tc>
        <w:tc>
          <w:tcPr>
            <w:tcW w:type="dxa" w:w="40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готовый контракт для backend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статическая SPA-сборка, авто-деплой из GitHub</w:t>
            </w:r>
          </w:p>
        </w:tc>
      </w:tr>
    </w:tbl>
    <w:p>
      <w:pPr>
        <w:pStyle w:val="Heading1"/>
        <w:spacing w:after="160" w:before="400"/>
      </w:pPr>
      <w:r>
        <w:rPr>
          <w:b/>
          <w:bCs/>
          <w:color w:val="1F2547"/>
          <w:sz w:val="30"/>
          <w:szCs w:val="30"/>
        </w:rPr>
        <w:t xml:space="preserve">5. Модель данных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00"/>
      </w:tblGrid>
      <w:tr>
        <w:tc>
          <w:tcPr>
            <w:tcW w:type="dxa" w:w="2400"/>
            <w:shd w:fill="1F25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4200"/>
            <w:shd w:fill="1F25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200"/>
            <w:shd w:fill="1F25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Lawyer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fullName, email, firm, plan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профиль юриста, тариф free/pro</w:t>
            </w:r>
          </w:p>
        </w:tc>
      </w:tr>
      <w:tr>
        <w:tc>
          <w:tcPr>
            <w:tcW w:type="dxa" w:w="24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4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name, type, status, contact</w:t>
            </w:r>
          </w:p>
        </w:tc>
        <w:tc>
          <w:tcPr>
            <w:tcW w:type="dxa" w:w="3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клиент (физ./юр. лицо)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Case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clientId, title, status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дело, привязанное к клиенту</w:t>
            </w:r>
          </w:p>
        </w:tc>
      </w:tr>
      <w:tr>
        <w:tc>
          <w:tcPr>
            <w:tcW w:type="dxa" w:w="24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Template</w:t>
            </w:r>
          </w:p>
        </w:tc>
        <w:tc>
          <w:tcPr>
            <w:tcW w:type="dxa" w:w="4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title, category, fields[], clauseIds[]</w:t>
            </w:r>
          </w:p>
        </w:tc>
        <w:tc>
          <w:tcPr>
            <w:tcW w:type="dxa" w:w="3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шаблон договора и его анкета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ClauseBlock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templateId, title, body, optional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типовой пункт договора</w:t>
            </w:r>
          </w:p>
        </w:tc>
      </w:tr>
      <w:tr>
        <w:tc>
          <w:tcPr>
            <w:tcW w:type="dxa" w:w="24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4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caseId, templateId, status, currentVersionId</w:t>
            </w:r>
          </w:p>
        </w:tc>
        <w:tc>
          <w:tcPr>
            <w:tcW w:type="dxa" w:w="3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черновик договора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DocumentVersion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draftId, number, content, author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версия текста черновика</w:t>
            </w:r>
          </w:p>
        </w:tc>
      </w:tr>
      <w:tr>
        <w:tc>
          <w:tcPr>
            <w:tcW w:type="dxa" w:w="24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LegislationAlert</w:t>
            </w:r>
          </w:p>
        </w:tc>
        <w:tc>
          <w:tcPr>
            <w:tcW w:type="dxa" w:w="4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title, summary, affectedTemplateIds, severity</w:t>
            </w:r>
          </w:p>
        </w:tc>
        <w:tc>
          <w:tcPr>
            <w:tcW w:type="dxa" w:w="3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уведомление об изменении закона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AuditLogEntry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action, target, actor, date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запись журнала аудита</w:t>
            </w:r>
          </w:p>
        </w:tc>
      </w:tr>
      <w:tr>
        <w:tc>
          <w:tcPr>
            <w:tcW w:type="dxa" w:w="24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AiUsage</w:t>
            </w:r>
          </w:p>
        </w:tc>
        <w:tc>
          <w:tcPr>
            <w:tcW w:type="dxa" w:w="4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used, limit, periodLabel</w:t>
            </w:r>
          </w:p>
        </w:tc>
        <w:tc>
          <w:tcPr>
            <w:tcW w:type="dxa" w:w="3200"/>
            <w:shd w:fill="F2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лимит ИИ-запросов по тарифу</w:t>
            </w:r>
          </w:p>
        </w:tc>
      </w:tr>
    </w:tbl>
    <w:p>
      <w:pPr>
        <w:pStyle w:val="Heading1"/>
        <w:spacing w:after="160" w:before="400"/>
      </w:pPr>
      <w:r>
        <w:rPr>
          <w:b/>
          <w:bCs/>
          <w:color w:val="1F2547"/>
          <w:sz w:val="30"/>
          <w:szCs w:val="30"/>
        </w:rPr>
        <w:t xml:space="preserve">6. Нефункциональные требования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Мультиязычность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Три языка первого класса — русский (эталонный словарь), тоҷикӣ (кириллица), английский. Переключение мгновенное, без перезагрузки, сохраняется в localStorage. Переведён весь UI, включая демо-данные (имена клиентов, тексты договоров, уведомления).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Адаптивность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Mobile-first вёрстка на Tailwind-брейкпоинтах: публичный сайт и кабинет одинаково пригодны на телефоне, планшете и десктопе; макет дашборда на лендинге перестраивается в одну колонку на узких экранах.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Безопасность и ответственность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Токен авторизации передаётся через заголовок Authorization: Bearer — контракт готов для JWT/сессионных токенов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Обязательное подтверждение ответственности юриста перед экспортом документа — юридический дисклеймер того, что ИИ не заверяет и не подписывает документы.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Журнал аудита фиксирует каждое значимое действие (создание, правка, экспорт) с указанием автора и времени.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Производительность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Продакшн-сборка — единый статический бандл (~230 КБ gzip), раздаётся через CDN Vercel; ИИ-симуляция и работа с localStorage не блокируют интерфейс благодаря асинхронным операциям.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2547"/>
          <w:sz w:val="30"/>
          <w:szCs w:val="30"/>
        </w:rPr>
        <w:t xml:space="preserve">7. Как защищать проект перед жюри</w:t>
      </w:r>
    </w:p>
    <w:p>
      <w:pPr>
        <w:spacing w:after="140"/>
        <w:jc w:val="both"/>
      </w:pPr>
      <w:r>
        <w:rPr>
          <w:color w:val="1A1A2E"/>
          <w:sz w:val="21"/>
          <w:szCs w:val="21"/>
        </w:rPr>
        <w:t xml:space="preserve">Ниже — короткие, честные формулировки по каждому слою системы. Главный принцип: не выдавать демо-режим за готовый backend, а показывать, что архитектура спроектирована так, чтобы backend подключился без переделки интерфейса — это и есть инженерная зрелость решения.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Про фронтенд</w:t>
      </w:r>
    </w:p>
    <w:p>
      <w:pPr>
        <w:spacing w:after="140"/>
        <w:jc w:val="both"/>
      </w:pPr>
      <w:r>
        <w:rPr>
          <w:i/>
          <w:iCs/>
          <w:color w:val="1A1A2E"/>
          <w:sz w:val="21"/>
          <w:szCs w:val="21"/>
        </w:rPr>
        <w:t xml:space="preserve">«Фронтенд — полностью рабочий React + TypeScript SPA. Это не статичный макет: работает роутинг, состояние, вся бизнес-логика кабинета — создание клиентов и дел, версионирование черновиков, реальный экспорт в .docx, локализация на три языка, тёмная тема. Все данные типизированы, компонент не может получить объект не той формы — TypeScript ловит это на этапе сборки.»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Про бэкенд</w:t>
      </w:r>
    </w:p>
    <w:p>
      <w:pPr>
        <w:spacing w:after="140"/>
        <w:jc w:val="both"/>
      </w:pPr>
      <w:r>
        <w:rPr>
          <w:i/>
          <w:iCs/>
          <w:color w:val="1A1A2E"/>
          <w:sz w:val="21"/>
          <w:szCs w:val="21"/>
        </w:rPr>
        <w:t xml:space="preserve">«Backend в проде ещё не поднят, но контракт API уже написан и зафиксирован в коде — src/lib/api.ts: эндпоинты для авторизации, клиентов, дел, шаблонов, генерации и экспорта черновиков, уведомлений, аудита. Каждый эндпоинт типизирован теми же интерфейсами, что и фронтенд. Подключение реального backend — это задать одну переменную окружения VITE_API_URL и заменить реализацию внутри store.tsx; ни один компонент интерфейса менять не придётся, потому что все они работают через один хук useAppData(). Это осознанное архитектурное решение для MVP: сначала — проверить продукт и UX на пользователях, backend поднимается под зафиксированный контракт, а не наоборот.»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Про ИИ-часть</w:t>
      </w:r>
    </w:p>
    <w:p>
      <w:pPr>
        <w:spacing w:after="140"/>
        <w:jc w:val="both"/>
      </w:pPr>
      <w:r>
        <w:rPr>
          <w:i/>
          <w:iCs/>
          <w:color w:val="1A1A2E"/>
          <w:sz w:val="21"/>
          <w:szCs w:val="21"/>
        </w:rPr>
        <w:t xml:space="preserve">«Сейчас генерация черновика симулирована: подставляются реальные готовые формулировки из библиотеки типовых пунктов договора с задержкой, имитирующей вызов языковой модели. Эндпоинт POST /drafts/generate уже описан в контракте API и ждёт реальный вызов LLM (например, через OpenAI/локальную модель) — меняется только реализация одной функции, интерфейс мастера создания черновика не меняется.»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Про данные и хранение</w:t>
      </w:r>
    </w:p>
    <w:p>
      <w:pPr>
        <w:spacing w:after="140"/>
        <w:jc w:val="both"/>
      </w:pPr>
      <w:r>
        <w:rPr>
          <w:i/>
          <w:iCs/>
          <w:color w:val="1A1A2E"/>
          <w:sz w:val="21"/>
          <w:szCs w:val="21"/>
        </w:rPr>
        <w:t xml:space="preserve">«В демо-режиме источник данных — localStorage браузера с типизированной моделью из 10 сущностей (клиенты, дела, шаблоны, черновики, версии, уведомления, аудит). Модель спроектирована так, что напрямую ложится на реляционную БД (PostgreSQL) — так и планируется в продакшене.»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Про локализацию</w:t>
      </w:r>
    </w:p>
    <w:p>
      <w:pPr>
        <w:spacing w:after="140"/>
        <w:jc w:val="both"/>
      </w:pPr>
      <w:r>
        <w:rPr>
          <w:i/>
          <w:iCs/>
          <w:color w:val="1A1A2E"/>
          <w:sz w:val="21"/>
          <w:szCs w:val="21"/>
        </w:rPr>
        <w:t xml:space="preserve">«Три языка — не автоперевод, а три независимых словаря с общим типом Dict, так что забытый ключ перевода — это ошибка компиляции TypeScript, а не сюрприз в проде. Это важно для рынка Таджикистана, где тоҷикӣ, русский и английский используются параллельно в деловом обороте.»</w:t>
      </w:r>
    </w:p>
    <w:p>
      <w:pPr>
        <w:pStyle w:val="Heading2"/>
        <w:spacing w:after="120" w:before="260"/>
      </w:pPr>
      <w:r>
        <w:rPr>
          <w:b/>
          <w:bCs/>
          <w:color w:val="1F2547"/>
          <w:sz w:val="24"/>
          <w:szCs w:val="24"/>
        </w:rPr>
        <w:t xml:space="preserve">Сложные вопросы жюри — и как отвечать</w:t>
      </w:r>
    </w:p>
    <w:p>
      <w:pPr>
        <w:spacing w:after="40" w:before="160"/>
      </w:pPr>
      <w:r>
        <w:rPr>
          <w:b/>
          <w:bCs/>
          <w:color w:val="1F2547"/>
          <w:sz w:val="21"/>
          <w:szCs w:val="21"/>
        </w:rPr>
        <w:t xml:space="preserve">❓ У вас правда есть backend, или это всё подделка?</w:t>
      </w:r>
    </w:p>
    <w:p>
      <w:pPr>
        <w:spacing w:after="100"/>
      </w:pPr>
      <w:r>
        <w:rPr>
          <w:i/>
          <w:iCs/>
          <w:color w:val="44506B"/>
          <w:sz w:val="21"/>
          <w:szCs w:val="21"/>
        </w:rPr>
        <w:t xml:space="preserve">✅ Backend не поднят — и мы это не скрываем. Готов контракт API и модель данных; фронтенд уже сейчас архитектурно не зависит от того, где лежат данные — localStorage или сервер.</w:t>
      </w:r>
    </w:p>
    <w:p>
      <w:pPr>
        <w:spacing w:after="40" w:before="160"/>
      </w:pPr>
      <w:r>
        <w:rPr>
          <w:b/>
          <w:bCs/>
          <w:color w:val="1F2547"/>
          <w:sz w:val="21"/>
          <w:szCs w:val="21"/>
        </w:rPr>
        <w:t xml:space="preserve">❓ Почему не подключили реальную ИИ-модель?</w:t>
      </w:r>
    </w:p>
    <w:p>
      <w:pPr>
        <w:spacing w:after="100"/>
      </w:pPr>
      <w:r>
        <w:rPr>
          <w:i/>
          <w:iCs/>
          <w:color w:val="44506B"/>
          <w:sz w:val="21"/>
          <w:szCs w:val="21"/>
        </w:rPr>
        <w:t xml:space="preserve">✅ Приоритет MVP — обкатать UX сборки договора на реальных пользователях без затрат на LLM-инфраструктуру; точка подключения (POST /drafts/generate) уже зафиксирована в контракте.</w:t>
      </w:r>
    </w:p>
    <w:p>
      <w:pPr>
        <w:spacing w:after="40" w:before="160"/>
      </w:pPr>
      <w:r>
        <w:rPr>
          <w:b/>
          <w:bCs/>
          <w:color w:val="1F2547"/>
          <w:sz w:val="21"/>
          <w:szCs w:val="21"/>
        </w:rPr>
        <w:t xml:space="preserve">❓ Как это масштабируется на много пользователей?</w:t>
      </w:r>
    </w:p>
    <w:p>
      <w:pPr>
        <w:spacing w:after="100"/>
      </w:pPr>
      <w:r>
        <w:rPr>
          <w:i/>
          <w:iCs/>
          <w:color w:val="44506B"/>
          <w:sz w:val="21"/>
          <w:szCs w:val="21"/>
        </w:rPr>
        <w:t xml:space="preserve">✅ Через смену источника данных на backend + БД по готовой модели — компоненты интерфейса переписывать не нужно, это и есть цель разделения на useAppData() и api.ts.</w:t>
      </w:r>
    </w:p>
    <w:p>
      <w:pPr>
        <w:spacing w:after="40" w:before="160"/>
      </w:pPr>
      <w:r>
        <w:rPr>
          <w:b/>
          <w:bCs/>
          <w:color w:val="1F2547"/>
          <w:sz w:val="21"/>
          <w:szCs w:val="21"/>
        </w:rPr>
        <w:t xml:space="preserve">❓ Что с безопасностью данных клиентов?</w:t>
      </w:r>
    </w:p>
    <w:p>
      <w:pPr>
        <w:spacing w:after="100"/>
      </w:pPr>
      <w:r>
        <w:rPr>
          <w:i/>
          <w:iCs/>
          <w:color w:val="44506B"/>
          <w:sz w:val="21"/>
          <w:szCs w:val="21"/>
        </w:rPr>
        <w:t xml:space="preserve">✅ Контракт API уже предполагает Bearer-токен авторизации на каждый запрос; в проде добавляется TLS, серверная валидация и разграничение доступа по юрфирмам — это стандартная следующая итерация backend, не архитектурное ограничение.</w:t>
      </w:r>
    </w:p>
    <w:p>
      <w:pPr>
        <w:spacing w:after="40" w:before="160"/>
      </w:pPr>
      <w:r>
        <w:rPr>
          <w:b/>
          <w:bCs/>
          <w:color w:val="1F2547"/>
          <w:sz w:val="21"/>
          <w:szCs w:val="21"/>
        </w:rPr>
        <w:t xml:space="preserve">❓ Почему три языка, а не один?</w:t>
      </w:r>
    </w:p>
    <w:p>
      <w:pPr>
        <w:spacing w:after="100"/>
      </w:pPr>
      <w:r>
        <w:rPr>
          <w:i/>
          <w:iCs/>
          <w:color w:val="44506B"/>
          <w:sz w:val="21"/>
          <w:szCs w:val="21"/>
        </w:rPr>
        <w:t xml:space="preserve">✅ Юридический рынок Таджикистана двуязычный/трёхъязычный в деловом обороте — это требование целевой аудитории, а не декоративная опция.</w:t>
      </w:r>
    </w:p>
    <w:p>
      <w:pPr>
        <w:pStyle w:val="Heading1"/>
        <w:spacing w:after="160" w:before="400"/>
      </w:pPr>
      <w:r>
        <w:rPr>
          <w:b/>
          <w:bCs/>
          <w:color w:val="1F2547"/>
          <w:sz w:val="30"/>
          <w:szCs w:val="30"/>
        </w:rPr>
        <w:t xml:space="preserve">8. Дальнейшее развитие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Backend на выбранном стеке (Node.js/NestJS или аналог) по уже готовому контракту src/lib/api.ts.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Подключение реальной ИИ-модели для генерации и корректировки текста договора.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PostgreSQL по модели данных из src/lib/types.ts.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Реальная авторизация (JWT), роли и разграничение доступа внутри юрфирмы.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Автоматический мониторинг изменений законодательства РТ для уведомлений (сейчас — мок-данные).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Серверный экспорт в PDF (сейчас — через печать браузера).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1008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2026-08-08T12:59:29.318Z</dcterms:created>
  <dcterms:modified xsi:type="dcterms:W3CDTF">2026-08-08T12:59:29.318Z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