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sz w:val="28"/>
          <w:szCs w:val="28"/>
        </w:rPr>
        <w:t xml:space="preserve">Slide 23</w:t>
      </w:r>
      <w:r>
        <w:rPr>
          <w:rFonts w:ascii="Arial" w:cs="Arial" w:eastAsia="Arial" w:hAnsi="Arial"/>
          <w:b/>
          <w:bCs/>
          <w:sz w:val="28"/>
          <w:szCs w:val="28"/>
        </w:rPr>
        <w:t xml:space="preserve"> — Primary Contributions</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C-1: Cross-Device Normalization Pipeline.</w:t>
      </w:r>
    </w:p>
    <w:p>
      <w:pPr>
        <w:pStyle w:val="ListParagraph"/>
        <w:numPr>
          <w:ilvl w:val="0"/>
          <w:numId w:val="3"/>
        </w:numPr>
        <w:spacing w:before="80" w:after="80"/>
      </w:pPr>
      <w:r>
        <w:rPr>
          <w:rFonts w:ascii="Arial" w:cs="Arial" w:eastAsia="Arial" w:hAnsi="Arial"/>
          <w:sz w:val="22"/>
          <w:szCs w:val="22"/>
        </w:rPr>
        <w:t xml:space="preserve">Design, implementation, and experimental validation of a 6-stage V4 fundus image preprocessing pipeline that standardizes retinal image appearance across diverse imaging devices and acquisition conditions while preserving diagnostically relevant features.</w:t>
      </w:r>
    </w:p>
    <w:p>
      <w:pPr>
        <w:pStyle w:val="ListParagraph"/>
        <w:numPr>
          <w:ilvl w:val="0"/>
          <w:numId w:val="3"/>
        </w:numPr>
        <w:spacing w:before="80" w:after="80"/>
      </w:pPr>
      <w:r>
        <w:rPr>
          <w:rFonts w:ascii="Arial" w:cs="Arial" w:eastAsia="Arial" w:hAnsi="Arial"/>
          <w:sz w:val="22"/>
          <w:szCs w:val="22"/>
        </w:rPr>
        <w:t xml:space="preserve">Validated via 6-configuration factorial ablation (Experiment 1), component-level ablation (Experiment 2), and device domain shift evaluation across Canon, Topcon, Kowa, and Zeiss hardware (Experiment 6). Establishes preprocessing as an integral model component rather than an ancillary data preparation step.</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C-2: Cross-Dataset Generalization Evidence.</w:t>
      </w:r>
    </w:p>
    <w:p>
      <w:pPr>
        <w:pStyle w:val="ListParagraph"/>
        <w:numPr>
          <w:ilvl w:val="0"/>
          <w:numId w:val="3"/>
        </w:numPr>
        <w:spacing w:before="80" w:after="80"/>
      </w:pPr>
      <w:r>
        <w:rPr>
          <w:rFonts w:ascii="Arial" w:cs="Arial" w:eastAsia="Arial" w:hAnsi="Arial"/>
          <w:sz w:val="22"/>
          <w:szCs w:val="22"/>
        </w:rPr>
        <w:t xml:space="preserve">Empirical demonstration that CNN models trained with the preprocessing pipeline on EyePACS generalize to independent clinical datasets (Messidor-2, IDRiD) without retraining, evaluated against a pre-registered generalization threshold (G ≥ 0.85).</w:t>
      </w:r>
    </w:p>
    <w:p>
      <w:pPr>
        <w:pStyle w:val="ListParagraph"/>
        <w:numPr>
          <w:ilvl w:val="0"/>
          <w:numId w:val="3"/>
        </w:numPr>
        <w:spacing w:before="80" w:after="80"/>
      </w:pPr>
      <w:r>
        <w:rPr>
          <w:rFonts w:ascii="Arial" w:cs="Arial" w:eastAsia="Arial" w:hAnsi="Arial"/>
          <w:sz w:val="22"/>
          <w:szCs w:val="22"/>
        </w:rPr>
        <w:t xml:space="preserve">Validated via Experiment 5 (cross-dataset generalization). Systematic cross-dataset transferability evaluation with a pre-registered threshold across 3+ independent datasets and 4+ camera manufacturers has not been previously reported in DR classification literature.</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C-3: Lesion Feature Preservation Analysis.</w:t>
      </w:r>
    </w:p>
    <w:p>
      <w:pPr>
        <w:pStyle w:val="ListParagraph"/>
        <w:numPr>
          <w:ilvl w:val="0"/>
          <w:numId w:val="3"/>
        </w:numPr>
        <w:spacing w:before="80" w:after="80"/>
      </w:pPr>
      <w:r>
        <w:rPr>
          <w:rFonts w:ascii="Arial" w:cs="Arial" w:eastAsia="Arial" w:hAnsi="Arial"/>
          <w:sz w:val="22"/>
          <w:szCs w:val="22"/>
        </w:rPr>
        <w:t xml:space="preserve">Quantitative demonstration via Grad-CAM explainability analysis that preprocessing directs CNN attention toward clinically relevant lesion regions, measured by Attention–Lesion Overlap (ALO) as the primary metric against IDRiD pixel-level lesion masks.</w:t>
      </w:r>
    </w:p>
    <w:p>
      <w:pPr>
        <w:pStyle w:val="ListParagraph"/>
        <w:numPr>
          <w:ilvl w:val="0"/>
          <w:numId w:val="3"/>
        </w:numPr>
        <w:spacing w:before="80" w:after="80"/>
      </w:pPr>
      <w:r>
        <w:rPr>
          <w:rFonts w:ascii="Arial" w:cs="Arial" w:eastAsia="Arial" w:hAnsi="Arial"/>
          <w:sz w:val="22"/>
          <w:szCs w:val="22"/>
        </w:rPr>
        <w:t xml:space="preserve">Validated via Experiment 4. ALO is introduced as a novel asymmetric metric that directly answers the clinically relevant question “Does the model attend to the lesion?” — prior work reports only qualitative Grad-CAM attention maps without systematic quantitative comparison.</w:t>
      </w:r>
    </w:p>
    <w:p>
      <w:r>
        <w:br w:type="page"/>
      </w:r>
    </w:p>
    <w:p>
      <w:pPr>
        <w:pStyle w:val="Heading1"/>
        <w:spacing w:before="360" w:after="200"/>
      </w:pPr>
      <w:r>
        <w:rPr>
          <w:rFonts w:ascii="Arial" w:cs="Arial" w:eastAsia="Arial" w:hAnsi="Arial"/>
          <w:b/>
          <w:bCs/>
          <w:sz w:val="28"/>
          <w:szCs w:val="28"/>
        </w:rPr>
        <w:t xml:space="preserve">Slide 24</w:t>
      </w:r>
      <w:r>
        <w:rPr>
          <w:rFonts w:ascii="Arial" w:cs="Arial" w:eastAsia="Arial" w:hAnsi="Arial"/>
          <w:b/>
          <w:bCs/>
          <w:sz w:val="28"/>
          <w:szCs w:val="28"/>
        </w:rPr>
        <w:t xml:space="preserve"> — Secondary Contributions</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Methodology</w:t>
      </w:r>
    </w:p>
    <w:p>
      <w:pPr>
        <w:pStyle w:val="ListParagraph"/>
        <w:numPr>
          <w:ilvl w:val="0"/>
          <w:numId w:val="2"/>
        </w:numPr>
        <w:spacing w:before="80" w:after="80"/>
      </w:pPr>
      <w:r>
        <w:rPr>
          <w:rFonts w:ascii="Arial" w:cs="Arial" w:eastAsia="Arial" w:hAnsi="Arial"/>
          <w:b/>
          <w:bCs/>
          <w:sz w:val="22"/>
          <w:szCs w:val="22"/>
        </w:rPr>
        <w:t xml:space="preserve">SC-A: Adaptive CLAHE Variant.</w:t>
      </w:r>
      <w:r>
        <w:rPr>
          <w:rFonts w:ascii="Arial" w:cs="Arial" w:eastAsia="Arial" w:hAnsi="Arial"/>
          <w:sz w:val="22"/>
          <w:szCs w:val="22"/>
        </w:rPr>
        <w:t xml:space="preserve">  Modified CLAHE formulation with dual-constraint clip limit (clip_factor × tile_area/256, capped by global_threshold × tile_area) in LAB color space, with stochastic application at train time (80% probability) for regularization. Parameters selected via independent sweep on IDRiD (Experiment 2).</w:t>
      </w:r>
    </w:p>
    <w:p>
      <w:pPr>
        <w:pStyle w:val="ListParagraph"/>
        <w:numPr>
          <w:ilvl w:val="0"/>
          <w:numId w:val="2"/>
        </w:numPr>
        <w:spacing w:before="80" w:after="80"/>
      </w:pPr>
      <w:r>
        <w:rPr>
          <w:rFonts w:ascii="Arial" w:cs="Arial" w:eastAsia="Arial" w:hAnsi="Arial"/>
          <w:b/>
          <w:bCs/>
          <w:sz w:val="22"/>
          <w:szCs w:val="22"/>
        </w:rPr>
        <w:t xml:space="preserve">SC-D: Flat-Field Illumination Normalization.</w:t>
      </w:r>
      <w:r>
        <w:rPr>
          <w:rFonts w:ascii="Arial" w:cs="Arial" w:eastAsia="Arial" w:hAnsi="Arial"/>
          <w:sz w:val="22"/>
          <w:szCs w:val="22"/>
        </w:rPr>
        <w:t xml:space="preserve">  Gaussian blur subtraction stage (corrected = image − GaussianBlur(image, σ=45) + 128) for spatially non-uniform illumination correction, reducing device-dependent illumination gradients while preserving local vessel and lesion detail. Validated via component-level ablation (Experiment 2, Level 2).</w:t>
      </w:r>
    </w:p>
    <w:p>
      <w:pPr>
        <w:pStyle w:val="ListParagraph"/>
        <w:numPr>
          <w:ilvl w:val="0"/>
          <w:numId w:val="2"/>
        </w:numPr>
        <w:spacing w:before="80" w:after="80"/>
      </w:pPr>
      <w:r>
        <w:rPr>
          <w:rFonts w:ascii="Arial" w:cs="Arial" w:eastAsia="Arial" w:hAnsi="Arial"/>
          <w:b/>
          <w:bCs/>
          <w:sz w:val="22"/>
          <w:szCs w:val="22"/>
        </w:rPr>
        <w:t xml:space="preserve">SC-F: OD-Fovea Rotation Normalization (Stage 0b).</w:t>
      </w:r>
      <w:r>
        <w:rPr>
          <w:rFonts w:ascii="Arial" w:cs="Arial" w:eastAsia="Arial" w:hAnsi="Arial"/>
          <w:sz w:val="22"/>
          <w:szCs w:val="22"/>
        </w:rPr>
        <w:t xml:space="preserve">  Classical-CV-based optic disc and fovea detection for fundus image rotation normalization. Standardizes the OD→fovea axis to horizontal; adaptive rotation_sigma links anatomical detection confidence to augmentation intensity. Confidence-based fallback when detection is uncertain.</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Evaluation</w:t>
      </w:r>
    </w:p>
    <w:p>
      <w:pPr>
        <w:pStyle w:val="ListParagraph"/>
        <w:numPr>
          <w:ilvl w:val="0"/>
          <w:numId w:val="2"/>
        </w:numPr>
        <w:spacing w:before="80" w:after="80"/>
      </w:pPr>
      <w:r>
        <w:rPr>
          <w:rFonts w:ascii="Arial" w:cs="Arial" w:eastAsia="Arial" w:hAnsi="Arial"/>
          <w:b/>
          <w:bCs/>
          <w:sz w:val="22"/>
          <w:szCs w:val="22"/>
        </w:rPr>
        <w:t xml:space="preserve">SC-B: CLAHE Sensitivity Characterization.</w:t>
      </w:r>
      <w:r>
        <w:rPr>
          <w:rFonts w:ascii="Arial" w:cs="Arial" w:eastAsia="Arial" w:hAnsi="Arial"/>
          <w:sz w:val="22"/>
          <w:szCs w:val="22"/>
        </w:rPr>
        <w:t xml:space="preserve">  Identification of the CLAHE clip limit sensitivity profile for DR classification: per-class F1-score (DR 1, DR 2) exhibits a non-trivial parameter-dependent sensitivity curve with an identifiable local optimum. Characterized via parameter sweep on IDRiD (Experiment 2).</w:t>
      </w:r>
    </w:p>
    <w:p>
      <w:pPr>
        <w:pStyle w:val="ListParagraph"/>
        <w:numPr>
          <w:ilvl w:val="0"/>
          <w:numId w:val="2"/>
        </w:numPr>
        <w:spacing w:before="80" w:after="80"/>
      </w:pPr>
      <w:r>
        <w:rPr>
          <w:rFonts w:ascii="Arial" w:cs="Arial" w:eastAsia="Arial" w:hAnsi="Arial"/>
          <w:b/>
          <w:bCs/>
          <w:sz w:val="22"/>
          <w:szCs w:val="22"/>
        </w:rPr>
        <w:t xml:space="preserve">SC-C: Cross-Device Robustness Evaluation.</w:t>
      </w:r>
      <w:r>
        <w:rPr>
          <w:rFonts w:ascii="Arial" w:cs="Arial" w:eastAsia="Arial" w:hAnsi="Arial"/>
          <w:sz w:val="22"/>
          <w:szCs w:val="22"/>
        </w:rPr>
        <w:t xml:space="preserve">  Systematic evaluation across four fundus camera manufacturers (Canon, Topcon, Kowa, Zeiss) using five datasets with documented camera metadata, producing a cross-device performance matrix (Experiment 6).</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Explainability</w:t>
      </w:r>
    </w:p>
    <w:p>
      <w:pPr>
        <w:pStyle w:val="ListParagraph"/>
        <w:numPr>
          <w:ilvl w:val="0"/>
          <w:numId w:val="2"/>
        </w:numPr>
        <w:spacing w:before="80" w:after="80"/>
      </w:pPr>
      <w:r>
        <w:rPr>
          <w:rFonts w:ascii="Arial" w:cs="Arial" w:eastAsia="Arial" w:hAnsi="Arial"/>
          <w:b/>
          <w:bCs/>
          <w:sz w:val="22"/>
          <w:szCs w:val="22"/>
        </w:rPr>
        <w:t xml:space="preserve">SC-E: Per-Patient Binocular Fusion.</w:t>
      </w:r>
      <w:r>
        <w:rPr>
          <w:rFonts w:ascii="Arial" w:cs="Arial" w:eastAsia="Arial" w:hAnsi="Arial"/>
          <w:sz w:val="22"/>
          <w:szCs w:val="22"/>
        </w:rPr>
        <w:t xml:space="preserve">  Per-patient binocular fusion model (PatientHead) combining left-eye and right-eye feature vectors via concatenation + element-wise absolute difference → MLP. Exploits bilateral DR symmetry; canonical flip (Stage 0a) is a prerequisite for interpretable bilateral feature alignment. Evaluated as optional extension in Experiment 1, Configs E and F.</w:t>
      </w:r>
    </w:p>
    <w:p>
      <w:r>
        <w:br w:type="page"/>
      </w:r>
    </w:p>
    <w:p>
      <w:pPr>
        <w:pStyle w:val="Heading1"/>
        <w:spacing w:before="360" w:after="200"/>
      </w:pPr>
      <w:r>
        <w:rPr>
          <w:rFonts w:ascii="Arial" w:cs="Arial" w:eastAsia="Arial" w:hAnsi="Arial"/>
          <w:b/>
          <w:bCs/>
          <w:sz w:val="28"/>
          <w:szCs w:val="28"/>
        </w:rPr>
        <w:t xml:space="preserve">Slide 25</w:t>
      </w:r>
      <w:r>
        <w:rPr>
          <w:rFonts w:ascii="Arial" w:cs="Arial" w:eastAsia="Arial" w:hAnsi="Arial"/>
          <w:b/>
          <w:bCs/>
          <w:sz w:val="28"/>
          <w:szCs w:val="28"/>
        </w:rPr>
        <w:t xml:space="preserve"> — Key Experimental Findings</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Preprocessing Dominance (H-1):</w:t>
      </w:r>
      <w:r>
        <w:rPr>
          <w:rFonts w:ascii="Arial" w:cs="Arial" w:eastAsia="Arial" w:hAnsi="Arial"/>
          <w:sz w:val="22"/>
          <w:szCs w:val="22"/>
        </w:rPr>
        <w:t xml:space="preserve">  The full V4 preprocessing pipeline produces measurable improvement in classification performance over the baseline (crop + resize + ImageNet normalize) independently for both ResNet-50 and EfficientNet-B3. This confirms that preprocessing is a primary driver of classification quality, not merely a data preparation convenience.</w:t>
      </w:r>
    </w:p>
    <w:p>
      <w:pPr>
        <w:pStyle w:val="ListParagraph"/>
        <w:numPr>
          <w:ilvl w:val="0"/>
          <w:numId w:val="2"/>
        </w:numPr>
        <w:spacing w:before="80" w:after="80"/>
      </w:pPr>
      <w:r>
        <w:rPr>
          <w:rFonts w:ascii="Arial" w:cs="Arial" w:eastAsia="Arial" w:hAnsi="Arial"/>
          <w:b/>
          <w:bCs/>
          <w:sz w:val="22"/>
          <w:szCs w:val="22"/>
        </w:rPr>
        <w:t xml:space="preserve">CLAHE Parameter Sensitivity (H-2):</w:t>
      </w:r>
      <w:r>
        <w:rPr>
          <w:rFonts w:ascii="Arial" w:cs="Arial" w:eastAsia="Arial" w:hAnsi="Arial"/>
          <w:sz w:val="22"/>
          <w:szCs w:val="22"/>
        </w:rPr>
        <w:t xml:space="preserve">  The dual-constraint CLAHE clip limit exhibits a parameter-dependent sensitivity profile with an identifiable local optimum on IDRiD. Per-class F1-score for DR 1 and DR 2 — grades characterized by subtle microvascular features — is particularly sensitive to clip limit configuration, confirming that CLAHE tuning is a non-trivial optimization problem requiring controlled validation rather than default parameter adoption.</w:t>
      </w:r>
    </w:p>
    <w:p>
      <w:pPr>
        <w:pStyle w:val="ListParagraph"/>
        <w:numPr>
          <w:ilvl w:val="0"/>
          <w:numId w:val="2"/>
        </w:numPr>
        <w:spacing w:before="80" w:after="80"/>
      </w:pPr>
      <w:r>
        <w:rPr>
          <w:rFonts w:ascii="Arial" w:cs="Arial" w:eastAsia="Arial" w:hAnsi="Arial"/>
          <w:b/>
          <w:bCs/>
          <w:sz w:val="22"/>
          <w:szCs w:val="22"/>
        </w:rPr>
        <w:t xml:space="preserve">Cross-Dataset Generalization (H-4):</w:t>
      </w:r>
      <w:r>
        <w:rPr>
          <w:rFonts w:ascii="Arial" w:cs="Arial" w:eastAsia="Arial" w:hAnsi="Arial"/>
          <w:sz w:val="22"/>
          <w:szCs w:val="22"/>
        </w:rPr>
        <w:t xml:space="preserve">  Models trained on EyePACS with the V4 pipeline maintain classification performance on Messidor-2 and IDRiD without retraining, evaluated against the pre-registered generalization ratio G ≥ 0.85. This supports the claim that preprocessing reduces domain-specific distribution shift rather than overfitting to a single dataset’s image characteristics.</w:t>
      </w:r>
    </w:p>
    <w:p>
      <w:pPr>
        <w:pStyle w:val="ListParagraph"/>
        <w:numPr>
          <w:ilvl w:val="0"/>
          <w:numId w:val="2"/>
        </w:numPr>
        <w:spacing w:before="80" w:after="80"/>
      </w:pPr>
      <w:r>
        <w:rPr>
          <w:rFonts w:ascii="Arial" w:cs="Arial" w:eastAsia="Arial" w:hAnsi="Arial"/>
          <w:b/>
          <w:bCs/>
          <w:sz w:val="22"/>
          <w:szCs w:val="22"/>
        </w:rPr>
        <w:t xml:space="preserve">Explainability — Lesion Attention (H-5):</w:t>
      </w:r>
      <w:r>
        <w:rPr>
          <w:rFonts w:ascii="Arial" w:cs="Arial" w:eastAsia="Arial" w:hAnsi="Arial"/>
          <w:sz w:val="22"/>
          <w:szCs w:val="22"/>
        </w:rPr>
        <w:t xml:space="preserve">  Grad-CAM analysis demonstrates that preprocessed models exhibit higher Attention–Lesion Overlap (ALO) compared to baseline models, indicating that preprocessing redirects CNN attention toward diagnostically relevant lesion structures. ALO provides a quantitative, asymmetric measure of lesion coverage by model attention.</w:t>
      </w:r>
    </w:p>
    <w:p>
      <w:pPr>
        <w:pStyle w:val="ListParagraph"/>
        <w:numPr>
          <w:ilvl w:val="0"/>
          <w:numId w:val="2"/>
        </w:numPr>
        <w:spacing w:before="80" w:after="80"/>
      </w:pPr>
      <w:r>
        <w:rPr>
          <w:rFonts w:ascii="Arial" w:cs="Arial" w:eastAsia="Arial" w:hAnsi="Arial"/>
          <w:b/>
          <w:bCs/>
          <w:sz w:val="22"/>
          <w:szCs w:val="22"/>
        </w:rPr>
        <w:t xml:space="preserve">Device Robustness (H-6):</w:t>
      </w:r>
      <w:r>
        <w:rPr>
          <w:rFonts w:ascii="Arial" w:cs="Arial" w:eastAsia="Arial" w:hAnsi="Arial"/>
          <w:sz w:val="22"/>
          <w:szCs w:val="22"/>
        </w:rPr>
        <w:t xml:space="preserve">  Classification performance is maintained across images from Canon, Topcon, Kowa, and Zeiss fundus cameras, with cross-device performance variance remaining within acceptable bounds. Preprocessing standardizes retinal image appearance across camera hardware, mitigating device-induced distribution shift.</w:t>
      </w:r>
    </w:p>
    <w:p>
      <w:pPr>
        <w:spacing w:before="60" w:after="60"/>
      </w:pPr>
      <w:r>
        <w:rPr>
          <w:rFonts w:ascii="Arial" w:cs="Arial" w:eastAsia="Arial" w:hAnsi="Arial"/>
          <w:i/>
          <w:iCs/>
          <w:color w:val="555555"/>
          <w:sz w:val="20"/>
          <w:szCs w:val="20"/>
        </w:rPr>
        <w:t xml:space="preserve">Note: H-3 (Two-Stage Fine-Tuning) was dropped in V3 as a scope reduction; the fine-tuning protocol is retained as a training strategy but is not independently tested as a hypothesis.</w:t>
      </w:r>
    </w:p>
    <w:p>
      <w:r>
        <w:br w:type="page"/>
      </w:r>
    </w:p>
    <w:p>
      <w:pPr>
        <w:pStyle w:val="Heading1"/>
        <w:spacing w:before="360" w:after="200"/>
      </w:pPr>
      <w:r>
        <w:rPr>
          <w:rFonts w:ascii="Arial" w:cs="Arial" w:eastAsia="Arial" w:hAnsi="Arial"/>
          <w:b/>
          <w:bCs/>
          <w:sz w:val="28"/>
          <w:szCs w:val="28"/>
        </w:rPr>
        <w:t xml:space="preserve">Slide 26</w:t>
      </w:r>
      <w:r>
        <w:rPr>
          <w:rFonts w:ascii="Arial" w:cs="Arial" w:eastAsia="Arial" w:hAnsi="Arial"/>
          <w:b/>
          <w:bCs/>
          <w:sz w:val="28"/>
          <w:szCs w:val="28"/>
        </w:rPr>
        <w:t xml:space="preserve"> — Theoretical Significance</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Preprocessing as a Model Component.</w:t>
      </w:r>
      <w:r>
        <w:rPr>
          <w:rFonts w:ascii="Arial" w:cs="Arial" w:eastAsia="Arial" w:hAnsi="Arial"/>
          <w:sz w:val="22"/>
          <w:szCs w:val="22"/>
        </w:rPr>
        <w:t xml:space="preserve">  This work reframes image preprocessing from an ancillary data preparation step to an integral component of the classification model. The central thesis — model = preprocessing + CNN — asserts that the preprocessing pipeline defines the feature space available to the classifier. Changes to the pipeline constitute changes to the model, not merely to its input.</w:t>
      </w:r>
    </w:p>
    <w:p>
      <w:pPr>
        <w:pStyle w:val="ListParagraph"/>
        <w:numPr>
          <w:ilvl w:val="0"/>
          <w:numId w:val="2"/>
        </w:numPr>
        <w:spacing w:before="80" w:after="80"/>
      </w:pPr>
      <w:r>
        <w:rPr>
          <w:rFonts w:ascii="Arial" w:cs="Arial" w:eastAsia="Arial" w:hAnsi="Arial"/>
          <w:b/>
          <w:bCs/>
          <w:sz w:val="22"/>
          <w:szCs w:val="22"/>
        </w:rPr>
        <w:t xml:space="preserve">Feature Space Control via Deterministic Normalization.</w:t>
      </w:r>
      <w:r>
        <w:rPr>
          <w:rFonts w:ascii="Arial" w:cs="Arial" w:eastAsia="Arial" w:hAnsi="Arial"/>
          <w:sz w:val="22"/>
          <w:szCs w:val="22"/>
        </w:rPr>
        <w:t xml:space="preserve">  The 6-stage V4 pipeline operates as a deterministic feature space transformation: canonical orientation normalizes geometric variability, flat-field correction removes illumination gradients, and CLAHE enhancement modulates local contrast. Each stage addresses a specific source of inter-domain distribution shift, providing principled control over the feature space the CNN must learn from.</w:t>
      </w:r>
    </w:p>
    <w:p>
      <w:pPr>
        <w:pStyle w:val="ListParagraph"/>
        <w:numPr>
          <w:ilvl w:val="0"/>
          <w:numId w:val="2"/>
        </w:numPr>
        <w:spacing w:before="80" w:after="80"/>
      </w:pPr>
      <w:r>
        <w:rPr>
          <w:rFonts w:ascii="Arial" w:cs="Arial" w:eastAsia="Arial" w:hAnsi="Arial"/>
          <w:b/>
          <w:bCs/>
          <w:sz w:val="22"/>
          <w:szCs w:val="22"/>
        </w:rPr>
        <w:t xml:space="preserve">Normalization–Generalization Link.</w:t>
      </w:r>
      <w:r>
        <w:rPr>
          <w:rFonts w:ascii="Arial" w:cs="Arial" w:eastAsia="Arial" w:hAnsi="Arial"/>
          <w:sz w:val="22"/>
          <w:szCs w:val="22"/>
        </w:rPr>
        <w:t xml:space="preserve">  The experimental evidence connecting preprocessing to cross-dataset generalization (H-4) and cross-device robustness (H-6) supports a theoretical link: normalization of domain-specific image characteristics reduces the gap between training and deployment distributions, thereby improving generalization without architecture modification or domain adaptation techniques. This is consistent with the broader machine learning principle that reducing input distribution variance narrows the hypothesis space the model must cover.</w:t>
      </w:r>
    </w:p>
    <w:p>
      <w:pPr>
        <w:pStyle w:val="ListParagraph"/>
        <w:numPr>
          <w:ilvl w:val="0"/>
          <w:numId w:val="2"/>
        </w:numPr>
        <w:spacing w:before="80" w:after="80"/>
      </w:pPr>
      <w:r>
        <w:rPr>
          <w:rFonts w:ascii="Arial" w:cs="Arial" w:eastAsia="Arial" w:hAnsi="Arial"/>
          <w:b/>
          <w:bCs/>
          <w:sz w:val="22"/>
          <w:szCs w:val="22"/>
        </w:rPr>
        <w:t xml:space="preserve">Quantitative Explainability via ALO.</w:t>
      </w:r>
      <w:r>
        <w:rPr>
          <w:rFonts w:ascii="Arial" w:cs="Arial" w:eastAsia="Arial" w:hAnsi="Arial"/>
          <w:sz w:val="22"/>
          <w:szCs w:val="22"/>
        </w:rPr>
        <w:t xml:space="preserve">  The introduction of Attention–Lesion Overlap (ALO) as a primary explainability metric contributes a quantitative framework for evaluating whether preprocessing improves model attention to clinically relevant structures. ALO addresses an asymmetry unresolved by IoU: it directly measures lesion coverage by model attention, answering the clinically relevant question rather than the symmetric spatial precision question.</w:t>
      </w:r>
    </w:p>
    <w:p>
      <w:r>
        <w:br w:type="page"/>
      </w:r>
    </w:p>
    <w:p>
      <w:pPr>
        <w:pStyle w:val="Heading1"/>
        <w:spacing w:before="360" w:after="200"/>
      </w:pPr>
      <w:r>
        <w:rPr>
          <w:rFonts w:ascii="Arial" w:cs="Arial" w:eastAsia="Arial" w:hAnsi="Arial"/>
          <w:b/>
          <w:bCs/>
          <w:sz w:val="28"/>
          <w:szCs w:val="28"/>
        </w:rPr>
        <w:t xml:space="preserve">Slide 27</w:t>
      </w:r>
      <w:r>
        <w:rPr>
          <w:rFonts w:ascii="Arial" w:cs="Arial" w:eastAsia="Arial" w:hAnsi="Arial"/>
          <w:b/>
          <w:bCs/>
          <w:sz w:val="28"/>
          <w:szCs w:val="28"/>
        </w:rPr>
        <w:t xml:space="preserve"> — Practical Significance</w:t>
      </w:r>
    </w:p>
    <w:p>
      <w:pPr>
        <w:spacing w:before="80" w:after="80"/>
      </w:pPr>
      <w:r>
        <w:rPr>
          <w:rFonts w:ascii="Arial" w:cs="Arial" w:eastAsia="Arial" w:hAnsi="Arial"/>
          <w:sz w:val="22"/>
          <w:szCs w:val="22"/>
        </w:rPr>
        <w:t xml:space="preserve"/>
      </w:r>
    </w:p>
    <w:p>
      <w:pPr>
        <w:pStyle w:val="ListParagraph"/>
        <w:numPr>
          <w:ilvl w:val="0"/>
          <w:numId w:val="2"/>
        </w:numPr>
        <w:spacing w:before="80" w:after="80"/>
      </w:pPr>
      <w:r>
        <w:rPr>
          <w:rFonts w:ascii="Arial" w:cs="Arial" w:eastAsia="Arial" w:hAnsi="Arial"/>
          <w:b/>
          <w:bCs/>
          <w:sz w:val="22"/>
          <w:szCs w:val="22"/>
        </w:rPr>
        <w:t xml:space="preserve">Applicability to DR Screening Scenarios.</w:t>
      </w:r>
      <w:r>
        <w:rPr>
          <w:rFonts w:ascii="Arial" w:cs="Arial" w:eastAsia="Arial" w:hAnsi="Arial"/>
          <w:sz w:val="22"/>
          <w:szCs w:val="22"/>
        </w:rPr>
        <w:t xml:space="preserve">  The preprocessing pipeline is designed for integration into automated five-class DR screening workflows. By standardizing fundus image appearance prior to classification, the pipeline addresses a practical bottleneck in screening programs: image quality variability across acquisition sites and equipment.</w:t>
      </w:r>
    </w:p>
    <w:p>
      <w:pPr>
        <w:pStyle w:val="ListParagraph"/>
        <w:numPr>
          <w:ilvl w:val="0"/>
          <w:numId w:val="2"/>
        </w:numPr>
        <w:spacing w:before="80" w:after="80"/>
      </w:pPr>
      <w:r>
        <w:rPr>
          <w:rFonts w:ascii="Arial" w:cs="Arial" w:eastAsia="Arial" w:hAnsi="Arial"/>
          <w:b/>
          <w:bCs/>
          <w:sz w:val="22"/>
          <w:szCs w:val="22"/>
        </w:rPr>
        <w:t xml:space="preserve">Robustness Across Datasets and Devices.</w:t>
      </w:r>
      <w:r>
        <w:rPr>
          <w:rFonts w:ascii="Arial" w:cs="Arial" w:eastAsia="Arial" w:hAnsi="Arial"/>
          <w:sz w:val="22"/>
          <w:szCs w:val="22"/>
        </w:rPr>
        <w:t xml:space="preserve">  Cross-dataset generalization (Experiment 5) and cross-device evaluation (Experiment 6) demonstrate that preprocessed models maintain classification performance across images sourced from independent clinical datasets and diverse camera hardware (Canon, Topcon, Kowa, Zeiss). This suggests applicability to multi-site screening environments where camera hardware is heterogeneous. These results are bounded to the tested datasets and devices; extension to untested devices or clinical populations requires independent validation.</w:t>
      </w:r>
    </w:p>
    <w:p>
      <w:pPr>
        <w:pStyle w:val="ListParagraph"/>
        <w:numPr>
          <w:ilvl w:val="0"/>
          <w:numId w:val="2"/>
        </w:numPr>
        <w:spacing w:before="80" w:after="80"/>
      </w:pPr>
      <w:r>
        <w:rPr>
          <w:rFonts w:ascii="Arial" w:cs="Arial" w:eastAsia="Arial" w:hAnsi="Arial"/>
          <w:b/>
          <w:bCs/>
          <w:sz w:val="22"/>
          <w:szCs w:val="22"/>
        </w:rPr>
        <w:t xml:space="preserve">Compatibility with Existing CNN Pipelines.</w:t>
      </w:r>
      <w:r>
        <w:rPr>
          <w:rFonts w:ascii="Arial" w:cs="Arial" w:eastAsia="Arial" w:hAnsi="Arial"/>
          <w:sz w:val="22"/>
          <w:szCs w:val="22"/>
        </w:rPr>
        <w:t xml:space="preserve">  The V4 preprocessing pipeline is modular and architecture-agnostic: it operates upstream of any CNN classifier accepting 512×512 RGB input. Experimental validation on both ResNet-50 and EfficientNet-B3 confirms that preprocessing benefits are not architecture-specific, supporting integration with existing transfer learning workflows.</w:t>
      </w:r>
    </w:p>
    <w:p>
      <w:pPr>
        <w:pStyle w:val="ListParagraph"/>
        <w:numPr>
          <w:ilvl w:val="0"/>
          <w:numId w:val="2"/>
        </w:numPr>
        <w:spacing w:before="80" w:after="80"/>
      </w:pPr>
      <w:r>
        <w:rPr>
          <w:rFonts w:ascii="Arial" w:cs="Arial" w:eastAsia="Arial" w:hAnsi="Arial"/>
          <w:b/>
          <w:bCs/>
          <w:sz w:val="22"/>
          <w:szCs w:val="22"/>
        </w:rPr>
        <w:t xml:space="preserve">Resource-Constrained Deployment.</w:t>
      </w:r>
      <w:r>
        <w:rPr>
          <w:rFonts w:ascii="Arial" w:cs="Arial" w:eastAsia="Arial" w:hAnsi="Arial"/>
          <w:sz w:val="22"/>
          <w:szCs w:val="22"/>
        </w:rPr>
        <w:t xml:space="preserve">  All experiments were conducted on a single NVIDIA RTX 3060 (12 GB VRAM), representative of hardware available in resource-limited clinical and academic settings. The pipeline imposes no requirements beyond standard image processing operations (OpenCV, PIL), maintaining low computational overhead.</w:t>
      </w:r>
    </w:p>
    <w:p>
      <w:pPr>
        <w:spacing w:before="60" w:after="60"/>
      </w:pPr>
      <w:r>
        <w:rPr>
          <w:rFonts w:ascii="Arial" w:cs="Arial" w:eastAsia="Arial" w:hAnsi="Arial"/>
          <w:i/>
          <w:iCs/>
          <w:color w:val="555555"/>
          <w:sz w:val="20"/>
          <w:szCs w:val="20"/>
        </w:rPr>
        <w:t xml:space="preserve">Boundary: The system architecture described in Chapter 6 has not been prototype-implemented or field-tested (DGL-4). All deployment-oriented statements are design specifications, not demonstrated outcomes. Device domain shift results do not constitute device certification or regulatory compliance (NC-16).</w:t>
      </w:r>
    </w:p>
    <w:p>
      <w:r>
        <w:br w:type="page"/>
      </w:r>
    </w:p>
    <w:p>
      <w:pPr>
        <w:pStyle w:val="Heading1"/>
        <w:spacing w:before="360" w:after="200"/>
      </w:pPr>
      <w:r>
        <w:rPr>
          <w:rFonts w:ascii="Arial" w:cs="Arial" w:eastAsia="Arial" w:hAnsi="Arial"/>
          <w:b/>
          <w:bCs/>
          <w:sz w:val="28"/>
          <w:szCs w:val="28"/>
        </w:rPr>
        <w:t xml:space="preserve">Slide 28</w:t>
      </w:r>
      <w:r>
        <w:rPr>
          <w:rFonts w:ascii="Arial" w:cs="Arial" w:eastAsia="Arial" w:hAnsi="Arial"/>
          <w:b/>
          <w:bCs/>
          <w:sz w:val="28"/>
          <w:szCs w:val="28"/>
        </w:rPr>
        <w:t xml:space="preserve"> — Conclusion and Future Work</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Conclusion</w:t>
      </w:r>
    </w:p>
    <w:p>
      <w:pPr>
        <w:spacing w:before="80" w:after="80"/>
      </w:pPr>
      <w:r>
        <w:rPr>
          <w:rFonts w:ascii="Arial" w:cs="Arial" w:eastAsia="Arial" w:hAnsi="Arial"/>
          <w:sz w:val="22"/>
          <w:szCs w:val="22"/>
        </w:rPr>
        <w:t xml:space="preserve">This dissertation demonstrated that an integrated preprocessing-CNN pipeline — where preprocessing is treated as an integral model component rather than an ancillary data preparation step — produces measurable improvement in five-class diabetic retinopathy classification. The proposed 6-stage V4 pipeline reduces domain variability across imaging devices and acquisition conditions while preserving diagnostically relevant retinal features.</w:t>
      </w:r>
    </w:p>
    <w:p>
      <w:pPr>
        <w:spacing w:before="80" w:after="80"/>
      </w:pPr>
      <w:r>
        <w:rPr>
          <w:rFonts w:ascii="Arial" w:cs="Arial" w:eastAsia="Arial" w:hAnsi="Arial"/>
          <w:sz w:val="22"/>
          <w:szCs w:val="22"/>
        </w:rPr>
        <w:t xml:space="preserve">Hypotheses H-1 (preprocessing dominance), H-2 (CLAHE sensitivity), H-4 (cross-dataset generalization), H-5 (explainability via ALO), and H-6 (device robustness) were experimentally evaluated through a structured factorial and ablation design across multiple datasets and CNN architectures.</w:t>
      </w:r>
    </w:p>
    <w:p>
      <w:pPr>
        <w:spacing w:before="80" w:after="80"/>
      </w:pPr>
      <w:r>
        <w:rPr>
          <w:rFonts w:ascii="Arial" w:cs="Arial" w:eastAsia="Arial" w:hAnsi="Arial"/>
          <w:sz w:val="22"/>
          <w:szCs w:val="22"/>
        </w:rPr>
        <w:t xml:space="preserve">The work contributes a validated preprocessing framework, a novel explainability metric (ALO), and systematic cross-dataset and cross-device evidence — addressing a gap in the DR classification literature where preprocessing is typically treated as an ad-hoc step without independent experimental justification.</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Future Work</w:t>
      </w:r>
    </w:p>
    <w:p>
      <w:pPr>
        <w:pStyle w:val="ListParagraph"/>
        <w:numPr>
          <w:ilvl w:val="0"/>
          <w:numId w:val="2"/>
        </w:numPr>
        <w:spacing w:before="80" w:after="80"/>
      </w:pPr>
      <w:r>
        <w:rPr>
          <w:rFonts w:ascii="Arial" w:cs="Arial" w:eastAsia="Arial" w:hAnsi="Arial"/>
          <w:b/>
          <w:bCs/>
          <w:sz w:val="22"/>
          <w:szCs w:val="22"/>
        </w:rPr>
        <w:t xml:space="preserve">Transformer-Based Backbones.</w:t>
      </w:r>
      <w:r>
        <w:rPr>
          <w:rFonts w:ascii="Arial" w:cs="Arial" w:eastAsia="Arial" w:hAnsi="Arial"/>
          <w:sz w:val="22"/>
          <w:szCs w:val="22"/>
        </w:rPr>
        <w:t xml:space="preserve">  Evaluate the V4 preprocessing pipeline with Vision Transformer (ViT) architectures to assess whether preprocessing dominance generalizes beyond CNN-based classifiers.</w:t>
      </w:r>
    </w:p>
    <w:p>
      <w:pPr>
        <w:pStyle w:val="ListParagraph"/>
        <w:numPr>
          <w:ilvl w:val="0"/>
          <w:numId w:val="2"/>
        </w:numPr>
        <w:spacing w:before="80" w:after="80"/>
      </w:pPr>
      <w:r>
        <w:rPr>
          <w:rFonts w:ascii="Arial" w:cs="Arial" w:eastAsia="Arial" w:hAnsi="Arial"/>
          <w:b/>
          <w:bCs/>
          <w:sz w:val="22"/>
          <w:szCs w:val="22"/>
        </w:rPr>
        <w:t xml:space="preserve">Domain Adaptation.</w:t>
      </w:r>
      <w:r>
        <w:rPr>
          <w:rFonts w:ascii="Arial" w:cs="Arial" w:eastAsia="Arial" w:hAnsi="Arial"/>
          <w:sz w:val="22"/>
          <w:szCs w:val="22"/>
        </w:rPr>
        <w:t xml:space="preserve">  Investigate domain adaptation techniques (e.g., adversarial training, distribution alignment) as complementary strategies to deterministic preprocessing for reducing cross-device distribution shift.</w:t>
      </w:r>
    </w:p>
    <w:p>
      <w:pPr>
        <w:pStyle w:val="ListParagraph"/>
        <w:numPr>
          <w:ilvl w:val="0"/>
          <w:numId w:val="2"/>
        </w:numPr>
        <w:spacing w:before="80" w:after="80"/>
      </w:pPr>
      <w:r>
        <w:rPr>
          <w:rFonts w:ascii="Arial" w:cs="Arial" w:eastAsia="Arial" w:hAnsi="Arial"/>
          <w:b/>
          <w:bCs/>
          <w:sz w:val="22"/>
          <w:szCs w:val="22"/>
        </w:rPr>
        <w:t xml:space="preserve">Larger Multi-Device Datasets.</w:t>
      </w:r>
      <w:r>
        <w:rPr>
          <w:rFonts w:ascii="Arial" w:cs="Arial" w:eastAsia="Arial" w:hAnsi="Arial"/>
          <w:sz w:val="22"/>
          <w:szCs w:val="22"/>
        </w:rPr>
        <w:t xml:space="preserve">  Extend cross-device evaluation to larger and more diverse fundus image collections, including imaging devices and clinical populations not represented in the current dataset architecture.</w:t>
      </w:r>
    </w:p>
    <w:p>
      <w:pPr>
        <w:pStyle w:val="ListParagraph"/>
        <w:numPr>
          <w:ilvl w:val="0"/>
          <w:numId w:val="2"/>
        </w:numPr>
        <w:spacing w:before="80" w:after="80"/>
      </w:pPr>
      <w:r>
        <w:rPr>
          <w:rFonts w:ascii="Arial" w:cs="Arial" w:eastAsia="Arial" w:hAnsi="Arial"/>
          <w:b/>
          <w:bCs/>
          <w:sz w:val="22"/>
          <w:szCs w:val="22"/>
        </w:rPr>
        <w:t xml:space="preserve">Improved Explainability Metrics.</w:t>
      </w:r>
      <w:r>
        <w:rPr>
          <w:rFonts w:ascii="Arial" w:cs="Arial" w:eastAsia="Arial" w:hAnsi="Arial"/>
          <w:sz w:val="22"/>
          <w:szCs w:val="22"/>
        </w:rPr>
        <w:t xml:space="preserve">  Refine ALO and develop additional lesion-aware attention metrics that account for lesion size, spatial distribution, and per-class sensitivity across DR severity grades.</w:t>
      </w:r>
    </w:p>
    <w:p>
      <w:pPr>
        <w:pStyle w:val="ListParagraph"/>
        <w:numPr>
          <w:ilvl w:val="0"/>
          <w:numId w:val="2"/>
        </w:numPr>
        <w:spacing w:before="80" w:after="80"/>
      </w:pPr>
      <w:r>
        <w:rPr>
          <w:rFonts w:ascii="Arial" w:cs="Arial" w:eastAsia="Arial" w:hAnsi="Arial"/>
          <w:b/>
          <w:bCs/>
          <w:sz w:val="22"/>
          <w:szCs w:val="22"/>
        </w:rPr>
        <w:t xml:space="preserve">Clinical Validation in Kazakhstan.</w:t>
      </w:r>
      <w:r>
        <w:rPr>
          <w:rFonts w:ascii="Arial" w:cs="Arial" w:eastAsia="Arial" w:hAnsi="Arial"/>
          <w:sz w:val="22"/>
          <w:szCs w:val="22"/>
        </w:rPr>
        <w:t xml:space="preserve">  Conduct prospective evaluation using clinical fundus images from Kazakh medical centers, following the external image ingestion protocol, to assess pipeline performance on real-world clinical data under field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2026-03-26T14:46:41.998Z</dcterms:created>
  <dcterms:modified xsi:type="dcterms:W3CDTF">2026-03-26T14:46:41.999Z</dcterms:modified>
</cp:coreProperties>
</file>

<file path=docProps/custom.xml><?xml version="1.0" encoding="utf-8"?>
<Properties xmlns="http://schemas.openxmlformats.org/officeDocument/2006/custom-properties" xmlns:vt="http://schemas.openxmlformats.org/officeDocument/2006/docPropsVTypes"/>
</file>