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International Information Technology University</w:t>
      </w:r>
    </w:p>
    <w:p>
      <w:pPr>
        <w:tabs>
          <w:tab w:pos="9638" w:val="right"/>
        </w:tabs>
        <w:spacing w:line="240" w:lineRule="auto" w:before="360"/>
        <w:ind w:firstLine="0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UDC: 004.93:617.735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On manuscript right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YESMUKHAMEDOV NURMAGANBET SEITKALIULY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12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Automated Diabetic Retinopathy Diagnosis via Fundus Image Enhancement and CNN Classification</w:t>
      </w:r>
    </w:p>
    <w:p>
      <w:pPr>
        <w:spacing w:line="240" w:lineRule="auto" w:before="24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8D06104 – Computer systems and software engineering</w:t>
      </w: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Thesis for the degree of doctor of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Philosophy (PhD)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Scientific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Candidate of Phys.-Math. Sciences,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Associate Professor, International Information Technology University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Sapakova S.Z.</w:t>
      </w:r>
    </w:p>
    <w:p>
      <w:pPr>
        <w:spacing w:line="240" w:lineRule="auto" w:after="0"/>
        <w:ind w:left="4819" w:firstLine="0"/>
        <w:jc w:val="left"/>
      </w:pP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Foreign consultant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Professor, Universiti Putra Malaysia</w:t>
      </w:r>
    </w:p>
    <w:p>
      <w:pPr>
        <w:spacing w:line="240" w:lineRule="auto" w:after="0"/>
        <w:ind w:left="4819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Al-Haddad S.A.R.</w:t>
      </w: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/>
        <w:ind w:firstLine="0"/>
      </w:pP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Republic of Kazakhstan</w:t>
      </w:r>
    </w:p>
    <w:p>
      <w:pPr>
        <w:spacing w:line="240" w:lineRule="auto" w:before="0" w:after="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Almaty, 2026</w:t>
      </w:r>
    </w:p>
    <w:p>
      <w:r>
        <w:br w:type="page"/>
      </w:r>
    </w:p>
    <w:p>
      <w:pPr>
        <w:spacing w:after="24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CONTENT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NORMATIVE REFERENCES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DESIGNATIONS AND ABBREVIATIONS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DEFINITIONS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INTRODUCTION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1 PROBLEM DOMAIN ANALYSIS AND CURRENT STATE OF AUTOMATED DIABETIC RETINOPATHY DIAGNOSIS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 Medical and Epidemiological Context of Diabetic Retinopathy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1.1.1 Pathophysiology and Clinical Grading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1.1.2 Screening Requirements in Resource-Limited Healthcare Settings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 Fundus Image Acquisition and Quality Variability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1.2.1 Sources of Image Degradation in Clinical Practice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1.2.2 Impact of Image Quality on Diagnostic Model Performance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1.2.3 Device-Specific Variability in Fundus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 Deep Learning Approaches to Retinal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1.3.1 Convolutional Neural Network Architectures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1.3.2 Transfer Learning and Self-Supervised Pretraining in Ophthalmic Diagnostics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1.3.3 Explainability Methods in Medical Image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1.4 Critical Analysis of Existing Automated DR Screening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1.5 Formulation of the Research Problem and Justification of Research Direction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1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2 THEORETICAL FOUNDATIONS OF IMAGE PREPROCESSING AND DEEP LEARNING FOR FUNDUS IMAGE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 Mathematical Foundations of Image Enhancement Techniques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2.1.1 Histogram Equalization and Adaptive Contrast Enhancement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27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2.1.2 Formalization of CLAHE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2.1.3 Spatial Filtering and Noise Reduction Methods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 Theoretical Framework of Convolutional Neural Networks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2.2.1 Convolution, Pooling, and Feature Extraction Operations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36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2.2.2 Loss Functions and Optimization for Imbalanced Medical Datasets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38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2.2.3 Regularization Techniques: Dropout, Batch Normalization, and 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41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 Transfer Learning and Self-Supervised Representation Learning Theory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2.3.1 Feature Transferability Across Visual Domains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2.3.2 Frozen-Layer versus Progressive Fine-Tuning Strategies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2.3.3 In-Domain Self-Supervised Pretraining for Retinal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 Mathematical Modeling of Laser-Tissue Interaction in Retinal Therapy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48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2.4.1 Coupled Thermal-Optical Model of Fundus Tissue Response (incl. implications for diagnostic image feature interpretation)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48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 Explainability in Deep Learning for Medical Imaging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2.5.1 Class Activation Mapping (CAM) and Grad-CAM Mathematical Formulation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2.5.2 Interpretation of Attention Maps in Ophthalmic Context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2.5.3 ALO and IoU as Quantitative Explainability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2.6 Image Quality Metrics for Preprocessing Evaluation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2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3 METHODOLOGY OF INTEGRATED PREPROCESSING-CNN PIPELINE DESIGN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59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 Formalization of the Unified 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3.1.1 Pipeline Stage Specification: 8-Stage System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59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3.1.2 Modified CLAHE Algorithm with Dual-Constraint Clip Limit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3.1.3 Augmentation Strategy for Class Imbalance Mitigation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3.1.4 External Image Ingestion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78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 Design of CNN Architectures for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3.2.1 ResNet-50 and EfficientNet-B3 as Primary Experimental Architectures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3.2.2 Historical Reference Architectures (Reference Only)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83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 Transfer Learning and Pretraining Methodology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3.3.1 Architecture Adaptation for Five-Class DR Classification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3.3.2 Ophthalmology-Specific Self-Supervised Pretraining of the CNN Backbone (Integrated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3.3.3 Two-Stage Fine-Tuning Protocol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3.3.4 Weighted Loss Function Formulation for Ordinal Class 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88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 Evaluation Framework and Performance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3.4.1 Multi-Metric Assessment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90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3.4.2 Cross-Validation and Statistical Reliability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94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3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96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4 EXPERIMENTAL RESEARCH — PREPROCESSING IMPACT ON CNN DIAGNOSTIC PERFORMANCE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 Datasets and Experimental Configuration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4.1.1 Tiered Dataset Architecture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97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4.1.2 Class Distribution Analysis and Data Partitioning Strategy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4.1.3 Hardware Specification and Reproducibility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 Experiment 1: Integrated Pipeline Dominance — Pipeline + In-Domain Pretraining vs. Baseline on EyePACS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4.2.1 Restored 2×2 Factorial Design (Configurations A–D)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4.2.2 Training Dynamics and Convergence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4.2.3 Quantitative Comparison of Diagnostic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 Experiment 2: Pipeline Stage Ablation + CLAHE/σ Sweeps (H-2)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4.3.1 Ablation Design (Levels 0–6)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4.3.2 CLAHE Threshold Sensitivity Analysis (H-2 Sub-Analysis)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4.3.3 Flat-Field σ Sweep and Image Quality Metrics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 Experiment 3: Cross-Dataset Transferability on APTOS 2019 (H-4)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4.4.1 Zero-Shot Transfer to APTOS 2019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4.4.2 Baseline vs Pipeline Comparison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 Experiment 4: Grad-CAM Explainability on IDRiD + Clinical (H-5)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4.5.1 Grad-CAM Generation Protocol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4.5.2 Quantitative ALO and IoU with IDRiD Lesion Masks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4.5.3 Attention Consistency Across Datasets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4.6 Experiment 5: Clinical Degradation Resistance on IDRiD + Messidor-2 (H-7)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4.7 Experiment 6: Device Domain Shift on DDR + ODIR-5K + RFMiD (H-6)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4.8 Experiment 7: Small Data Training (IDRiD → Clinical)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4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5 RELIABILITY VALIDATION AND COMPARATIVE ANALYSIS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5.1 Explainability Results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 Statistical 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5.2.1 Bootstrap Confidence Intervals and Mixed-Effects Model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5.2.2 Final Claim Strength Classifications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 Comparative Analysis with Published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5.3.1 Benchmarking Against Published Results: IDx-DR, EyeNuk, DeepMind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5.3.2 Performance-Complexity Trade-Off Analysis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5.4 Limitations and Boundary Conditions of the Proposed Approach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5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6 ARCHITECTURE OF AN AUTOMATED DR SCREENING SYSTEM FOR RESOURCE-LIMITED ENVIRONMENTS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107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 System Requirements and Design Principles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6.1.1 Functional and Non-Functional Requirements Specification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107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6.1.2 Modular Architecture with PACS and EHR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 AI Processing Module Design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6.2.1 Preprocessing Engine with Configurable Pipeline Parameters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113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6.2.2 Inference Module with Model Selection Logic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115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 Clinical Workflow Integration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117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 Telemedicine and Portable Device Support for Rural Deployment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117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6.3.1.1 Deployment in distributed telemedicine systems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117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6.3.1.2 Integration with national eHealth platforms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118</w:t>
      </w:r>
    </w:p>
    <w:p>
      <w:pPr>
        <w:tabs>
          <w:tab w:pos="9638" w:val="right" w:leader="dot"/>
        </w:tabs>
        <w:spacing w:after="40" w:line="240" w:lineRule="auto"/>
        <w:ind w:left="794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6.3.1.3 Real-time remote DR screening in low-resource regions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119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6.3.2 Physician-in-the-Loop Decision Support Interface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120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 Data Security and Regulatory Compliance Framework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6.4.1 GDPR/HIPAA-Aligned Data Management Protocols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121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6.4.2 Applicability to Kazakhstan Healthcare Infrastructure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122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Conclusions to Chapter 6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124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CONCLUSION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LIST OF REFERENCES USED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132</w:t>
      </w:r>
    </w:p>
    <w:p>
      <w:pPr>
        <w:tabs>
          <w:tab w:pos="9638" w:val="right" w:leader="dot"/>
        </w:tabs>
        <w:spacing w:after="40" w:line="240" w:lineRule="auto"/>
        <w:ind w:left="0" w:firstLine="0"/>
        <w:jc w:val="left"/>
      </w:pPr>
      <w:r>
        <w:rPr>
          <w:rFonts w:ascii="Times New Roman" w:hAnsi="Times New Roman" w:cs="Times New Roman" w:eastAsia="Times New Roman"/>
          <w:b/>
          <w:i w:val="0"/>
          <w:sz w:val="28"/>
        </w:rPr>
        <w:t>APPENDICES</w:t>
      </w:r>
      <w:r>
        <w:rPr>
          <w:rFonts w:ascii="Times New Roman" w:hAnsi="Times New Roman" w:cs="Times New Roman" w:eastAsia="Times New Roman"/>
          <w:b/>
          <w:i w:val="0"/>
          <w:sz w:val="28"/>
        </w:rPr>
        <w:tab/>
        <w:t>125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Appendix A — Source Code of the 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Appendix B — Supplementary Experimental Results and Confusion Matrices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Appendix C — System Architecture UML Diagrams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Appendix D — Certificates of Implementation and Approbation Acts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Appendix E — Grad-CAM Visualization Gallery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pPr>
        <w:tabs>
          <w:tab w:pos="9638" w:val="right" w:leader="dot"/>
        </w:tabs>
        <w:spacing w:after="40" w:line="240" w:lineRule="auto"/>
        <w:ind w:left="397" w:firstLine="0"/>
        <w:jc w:val="left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Appendix F — Device Domain Shift Supplementary Tables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ab/>
        <w:t>—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NORMATIVE REFERENCES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This thesis uses references to the following standards: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Instructions for the preparation of a thesis and an abstract, Higher Attestation Commission of the Ministry of Education and Science of the Republic of Kazakhstan dated September 28, 2004 No. 377-3y.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GOST 7.32-2001. Report on research work. Structure and design rules.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GOST 7.1-2003. Bibliographic record. Bibliographic description. General requirements and rules of compilation.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34.005-2002. Information Technology. Basic terms and definitions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34.015-2002. Information Technology. Set of standards for automated systems. Terms of reference for creating an IS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34.027-2006. Information Technologies. Classification of software tools (first edition).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8"/>
        </w:rPr>
        <w:t>ST RK 34.014-2002. Information Technology. A set of standards for automated systems. Automated systems. Terms and definitions.</w:t>
      </w:r>
    </w:p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DESIGNATIONS AND ABBREVIATIONS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ALO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Activation–Lesion Overlap (explainability metric)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APTOS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Asia Pacific Tele-Ophthalmology Society (2019 Blindness Detection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AUC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Area Under the Curve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BYOL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Bootstrap Your Own Latent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CLAHE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Contrast-Limited Adaptive Histogram Equalization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CNN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Convolutional Neural Network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CNR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Contrast-to-Noise Ratio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 grading dataset (DDR)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DINO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self-Distillation with No labels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Diabetic Retinopathy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ECE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Expected Calibration Error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EHR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Electronic Health Record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EMD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Earth Mover's Distance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Eye Picture Archive Communication System (diabetic-retinopathy 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 of View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GDPR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 Data Protection Regulation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Grad-CAM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Gradient-weighted Class Activation Mapping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HIPAA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Health Insurance Portability and Accountability Act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IDRiD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Indian Diabetic Retinopathy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IoU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Intersection over Union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Kullback–Leibler divergence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LAB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CIELAB colour space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MLP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Multilayer Perceptron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MoCo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Momentum Contrast (self-supervised learning method)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Negative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Optic Disc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ODIR-5K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Ocular Disease Intelligent Recognition dataset (5,000 patients)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PACS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Picture Archiving and Communication System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PPV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Positive Predictive Value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ReLU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Rectified Linear Unit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RFMiD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Fundus Multi-disease Image Dataset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RIQA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Retinal Image Quality Assessment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ROC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Receiver Operating Characteristic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SimCLR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Simple framework for Contrastive Learning of Representations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SSIM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Structural Similarity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Self-Supervised Learning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STARE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Structured Analysis of the Retina (dataset)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UML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Unified Modeling Language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VRAM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Video Random-Access Memory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VVI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Vessel Visibility Index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WSL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Windows Subsystem for Linux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XAI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Explainable Artificial Intelligence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D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Field-of-view diameter, in pixels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Clip limit of the CLAHE transform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F1-score (harmonic mean of precision and recall)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Generalization ratio, G = F1_external / F1_EyePACS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T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Global threshold of the dual-constraint CLAHE (T/80 formulation)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α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Class-weight parameter of the Focal Loss (inverse-frequency)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γ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Focusing parameter of the Focal Loss (γ = 2)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κ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Cohen's Kappa with quadratic weights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σ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Standard deviation of the Gaussian kernel in flat-field correction, σ = 0.07·D</w:t>
            </w:r>
          </w:p>
        </w:tc>
      </w:tr>
      <w:tr>
        <w:tc>
          <w:tcPr>
            <w:tcW w:type="dxa" w:w="181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ΔF1</w:t>
            </w:r>
          </w:p>
        </w:tc>
        <w:tc>
          <w:tcPr>
            <w:tcW w:type="dxa" w:w="7824"/>
          </w:tcPr>
          <w:p>
            <w:pPr>
              <w:spacing w:line="240" w:lineRule="auto" w:after="0"/>
              <w:ind w:firstLine="0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8"/>
              </w:rPr>
              <w:t>Cross-dataset F1 drop, ΔF1 = F1_EyePACS − F1_external</w:t>
            </w:r>
          </w:p>
        </w:tc>
      </w:tr>
    </w:tbl>
    <w:p>
      <w:r>
        <w:br w:type="page"/>
      </w:r>
    </w:p>
    <w:p>
      <w:pPr>
        <w:keepNext/>
        <w:spacing w:before="240" w:after="120"/>
        <w:jc w:val="center"/>
      </w:pPr>
      <w:r>
        <w:rPr>
          <w:rFonts w:ascii="Times New Roman" w:hAnsi="Times New Roman" w:cs="Times New Roman" w:eastAsia="Times New Roman"/>
          <w:b/>
          <w:i w:val="0"/>
          <w:sz w:val="32"/>
        </w:rPr>
        <w:t>DEFINITIONS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Architectural complexity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capacity of a CNN as defined by the number of convolutional layers, total trainable-parameter count, filter-size range, and the presence or absence of regularization components (batch normalization, dropout).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Baseline (baseline arm)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reference configuration of Experiment 1: stretch-resize to 512×512 followed by ImageNet normalization, producing a 3-channel tensor with no field-of-view mask and no preprocessing stages; the backbone is initialized from ImageNet.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CLAHE (Contrast-Limited Adaptive Histogram Equalization)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adaptive contrast-enhancement method operating on local image tiles with a clip limit that bounds contrast amplification; applied in the pipeline to the LAB L-channel under a dual-constraint clip limit (Stage 5).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Composite independent variable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combined manipulated factor of Experiment 1 (H-1), in which the full-pipeline arm differs from baseline jointly along the preprocessing axis (eight-stage pipeline vs. stretch-resize + ImageNet normalize) and the pretraining axis (ophthalmology-specific self-supervised pretraining vs. ImageNet).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Convolutional Neural Network (CNN)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neural architecture comprising convolutional and pooling layers for feature extraction and fully connected layers for classification; the classification backbone operating on preprocessed fundus images for five-class DR staging.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Cross-validation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validation strategy using 5-fold patient-level stratified splitting; for each fold, four folds serve as training data and one as test data, with no patient's images appearing in both partitions; metrics are reported as mean ± standard deviation across folds.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 augmentation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image transformations (flips, rotations, zoom, brightness/contrast, PCA colour) applied to the training data to increase variability and improve generalization; the train-only Stage 6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Dataset-specific normalization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channel-wise normalization (Stage 7) using mean and standard deviation computed from the training split of the primary dataset rather than ImageNet statistics; the normalization of the full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Diabetic retinopathy (DR)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microvascular complication of diabetes mellitus and a leading cause of preventable vision loss, graded in five severity stages (0 — none, 1 — mild, 2 — moderate, 3 — severe, 4 — proliferative).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Diagnostic effectiveness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joint performance profile on four primary metrics (accuracy, weighted F1-score, ROC-AUC, and Cohen's Kappa with quadratic weights) computed on the held-out test partition.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Domain shift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distributional difference between training data and target deployment data arising from differences in imaging equipment, patient populations, or acquisition protocols.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Field-of-view (FOV) mask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binary spatial mask (1.0 = real fundus data, 0.0 = zero-padding) generated at Stage 3 and appended as the 4th input channel, allowing the CNN to distinguish genuine retinal pixels from padded background.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Flat-field correction (adaptive)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Gaussian-blur subtraction with adaptive σ = 0.07·D (D = FOV diameter), applied inside the FOV mask to normalize uneven illumination while preserving local contrast; Stage 4 of the pipeline.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Fundus image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retinal photograph acquired by fundoscopy; the exclusive imaging modality of the dissertation and the input to the preprocessing pipeline and the CNN classifier.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Generalization (cross-database)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ratio of test-set F1-score on a secondary dataset to test-set F1-score on the primary dataset under the same trained model without retraining; the generalization ratio G = F1_external / F1_EyePACS.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Grad-CAM (Gradient-weighted Class Activation Mapping)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an explainability method producing class-discriminative localization maps from a gradient-weighted combination of final convolutional feature maps; an interpretability tool, not a clinical localization of pathology.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Image quality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measurable capacity of a fundus image to support automated detection of microvascular features relevant to DR staging, assessed through downstream classification performance rather than a subjective visual score.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Integrated pipeline dominance (H-1)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primary hypothesis that the integrated full-pipeline configuration outperforms the baseline as a unitary system, validated when the empirical dominance criterion (≥ 5 pp weighted-F1 gain, ≥ 0.02 ROC-AUC gain, no Cohen's Kappa degradation) is satisfied.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Ophthalmology-specific self-supervised pretraining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self-supervised pretraining of the CNN backbone on an unlabeled retinal fundus corpus (no DR labels), used as the full-pipeline-arm initialization; learns fundus-domain representations directly on the 4-channel pipeline tensor.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Physician-in-the-loop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design paradigm in which the clinician acts not merely as a consumer of AI outputs but as a tuner and auditor who interprets results and adjusts the system; the proposed system is a decision-support tool within this paradigm.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Preprocessing pipeline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canonical ordered eight-stage sequence (Stages 0–7) applied to fundus images prior to CNN input; the full pipeline applies all eight stages, producing a 4-channel tensor (RGB + FOV mask).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Resource-limited environment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deployment context characterized by at least two of: absence of GPU acceleration; available RAM below 16 GB; batch-processing-time constraints; network connectivity precluding continuous cloud-API reliance.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Transfer learning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the reuse and adaptation of pretrained network weights to the fundus-image domain; under H-1 the initialization source is slaved to the arm (ImageNet for baseline, ophthalmology-specific SSL for the full pipeline).</w:t>
      </w:r>
    </w:p>
    <w:p>
      <w:pPr>
        <w:ind w:firstLine="709"/>
        <w:jc w:val="both"/>
      </w:pPr>
      <w:r>
        <w:rPr>
          <w:rFonts w:ascii="Times New Roman" w:hAnsi="Times New Roman" w:cs="Times New Roman" w:eastAsia="Times New Roman"/>
          <w:b/>
          <w:i w:val="0"/>
          <w:sz w:val="28"/>
        </w:rPr>
        <w:t>Weighted loss function</w:t>
      </w:r>
      <w:r>
        <w:rPr>
          <w:rFonts w:ascii="Times New Roman" w:hAnsi="Times New Roman" w:cs="Times New Roman" w:eastAsia="Times New Roman"/>
          <w:b w:val="0"/>
          <w:i w:val="0"/>
          <w:sz w:val="28"/>
        </w:rPr>
        <w:t xml:space="preserve"> — a cross-entropy loss with class-specific weights addressing class imbalance and exploiting the ordinal structure of the five-class DR grading.</w:t>
      </w:r>
    </w:p>
    <w:sectPr w:rsidR="00FC693F" w:rsidRPr="0006063C" w:rsidSect="00034616">
      <w:footerReference w:type="default" r:id="rId9"/>
      <w:footerReference w:type="first" r:id="rId10"/>
      <w:pgSz w:w="11906" w:h="16838"/>
      <w:pgMar w:top="1134" w:right="567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Times New Roman"/>
        <w:b w:val="0"/>
        <w:i w:val="0"/>
        <w:sz w:val="28"/>
      </w:rPr>
      <w:fldChar w:fldCharType="begin"/>
      <w:instrText xml:space="preserve">PAGE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