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Slide 8 — Review of Existing Approaches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Deep learning-based DR diagnosis has achieved high single-dataset AUC but remains constrained by device-specific training distributions and limited preprocessing formalization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Comparison of Landmark Studies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700"/>
        <w:gridCol w:w="1800"/>
        <w:gridCol w:w="24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Scale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Limitation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Gulshan 2016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Inception-v3 (ensemble)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128,175 images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0.991 (EyePACS-1)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Single-device distribution; preprocessing not formalized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Ting 2017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CNN (proprietary)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~494,000 images; 10 external sets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0.936 (primary); 0.889–0.983 (external)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Cross-device AUC variance of 0.094; no illumination normalization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Rakhlin 2017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 VGGNet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88,696 images (Kaggle/EyePACS)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0.967 (Messidor-2)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set is single-camera, uniform quality; arbitrary rotation augmentation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Saxena 2020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InceptionResNetV2 (ensemble)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71,049 gradable (EyePACS)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0.958 (Messidor-1)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Non-adjudicated labels; no systematic preprocessing pipeline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Senapati 2024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Systematic review (2016–2023)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PRISMA: 170+ studies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 (review)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Identifies preprocessing, generalization, and dataset diversity as open gaps</w:t>
            </w:r>
          </w:p>
        </w:tc>
      </w:tr>
    </w:tbl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Identified Research Gaps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Preprocessing is treated as an ad-hoc ancillary step across all surveyed studies; no existing work formalizes the preprocessing pipeline as an integral model component with a defined feature space contract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Cross-device robustness remains unresolved: Ting (2017) reports AUC variance of 0.094 across 10 external datasets, indicating persistent distribution shift under device heterogeneity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surveyed study provides a deterministic, toggleable pipeline with ablation capability to isolate the contribution of individual preprocessing stages to classification performance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Slide 9 — Proposed Model: Central Design Decision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diagnostic system is defined as a two-stage composite function where preprocessing constitutes the first stage and the CNN classifier constitutes the second stage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Central Thesis Formalization</w:t>
      </w:r>
    </w:p>
    <w:p>
      <w:pPr>
        <w:spacing w:before="120" w:after="120"/>
        <w:ind w:left="720"/>
        <w:jc w:val="center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model = preprocessing + CNN</w:t>
      </w:r>
    </w:p>
    <w:p>
      <w:pPr>
        <w:spacing w:before="120" w:after="12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Preprocessing is not an ancillary data preparation step — it is an integral model component that defines the feature space available to the CNN classifier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principle: </w:t>
      </w:r>
      <w:r>
        <w:rPr>
          <w:rFonts w:ascii="Arial" w:cs="Arial" w:eastAsia="Arial" w:hAnsi="Arial"/>
          <w:sz w:val="22"/>
          <w:szCs w:val="22"/>
        </w:rPr>
        <w:t xml:space="preserve">preprocessing as feature space definition — the pipeline standardizes retinal image appearance across imaging devices, illumination conditions, and acquisition protocols while preserving diagnostically relevant microvascular features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Pipeline Abstraction</w:t>
      </w:r>
    </w:p>
    <w:p>
      <w:pPr>
        <w:spacing w:before="120" w:after="120"/>
        <w:ind w:left="720"/>
        <w:jc w:val="center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P(I) → CNN → ŷ</w:t>
      </w:r>
    </w:p>
    <w:p>
      <w:pPr>
        <w:spacing w:before="120" w:after="120"/>
      </w:pP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Stage 1 (Preprocessing P): deterministic image transformation pipeline mapping raw fundus I to a normalized feature-space representation P(I)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Stage 2 (CNN Classifier): convolutional neural network operating on the standardized feature space to produce DR severity prediction ŷ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quality of the feature space produced by P directly governs CNN discriminability; optimizing P is therefore a first-order concern for classification performance, not a secondary preprocessing step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Slide 10 — V4 Preprocessing Pipeline Architecture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V4 pipeline comprises six ordered stages applied to raw fundus photographs, with execution order: 0a → 0b → 1 → 2 → 3 → 5 → 4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Stage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1400"/>
        <w:gridCol w:w="1400"/>
        <w:gridCol w:w="28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0a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Canonical Flip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RGB → RGB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Right-eye orientation normalization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0b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OD–Fovea Rotation Normalization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RGB → RGB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 retinal axis alignment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FOV Crop + Resize (512×512)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RGB → RGB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Background removal, resolution unification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Flat-Field Correction (σ = 45)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RGB → RGB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Illumination gradient correction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Dual-Constraint CLAHE (LAB L-channel)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Toggleable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RGB → RGB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contrast enhancement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Integrated Augmentation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 only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RGB → RGB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Stochastic regularization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ImageNet Normalization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RGB → float32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CNN-ready tensor output (3×512×512)</w:t>
            </w:r>
          </w:p>
        </w:tc>
      </w:tr>
    </w:tbl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Pipeline Configurations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(ABSENT): </w:t>
      </w:r>
      <w:r>
        <w:rPr>
          <w:rFonts w:ascii="Arial" w:cs="Arial" w:eastAsia="Arial" w:hAnsi="Arial"/>
          <w:sz w:val="22"/>
          <w:szCs w:val="22"/>
        </w:rPr>
        <w:t xml:space="preserve">Stages 1 + 4 only — crop, resize, and ImageNet normalization (control condition for H-1)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V4 (ACTIVE): </w:t>
      </w:r>
      <w:r>
        <w:rPr>
          <w:rFonts w:ascii="Arial" w:cs="Arial" w:eastAsia="Arial" w:hAnsi="Arial"/>
          <w:sz w:val="22"/>
          <w:szCs w:val="22"/>
        </w:rPr>
        <w:t xml:space="preserve">All stages: 0a → 0b → 1 → 2 → 3 → 5 → 4 (experimental condition for H-1)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Key Design Properties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Pipeline is fully deterministic at inference: all stochastic elements (CLAHE gating, augmentation) are active only during training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Stage 5 (augmentation) precedes Stage 4 (normalization) because augmentation operates on uint8 pixel values; Stage 4 is always the final transformation</w:t>
      </w:r>
    </w:p>
    <w:p>
      <w:pPr>
        <w:pStyle w:val="ListParagraph"/>
        <w:numPr>
          <w:ilvl w:val="0"/>
          <w:numId w:val="4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stage is independently toggleable, enabling systematic ablation to isolate per-component contributions to classification performance (Experiment 2)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Slide 11 — CLAHE Mathematical Formalization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Stage 3 applies Dual-Constraint CLAHE on the LAB L-channel to enhance local contrast for small DR lesion structures (microaneurysms, dot hemorrhages) while preventing over-enhancement artifacts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Dual-Constraint Clip Limit Formula</w:t>
      </w:r>
    </w:p>
    <w:p>
      <w:pPr>
        <w:spacing w:before="120" w:after="120"/>
        <w:ind w:left="720"/>
        <w:jc w:val="center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CL = min( clip_factor × tile_area / 256,  global_threshold × tile_area )</w:t>
      </w:r>
    </w:p>
    <w:p>
      <w:pPr>
        <w:spacing w:before="40" w:after="80"/>
        <w:ind w:left="720"/>
        <w:jc w:val="center"/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CL = min(α × A/256, β × A)  where α = 2.0, β = 0.01, A = 4096 (64×64 tile)</w:t>
      </w:r>
    </w:p>
    <w:p>
      <w:pPr>
        <w:spacing w:before="40" w:after="120"/>
        <w:ind w:left="720"/>
        <w:jc w:val="center"/>
      </w:pPr>
      <w:r>
        <w:rPr>
          <w:rFonts w:ascii="Consolas" w:cs="Consolas" w:eastAsia="Consolas" w:hAnsi="Consolas"/>
          <w:i/>
          <w:iCs/>
          <w:sz w:val="20"/>
          <w:szCs w:val="20"/>
        </w:rPr>
        <w:t xml:space="preserve">Default: CL = min(32.0, 40.96) = 32.0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Processing Steps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Convert RGB → LAB color space; extract L-channel (luminance isolation from chrominance)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Partition L-channel into 8×8 tile grid (64×64 pixels per tile, area A = 4096)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Compute per-tile 256-bin histogram; clip at CL and redistribute excess counts uniformly across all bins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Apply CDF-based equalization via lookup table; merge enhanced L with original a, b channels; convert LAB → RGB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Four V4 Improvements over Standard CLAHE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Dual-constraint mechanism: </w:t>
      </w:r>
      <w:r>
        <w:rPr>
          <w:rFonts w:ascii="Arial" w:cs="Arial" w:eastAsia="Arial" w:hAnsi="Arial"/>
          <w:sz w:val="22"/>
          <w:szCs w:val="22"/>
        </w:rPr>
        <w:t xml:space="preserve">clip limit is bounded by both a per-tile scale factor (α) and a global threshold (β), preventing excessive local amplification in homogeneous regions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LAB color space processing: </w:t>
      </w:r>
      <w:r>
        <w:rPr>
          <w:rFonts w:ascii="Arial" w:cs="Arial" w:eastAsia="Arial" w:hAnsi="Arial"/>
          <w:sz w:val="22"/>
          <w:szCs w:val="22"/>
        </w:rPr>
        <w:t xml:space="preserve">enhancement is applied exclusively to the L-channel, preserving chrominance (a, b) and preventing color distortion artifacts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Stochastic application (p = 0.8): </w:t>
      </w:r>
      <w:r>
        <w:rPr>
          <w:rFonts w:ascii="Arial" w:cs="Arial" w:eastAsia="Arial" w:hAnsi="Arial"/>
          <w:sz w:val="22"/>
          <w:szCs w:val="22"/>
        </w:rPr>
        <w:t xml:space="preserve">CLAHE is applied with probability p during training (skipped with probability 1–p), providing implicit augmentation; always applied at inference for determinism</w:t>
      </w:r>
    </w:p>
    <w:p>
      <w:pPr>
        <w:pStyle w:val="ListParagraph"/>
        <w:numPr>
          <w:ilvl w:val="0"/>
          <w:numId w:val="5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Artifact control: </w:t>
      </w:r>
      <w:r>
        <w:rPr>
          <w:rFonts w:ascii="Arial" w:cs="Arial" w:eastAsia="Arial" w:hAnsi="Arial"/>
          <w:sz w:val="22"/>
          <w:szCs w:val="22"/>
        </w:rPr>
        <w:t xml:space="preserve">the dual constraint upper-bounds the clip limit, preventing noise amplification in low-contrast tiles and ring artifacts at tile boundaries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Slide 12 — CNN Architectures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pre-trained backbone architectures are evaluated in the 2×2 factorial design, representing distinct architectural paradigms for feature extraction from preprocessed fundus images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Architecture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ResNet-50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EfficientNet-B3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type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Residual network (50 layers, 4 bottleneck stages)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Compound-scaled network (MBConv + SE blocks)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dimension (d)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2048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1536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Pre-training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ImageNet-1K V2 (torchvision)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ImageNet-1K (timm)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~23.5M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~10.7M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Spatial feature map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2048 × 16 × 16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1536 × 16 × 16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 head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Dropout(0.4) → Linear(2048, 5)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Dropout(0.4) → Linear(1536, 5)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Mixed precision (fp16)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Disabled (fp16 overflow in softmax/logits)</w:t>
            </w:r>
          </w:p>
        </w:tc>
      </w:tr>
    </w:tbl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Training Configuration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Optimizer: </w:t>
      </w:r>
      <w:r>
        <w:rPr>
          <w:rFonts w:ascii="Arial" w:cs="Arial" w:eastAsia="Arial" w:hAnsi="Arial"/>
          <w:sz w:val="22"/>
          <w:szCs w:val="22"/>
        </w:rPr>
        <w:t xml:space="preserve">Adam (β₁ = 0.9, β₂ = 0.999, weight decay = 1×10⁻⁴)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Learning rate: </w:t>
      </w:r>
      <w:r>
        <w:rPr>
          <w:rFonts w:ascii="Arial" w:cs="Arial" w:eastAsia="Arial" w:hAnsi="Arial"/>
          <w:sz w:val="22"/>
          <w:szCs w:val="22"/>
        </w:rPr>
        <w:t xml:space="preserve">1×10⁻⁴ with ReduceOnPlateau scheduler (factor 0.5, patience 3, min LR 10⁻⁶)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size: </w:t>
      </w:r>
      <w:r>
        <w:rPr>
          <w:rFonts w:ascii="Arial" w:cs="Arial" w:eastAsia="Arial" w:hAnsi="Arial"/>
          <w:sz w:val="22"/>
          <w:szCs w:val="22"/>
        </w:rPr>
        <w:t xml:space="preserve">16 (hardware-constrained: 12 GB VRAM at 512×512 resolution)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Epochs: </w:t>
      </w:r>
      <w:r>
        <w:rPr>
          <w:rFonts w:ascii="Arial" w:cs="Arial" w:eastAsia="Arial" w:hAnsi="Arial"/>
          <w:sz w:val="22"/>
          <w:szCs w:val="22"/>
        </w:rPr>
        <w:t xml:space="preserve">max 20 with early stopping (patience 5, monitor val_weighted_F1)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Loss function: </w:t>
      </w:r>
      <w:r>
        <w:rPr>
          <w:rFonts w:ascii="Arial" w:cs="Arial" w:eastAsia="Arial" w:hAnsi="Arial"/>
          <w:sz w:val="22"/>
          <w:szCs w:val="22"/>
        </w:rPr>
        <w:t xml:space="preserve">weighted cross-entropy with inverse-frequency class weights to address severe class imbalance (~74% grade 0 in EyePACS)</w:t>
      </w:r>
    </w:p>
    <w:p>
      <w:pPr>
        <w:spacing w:before="120"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EfficientNet fp16 Constraint</w:t>
      </w:r>
    </w:p>
    <w:p>
      <w:pPr>
        <w:pStyle w:val="ListParagraph"/>
        <w:numPr>
          <w:ilvl w:val="0"/>
          <w:numId w:val="6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EfficientNet-B3 produces extreme logit magnitudes (±1700 range) under mixed precision, causing NaN in softmax and loss computation; fp16 is therefore disabled entirely for EfficientNet configurations, with training conducted in full fp32 precision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2026-03-26T14:08:17.160Z</dcterms:created>
  <dcterms:modified xsi:type="dcterms:W3CDTF">2026-03-26T14:08:17.161Z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