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SESSION C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28"/>
          <w:szCs w:val="28"/>
        </w:rPr>
        <w:t xml:space="preserve">Datasets &amp; Experimental Design</w:t>
      </w:r>
    </w:p>
    <w:p>
      <w:pPr>
        <w:spacing w:after="400"/>
        <w:jc w:val="center"/>
      </w:pPr>
      <w:r>
        <w:rPr>
          <w:rFonts w:ascii="Arial" w:cs="Arial" w:eastAsia="Arial" w:hAnsi="Arial"/>
          <w:color w:val="808080"/>
          <w:sz w:val="24"/>
          <w:szCs w:val="24"/>
        </w:rPr>
        <w:t xml:space="preserve">Slides 13–19</w:t>
      </w:r>
    </w:p>
    <w:p>
      <w:pPr>
        <w:pBdr>
          <w:bottom w:val="single" w:color="1F3864" w:sz="4" w:space="1"/>
        </w:pBdr>
        <w:spacing w:before="200" w:after="200"/>
      </w:pP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13 — Dataset Architecture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Tiered Dataset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160"/>
        <w:gridCol w:w="1200"/>
        <w:gridCol w:w="1400"/>
        <w:gridCol w:w="1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Images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Camera(s)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DR Labels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— Training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EyePACS (40%)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train/val (Exp 1, 2)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~14,050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 CR-1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 (5-class)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— Clinical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IDRiD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CLAHE sweep, lesion masks (Exp 2, 4, 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516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Kowa VX-10α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 + lesion masks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Generalization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Messidor-2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zero-shot (Exp 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1,748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Topcon TRC-NW6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0–2 (adjudicated)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— Generalization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Messidor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External zero-shot (Exp 5)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1,200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Topcon TRC-NW6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0–3 (retinopathy)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Device Shift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RFMiD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Cross-device (Exp 6)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3,200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Topcon, Kowa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Multi-label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Device Shift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DDR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Cross-device (Exp 6)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13,673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Canon, Topcon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0–4 (5-class)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— Device Shift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ODIR-5K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Cross-device (Exp 6)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5,000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Canon, Zeiss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Multi-label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Design 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4-tier architecture isolates training, clinical validation, generalization, and device-shift domains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Camera hardware diversity spans Canon, Topcon, Kowa, Zeiss — covering dominant fundoscopy manufacturers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Zero-shot protocol: Tier 3–4 datasets never seen during training; tests genuine transferability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EyePACS 40% subset (~14,050 images) balances computational feasibility with statistical power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dataset architecture is designed to systematically test the causal chain from domain variability to generalization. Tier 1 (EyePACS) provides the training domain with the largest labeled fundus corpus available. The 40% subset was adopted to match RTX 3060 12GB memory constraints while preserving five-class distribution proportionality.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Tier 2 (IDRiD) serves a dual purpose: it provides pixel-level lesion annotations required for Experiment 4 (Grad-CAM explainability with ALO/IoU), and it is the only dataset with ground-truth segmentation masks for microaneurysms, hemorrhages, hard exudates, and soft exudates. IDRiD also serves as the CLAHE parameter sweep dataset in Experiment 2.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Tier 3 (Messidor/Messidor-2) tests cross-database transferability under H-4. Generalization ratio G = F1_external / F1_EyePACS must reach ≥ 0.85 per OD-4. These datasets use Topcon cameras, introducing a camera-domain shift from the Canon-dominated EyePACS training set.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Tier 4 (RFMiD, DDR, ODIR-5K) introduces explicit device domain shift under H-6. These datasets contain images from multiple manufacturers, but per-image camera metadata is not available in public releases — datasets are listed under all applicable manufacturers and evaluated as a whole, with this limitation acknowledged per SB-1.8 in INVARIANTS.md.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Critical constraint per DGL-1: all performance claims are bounded to this specific dataset architecture. Extension to other datasets, devices, or clinical populations requires independent validation not available in this work.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14 — Experimental Design Overview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Experiment → Hypothesis → Claim Mapping (Diagram Description)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Structure: Causal Chain diagram with three levels — Problem → Method → Evidence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[PROBLEM LAYER]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Device variability → Distribution shift → Degraded CNN performance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[METHOD LAYER]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V4 preprocessing pipeline → Image normalization → Feature visibility → CNN generalization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[EVIDENCE LAYER — 5 active experiments]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Exp 1 (Factorial)    → H-1 (Preprocessing Dominance)     → PC-1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Exp 2 (Ablation)     → H-1 decomposition + H-2 (CLAHE)  → PC-2, PC-8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Exp 4 (Grad-CAM)     → H-5 (Explainability)             → PC-7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Exp 5 (Generalize)   → H-4 (Cross-Database Transfer)    → PC-6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Exp 6 (Device Shift) → H-6 (Device Robustness)          → PC-9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[DROPPED] Exp 3 (Degradation) — DROPPED in V3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[FUTURE]  Exp 7 (Kazakh Clinical) — no data available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Bullet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5 active experiments test 5 hypotheses (H-1, H-2, H-4, H-5, H-6); H-3 dropped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Each experiment maps to 1–2 primary claims (PC-1 through PC-9)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Causal chain: domain variability → preprocessing normalization → measurable CNN improvement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Experiment dependencies: Exp 2, 4, 5, 6 all depend on PC-1 (Exp 1 foundational)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experimental design implements a hypothesis-driven evaluation where each experiment tests a specific decomposition of the central hypothesis. The causal chain has two paths: the Problem chain (Premise 1 → Premise 2: device variability causes distribution shift, which degrades CNN classification) and the Solution chain (Premise 3: the V4 pipeline standardizes image appearance, reducing inter-domain shift while preserving diagnostic features).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 1 is foundational — it validates PC-1 (preprocessing dominance) via a 2×2 factorial design with 6 configurations. All subsequent experiments depend on PC-1 being established first. Experiment 2 decomposes H-1 into component contributions (PC-8) and tests CLAHE sensitivity (PC-2, supporting H-2). Experiment 4 provides the mechanistic bridge via Grad-CAM: if preprocessing improves classification (PC-1) AND directs attention to lesions (PC-7), the causal explanation is strengthened.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Experiments 5 and 6 test the generalization scope. Exp 5 (H-4) evaluates whether preprocessing-trained models transfer to unseen datasets without retraining. Exp 6 (H-6) evaluates whether cross-device performance variance is reduced by preprocessing. Together, they test whether the pipeline’s normalization effect extends beyond the training domain.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 3 (robustness under artificial degradation using APTOS 2019) was dropped in V3 because the synthetic degradation protocol was deemed less informative than real-world device domain shift testing (Exp 6). Experiment 7 (Kazakh clinical validation) remains as future work — no institutional data agreements are in place.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15 — Experiment 1: Factorial Design (2×2 + Extensions)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Configuration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60"/>
        <w:gridCol w:w="2000"/>
        <w:gridCol w:w="20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Preprocessing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Backbone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(crop + resize + ImageNet normalize)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ResNet-50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V4 pipeline (all 6 stages)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ResNet-50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(crop + resize + ImageNet normalize)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EfficientNet-B3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V4 pipeline (all 6 stages)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EfficientNet-B3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V4 + per-patient binocular blending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ResNet-50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V4 + per-patient binocular blending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EfficientNet-B3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Optional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Dominance Criterion (EH-3)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Preprocessing is empirically dominant iff ALL three hold simultaneously: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ΔF1 (weighted) ≥ 5 percentage points on the test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ΔAUC (ROC) ≥ 0.02 on the test partition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Δκ (Cohen’s Kappa, quadratic) ≥ 0 (no degradation)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3-fold patient-level cross-validation; seed=42; deterministic=true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No patient leakage: all images from one patient in same fold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Dominance tested independently: B vs. A (ResNet-50), D vs. C (EfficientNet-B3)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Configs E–F: optional binocular fusion extension (PatientHead architecture)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 1 implements the core 2×2 factorial design crossing two factors: preprocessing (baseline vs. full V4) and architecture (ResNet-50 vs. EfficientNet-B3). The 6 configurations A–F are defined in _CONFIGS within exp1_factorial.py. Configs A–D form the core factorial; E–F are optional extensions testing the PatientHead binocular fusion model.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EH-3 dominance criterion is deliberately conservative: all three metric thresholds must hold simultaneously. Improvement on a subset (e.g., F1 improves but Kappa degrades) does not constitute dominance. This prevents the common pitfall of cherry-picking the most favorable metric.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Patient-level splitting ensures zero data leakage: if a patient has bilateral images (left + right eye), both images are assigned to the same fold. This is implemented via patient_id-based stratified splitting in the data loader. The 3-fold protocol was adopted (reduced from 5-fold in earlier versions) to balance statistical rigor with computational feasibility on the RTX 3060 (12GB).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EH-4 (Sufficient Validation) additionally requires the same direction of effect on at least one external dataset (Messidor-2 or IDRiD) and replication across both architectures. Configs E–F provide supplementary evidence but are not required for EH-4 satisfaction.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Implementation note: mixed precision (fp16) is disabled for EfficientNet-B3 configs (C, D, F) due to fp16 overflow causing extreme logits (±1700 range) and val_loss NaN. ResNet-50 configs use fp16 without issue.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16 — Experiment 2: Ablation + CLAHE Sensitivity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V4 Ablation Sequence (7 Levels)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4360"/>
        <w:gridCol w:w="20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Stages Active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Cumulative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Stages 1 + 4 (crop+resize + ImageNet norm)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Baseline only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+Canonical Flip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Stages 0a + 1 + 4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+Stage 0a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+OD-Fovea Rotation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Stages 0a + 0b + 1 + 4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+Stage 0b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+Flat-Field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Stages 0a + 0b + 1 + 2 + 4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+Stage 2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+CLAHE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Stages 0a + 0b + 1 + 2 + 3 + 4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+Stage 3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+Augmentation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Stages 0a + 0b + 1 + 2 + 3 + 5 + 4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+Stage 5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V4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stages (0a+0b+1+2+3+5+4)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Image Quality Metrics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CNR (Contrast-to-Noise Ratio): vessel-to-background contrast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VVI (Vessel Visibility Index): retinal vessel clarity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Entropy: information content of preprocessed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SSIM: structural similarity relative to reference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CLAHE Parameter Sweep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Dataset: IDRiD; dual-constraint clip limit swept over (clip_factor, global_threshold) grid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Target: per-class F1 sensitivity profile for DR 1 and DR 2 (H-2)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 2 serves two purposes: (1) component-level ablation quantifying each V4 stage’s incremental contribution to classification (supporting PC-8 and H-1 decomposition), and (2) CLAHE parameter sensitivity analysis identifying whether the dual-constraint clip limit exhibits a non-trivial optimization landscape (supporting PC-2 and H-2).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ablation sequence is strictly incremental: each level adds exactly one stage to the previous configuration. This allows isolation of each stage’s marginal contribution. Level 0 (baseline) corresponds to Experiment 1 Configs A/C; Level 6 (full V4) corresponds to Configs B/D. The increment from Level 3 to Level 4 isolates the CLAHE contribution — this is expected to show the largest single-stage improvement based on prior literature.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Image quality metrics (CNR, VVI, Entropy, SSIM) are measured at each ablation level to provide an objective, task-independent assessment of preprocessing effects. These metrics quantify the feature visibility improvement that the causal chain predicts should mediate the classification improvement.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CLAHE parameter sweep uses IDRiD (not EyePACS) as the test dataset. The dual-constraint formula is CL = min(clip_factor × tile_area/256, global_threshold × tile_area). H-2 predicts at least one local optimum in per-class F1 for DR 1 and DR 2 — these classes represent the most diagnostically challenging grades where microaneurysm and small vessel features are subtle and CLAHE sensitivity is expected to be highest.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This experiment directly supports contributions SC-A (adaptive CLAHE variant) and SC-B (CLAHE sensitivity characterization). SC-D (flat-field illumination normalization) is also evidenced by comparing Levels 2 and 3 of the ablation.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17 — Experiment 4: Explainability (Grad-CAM)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Formal Metric Definitions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Primary metric — Attention–Lesion Overlap (ALO):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ALO = area(GradCAM ∩ lesion_mask) / area(lesion_mask)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Interpretation: fraction of the lesion region covered by model attention.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Clinically relevant — directly answers “Does the model attend to the lesion?”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Secondary metric — Intersection-over-Union (IoU):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    IoU = area(GradCAM ∩ lesion_mask) / area(GradCAM ∪ lesion_mask)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Interpretation: symmetric spatial precision of attention overlap.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Protocol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Model: EfficientNet-B4 (higher-capacity backbone for explainability)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Dataset: IDRiD (pixel-level lesion annotations)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Sample: 10 images × 5 DR classes × 4 lesion types (MA, HE, EX, 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Comparison: baseline (Stages 1+4) vs. full V4 pipeline (all stages)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Hypothesis: ALO_preprocessed &gt; ALO_baseline (primary test for H-5)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Boundary Condition (NC-14)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Grad-CAM ≠ clinical localization; interpretability tool, not diagnostic output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ALO is the primary explainability metric because it is asymmetric and clinically meaningful: it measures what fraction of the known lesion area is covered by the model’s attention (GradCAM activation above threshold). A high ALO means the model “sees” the lesion. IoU is secondary because it penalizes the model for attending to non-lesion regions — which may be diagnostically relevant context (e.g., vessel arcades near microaneurysms) that is not pathological but aids classification.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protocol uses EfficientNet-B4 (not B3 from Experiment 1) as a higher-capacity backbone where Grad-CAM activations have finer spatial resolution. The IDRiD dataset is the only dataset in the architecture with pixel-level lesion segmentation masks, making it the sole viable dataset for quantitative explainability evaluation.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10 images × 5 classes sampling yields 50 images total. For each image, ALO and IoU are computed per lesion type present: microaneurysms (MA), hemorrhages (HE), hard exudates (EX), and soft exudates (SE). Statistical comparison uses a paired test across images for at least 3 of 4 lesion types.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NC-14 from INVARIANTS.md is explicitly stated as a boundary condition: Grad-CAM activation maps indicate regions of high gradient-weighted activation in the final convolutional layer. They do not represent pixel-level diagnostic delineation of lesion boundaries. This experiment provides evidence that preprocessing directs attention toward clinically relevant structures (PC-7), but does not claim clinical-grade lesion detection capability.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This experiment provides the mechanistic bridge in the causal chain: if Exp 1 shows preprocessing improves classification AND Exp 4 shows preprocessing directs attention to lesions, then the causal explanation — preprocessing improves feature visibility, which improves classification — is supported by converging evidence.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18 — Experiments 5 &amp; 6: Generalization + Device Shift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Experiment 5 — Cross-Database Transferability (H-4)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 = F1_external / F1_EyePACS; success criterion: G ≥ 0.85 (per OD-4)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datasets: Messidor-2 (Topcon), Messidor (Topcon), IDRiD (Kowa)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Zero-shot protocol: checkpoints from Exp 1 applied without retraining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Metrics: Accuracy, Weighted F1, ROC-AUC per dataset; bootstrap 95% CI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Experiment 6 — Device Domain Shift (H-6)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Test datasets: RFMiD (Topcon/Kowa), DDR (Canon/Topcon), ODIR-5K (Canon/Zeiss)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Camera grouping: Canon, Topcon, Kowa, Zeiss — cross-device performance matrix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H-6 criterion: lower cross-device performance variance for preprocessed models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Statistical: DeLong test for ROC-AUC comparison; bootstrap CI across camera groups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Boundary Conditions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NC-16: device shift results ≠ device certification or regulatory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Per-image camera metadata unavailable in DDR/ODIR public releases (SB-1.8)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Experiments 5 and 6 were split from V3’s merged Experiment 3 back into two distinct V4 experiments because they test different hypotheses. Exp 5 tests H-4 (cross-database transferability: does preprocessing enable zero-shot generalization to unseen clinical datasets?) while Exp 6 tests H-6 (device robustness: does preprocessing reduce cross-device performance variance?).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generalization ratio G = F1_external / F1_EyePACS is a relative metric that normalizes external performance against in-domain performance. The threshold G ≥ 0.85 (per OD-4 in INVARIANTS.md) means that external performance must be within 15% of in-domain performance. This is evaluated per external dataset independently.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Experiment 6 uses camera-to-dataset mapping from get_dataset_camera_groups(): Canon maps to EyePACS, DDR, ODIR-5K; Topcon maps to Messidor, RFMiD, DDR; Kowa maps to IDRiD, RFMiD; Zeiss maps to ODIR-5K. Note that DDR and ODIR-5K contain images from multiple manufacturers, but per-image camera metadata is unavailable in public releases — these datasets are evaluated as whole units per camera group, with the limitation documented per SB-1.8.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zero-shot protocol is critical: models are trained only on EyePACS and applied to external datasets without any fine-tuning, domain adaptation, or re-calibration. This tests the generalization property of the preprocessing pipeline itself — whether standardizing image appearance is sufficient for cross-domain transfer.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NC-16 from INVARIANTS.md must be prominently stated: these results are empirical observations of cross-device performance variability, not device certification. No claim of device-agnostic deployment readiness is permissible based on Experiment 6 alone.</w:t>
      </w:r>
    </w:p>
    <w:p>
      <w:r>
        <w:br w:type="page"/>
      </w:r>
    </w:p>
    <w:p>
      <w:pPr>
        <w:pStyle w:val="Heading1"/>
        <w:spacing w:before="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Slide 19 — Evaluation Metrics Framework</w:t>
      </w:r>
    </w:p>
    <w:p>
      <w:pPr>
        <w:pBdr>
          <w:bottom w:val="single" w:color="1F3864" w:sz="4" w:space="1"/>
        </w:pBdr>
        <w:spacing w:before="200" w:after="20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Comprehensive Metric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35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 / Hypothesis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Weighted F1-score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severity grading accuracy (H-1, EH-3)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ROC-AUC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Discriminative ability across thresholds (H-1, EH-3)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Cohen’s κ (quadratic)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Agreement beyond chance; ordinal weighting (H-1, EH-3)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Overall correct rate (supplementary to F1)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Sensitivity / Specificity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Referable DR screening (≥ grade 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PPV / NPV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Clinical decision support metrics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Expected Calibration Error; probability reliability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Brier Score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Calibration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Probabilistic prediction accuracy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ALO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(Exp 4)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Lesion coverage by attention (H-5)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IoU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Explainability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Secondary (Exp 4)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Symmetric spatial precision of attention (H-5)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CNR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Quality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Vessel-to-background contrast (H-2, Exp 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VVI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Quality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Retinal vessel clarity (H-2, Exp 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Entropy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Quality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Information content of enhanced image (Exp 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SSIM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Image Quality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similarity preservation (Exp 2)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McNemar test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Paired classification comparison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DeLong test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ROC-AUC comparison significance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Bootstrap 95% CI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Statistical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intervals for all metrics</w:t>
            </w:r>
          </w:p>
        </w:tc>
      </w:tr>
    </w:tbl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Rationale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Multiple metric groups prevent single-metric optimization bias (EH-3 requires 3 simultaneous)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Classification metrics validate H-1; image quality metrics validate preprocessing effect (H-2)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Explainability metrics (ALO, IoU) provide mechanistic evidence for H-5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Statistical tests ensure reproducibility: McNemar for paired comparison, DeLong for AUC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Speaker Notes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The evaluation framework is organized into five metric categories, each serving a distinct evidential role in the hypothesis-driven experimental design. The primary classification metrics (Weighted F1, ROC-AUC, Cohen’s κ, Accuracy) are the direct dependent variables for H-1 and form the basis of the EH-3 dominance criterion. All three primary thresholds (ΔF1 ≥ 5pp, ΔAUC ≥ 0.02, Δκ ≥ 0) must be satisfied simultaneously — improvement on a subset does not constitute dominance.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Clinical metrics (Sensitivity, Specificity, PPV, NPV) are computed for the binary referable DR threshold (≥ grade 2), following the standard clinical screening paradigm. These are reported for all experiments but are secondary to the primary five-class metrics. The referable/non-referable split is implemented via to_binary_referable() in label_harmonization.py.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Calibration metrics (ECE, Brier Score) assess whether model confidence scores are reliable probability estimates. These are critical for clinical deployment contexts where a physician needs to trust the model’s confidence level — but per NC-16 and DGL-4, calibration quality does not constitute clinical reliability certification.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Explainability metrics (ALO, IoU) are specific to Experiment 4 and are computed against IDRiD lesion masks. ALO is designated primary because it directly measures the clinically relevant property: lesion coverage by model attention. IoU is secondary because it penalizes attention to non-lesion regions that may still be diagnostically relevant context.</w:t>
      </w:r>
    </w:p>
    <w:p>
      <w:pPr>
        <w:spacing w:before="40" w:after="40"/>
        <w:ind w:left="36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Image quality metrics (CNR, VVI, Entropy, SSIM) are computed per ablation level in Experiment 2 and provide the task-independent evidence that preprocessing improves feature visibility — the mediating variable in the causal chain. Statistical validation uses McNemar (paired classification comparison), DeLong (ROC-AUC comparison), and bootstrap 95% CI across all metrics. Holm-Bonferroni correction is applied for multiple comparisons.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2" w:space="4"/>
      </w:pBdr>
      <w:jc w:val="center"/>
    </w:pPr>
    <w:r>
      <w:rPr>
        <w:rFonts w:ascii="Arial" w:cs="Arial" w:eastAsia="Arial" w:hAnsi="Arial"/>
        <w:color w:val="808080"/>
        <w:sz w:val="14"/>
        <w:szCs w:val="14"/>
      </w:rPr>
      <w:t xml:space="preserve">Yesmukhamedov N.S. — IITU — Automated DR Diagnosis via Fundus Image Enhancement and CNN Classification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6"/>
        <w:szCs w:val="16"/>
      </w:rPr>
      <w:t xml:space="preserve">Doctoral Defense — Session C: Datasets &amp; Experimental Design (Slides 13–19)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2026-03-26T14:16:01.685Z</dcterms:created>
  <dcterms:modified xsi:type="dcterms:W3CDTF">2026-03-26T14:16:01.686Z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