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480"/>
        <w:jc w:val="center"/>
      </w:pPr>
      <w:r>
        <w:rPr>
          <w:rFonts w:ascii="Times New Roman" w:cs="Times New Roman" w:eastAsia="Times New Roman" w:hAnsi="Times New Roman"/>
          <w:b/>
          <w:bCs/>
          <w:sz w:val="32"/>
          <w:szCs w:val="32"/>
        </w:rPr>
        <w:t xml:space="preserve">CHAPTER 1</w:t>
      </w:r>
    </w:p>
    <w:p>
      <w:pPr>
        <w:spacing w:after="600"/>
        <w:jc w:val="center"/>
      </w:pPr>
      <w:r>
        <w:rPr>
          <w:rFonts w:ascii="Times New Roman" w:cs="Times New Roman" w:eastAsia="Times New Roman" w:hAnsi="Times New Roman"/>
          <w:b/>
          <w:bCs/>
          <w:sz w:val="28"/>
          <w:szCs w:val="28"/>
        </w:rPr>
        <w:t xml:space="preserve">PROBLEM DOMAIN ANALYSIS AND CURRENT STATE OF AUTOMATED DIABETIC RETINOPATHY DIAGNOSIS</w:t>
      </w:r>
    </w:p>
    <w:p>
      <w:pPr>
        <w:pStyle w:val="Heading2"/>
        <w:spacing w:before="360" w:after="240"/>
      </w:pPr>
      <w:r>
        <w:rPr>
          <w:rFonts w:ascii="Times New Roman" w:cs="Times New Roman" w:eastAsia="Times New Roman" w:hAnsi="Times New Roman"/>
          <w:b/>
          <w:bCs/>
          <w:sz w:val="28"/>
          <w:szCs w:val="28"/>
        </w:rPr>
        <w:t xml:space="preserve">1.1 Medical and Epidemiological Context of Diabetic Retinopathy</w:t>
      </w:r>
    </w:p>
    <w:p>
      <w:pPr>
        <w:pStyle w:val="Heading3"/>
        <w:spacing w:before="360" w:after="240"/>
      </w:pPr>
      <w:r>
        <w:rPr>
          <w:rFonts w:ascii="Times New Roman" w:cs="Times New Roman" w:eastAsia="Times New Roman" w:hAnsi="Times New Roman"/>
          <w:b/>
          <w:bCs/>
          <w:sz w:val="26"/>
          <w:szCs w:val="26"/>
        </w:rPr>
        <w:t xml:space="preserve">1.1.1 Pathophysiology and Clinical Grading Systems</w:t>
      </w:r>
    </w:p>
    <w:p>
      <w:pPr>
        <w:spacing w:after="200" w:line="360"/>
      </w:pPr>
      <w:r>
        <w:rPr>
          <w:rFonts w:ascii="Times New Roman" w:cs="Times New Roman" w:eastAsia="Times New Roman" w:hAnsi="Times New Roman"/>
          <w:sz w:val="24"/>
          <w:szCs w:val="24"/>
        </w:rPr>
        <w:t xml:space="preserve">Diabetic retinopathy (DR) is a microvascular complication of diabetes mellitus that remains one of the leading causes of preventable vision loss worldwide. The disease arises from chronic hyperglycemia-induced damage to the retinal microvasculature, progressing through a series of clinically distinguishable stages. Kusuhara et al. (2018) reported a global DR prevalence of approximately 34.6% among diabetic patients, emphasizing that pericyte dropout and breakdown of the blood-retinal barrier (BRB) constitute the earliest detectable pathological changes. These findings are reinforced by Wang and Lo (2018), who documented the role of vascular endothelial growth factor (VEGF) and angiopoietin-2 (Ang2) signaling pathways in driving the progression from non-proliferative to proliferative stages. Both sources converge on the conclusion that early-stage microvascular changes, if undetected, lead to irreversible visual impairment.</w:t>
      </w:r>
    </w:p>
    <w:p>
      <w:pPr>
        <w:spacing w:after="200" w:line="360"/>
      </w:pPr>
      <w:r>
        <w:rPr>
          <w:rFonts w:ascii="Times New Roman" w:cs="Times New Roman" w:eastAsia="Times New Roman" w:hAnsi="Times New Roman"/>
          <w:sz w:val="24"/>
          <w:szCs w:val="24"/>
        </w:rPr>
        <w:t xml:space="preserve">An emerging body of evidence further suggests that neurodegeneration may precede detectable microvasculopathy. Both Gettinger et al. (2025) and Wang and Lo (2018) support the neurodegeneration-preceding-microvasculopathy model, indicating that retinal ganglion cell loss and inner nuclear layer thinning occur before clinically visible vascular lesions. Gettinger et al. (2025) additionally note that no single animal model fully reproduces the complete human DR phenotype, with streptozotocin-induced models limited to early-stage changes. This observation has implications for automated detection: if neural changes precede vascular changes, systems trained predominantly on vascular features may miss the earliest disease stages.</w:t>
      </w:r>
    </w:p>
    <w:p>
      <w:pPr>
        <w:spacing w:after="200" w:line="360"/>
      </w:pPr>
      <w:r>
        <w:rPr>
          <w:rFonts w:ascii="Times New Roman" w:cs="Times New Roman" w:eastAsia="Times New Roman" w:hAnsi="Times New Roman"/>
          <w:sz w:val="24"/>
          <w:szCs w:val="24"/>
        </w:rPr>
        <w:t xml:space="preserve">The clinical grading of DR follows a five-stage classification system ranging from DR 0 (no apparent retinopathy) through DR 4 (proliferative diabetic retinopathy, PDR). Stage 1 (mild non-proliferative DR, NPDR) is characterized by the presence of at least one microaneurysm. Stage 2 (moderate NPDR) involves additional hemorrhages, hard exudates, and cotton-wool spots. Stage 3 (severe NPDR) is defined by the 4-2-1 rule: hemorrhages in four or more quadrants, venous beading in two or more quadrants, or intraretinal microvascular abnormalities in one or more quadrants. Stage 4 (PDR) is marked by neovascularization of the disc or elsewhere. Morya et al. (2024) provide a comprehensive treatment overview indicating that approximately one-third of diabetic patients present with some degree of DR, while Kesharwani et al. (2021), despite documented citation quality concerns, report that up to 95% of DR-related vision loss is preventable with early detection and treatment. The convergence of these clinical findings establishes the rationale for automated screening: the disease follows a progressive, stage-dependent course where early detection substantially improves outcomes.</w:t>
      </w:r>
    </w:p>
    <w:p>
      <w:pPr>
        <w:spacing w:after="200" w:line="360"/>
      </w:pPr>
      <w:r>
        <w:rPr>
          <w:rFonts w:ascii="Times New Roman" w:cs="Times New Roman" w:eastAsia="Times New Roman" w:hAnsi="Times New Roman"/>
          <w:sz w:val="24"/>
          <w:szCs w:val="24"/>
        </w:rPr>
        <w:t xml:space="preserve">For automated classification systems, this five-stage grading system poses specific technical challenges. The visual features distinguishing adjacent stages (particularly DR 0 from DR 1, and DR 2 from DR 3) are subtle, occupying small spatial regions within the fundus image. Microaneurysms, the hallmark of DR 1, typically appear as dark red dots smaller than the diameter of the optic disc venules. This feature granularity motivates both the need for image preprocessing to enhance microvascular visibility and the importance of evaluation metrics sensitive to per-class performance rather than aggregate accuracy alone.</w:t>
      </w:r>
    </w:p>
    <w:p>
      <w:pPr>
        <w:pStyle w:val="Heading3"/>
        <w:spacing w:before="360" w:after="240"/>
      </w:pPr>
      <w:r>
        <w:rPr>
          <w:rFonts w:ascii="Times New Roman" w:cs="Times New Roman" w:eastAsia="Times New Roman" w:hAnsi="Times New Roman"/>
          <w:b/>
          <w:bCs/>
          <w:sz w:val="26"/>
          <w:szCs w:val="26"/>
        </w:rPr>
        <w:t xml:space="preserve">1.1.2 Screening Requirements in Resource-Limited Healthcare Settings</w:t>
      </w:r>
    </w:p>
    <w:p>
      <w:pPr>
        <w:spacing w:after="200" w:line="360"/>
      </w:pPr>
      <w:r>
        <w:rPr>
          <w:rFonts w:ascii="Times New Roman" w:cs="Times New Roman" w:eastAsia="Times New Roman" w:hAnsi="Times New Roman"/>
          <w:sz w:val="24"/>
          <w:szCs w:val="24"/>
        </w:rPr>
        <w:t xml:space="preserve">The clinical imperative for early DR detection must be contextualized within the global screening infrastructure. Morya et al. (2024) report that screening compliance rates for DR range from 35% to 55% across different healthcare settings, indicating that roughly half of diabetic patients do not receive timely retinal examinations. This compliance gap is particularly acute in settings where ophthalmological specialist density is low relative to the diabetic population.</w:t>
      </w:r>
    </w:p>
    <w:p>
      <w:pPr>
        <w:spacing w:after="200" w:line="360"/>
      </w:pPr>
      <w:r>
        <w:rPr>
          <w:rFonts w:ascii="Times New Roman" w:cs="Times New Roman" w:eastAsia="Times New Roman" w:hAnsi="Times New Roman"/>
          <w:sz w:val="24"/>
          <w:szCs w:val="24"/>
        </w:rPr>
        <w:t xml:space="preserve">The Indian Diabetic Retinopathy Image Dataset (IDRiD), described by Porwal et al. (2018), illustrates the characteristics of a population-specific screening effort: 516 images from an Indian clinical population with pixel-level lesion annotations and five-class DR grading. In contrast, the Singapore Integrated Diabetic Retinopathy Programme (SiDRP), evaluated by Ting et al. (2017), represents a large-scale multiethnic screening deployment validated across ten external datasets drawn from populations in the United States, Australia, Mexico, and several Asian countries, with the deep learning system achieving an area under the receiver operating characteristic curve (AUC) of 0.936 for referable DR detection. In Thailand, Ruamviboonsuk et al. (2022) conducted a prospective clinical validation of deep learning-based DR screening across nine regional sites involving 7,651 patients, with the system achieving 94.7% overall accuracy and outperforming local specialists with statistical significance (p = 0.024). These three examples illustrate a continuum of screening deployment maturity, from curated research datasets to fully operational national programmes.</w:t>
      </w:r>
    </w:p>
    <w:p>
      <w:pPr>
        <w:spacing w:after="200" w:line="360"/>
      </w:pPr>
      <w:r>
        <w:rPr>
          <w:rFonts w:ascii="Times New Roman" w:cs="Times New Roman" w:eastAsia="Times New Roman" w:hAnsi="Times New Roman"/>
          <w:sz w:val="24"/>
          <w:szCs w:val="24"/>
        </w:rPr>
        <w:t xml:space="preserve">The Kazakhstan healthcare context, described in the candidate’s previously published work (Yesmukhamedov et al., 2025b — identified as prior own work), provides a specific resource-limited deployment scenario characterized by approximately 1,200 ophthalmologists serving the national population, with over 40% of the population residing in rural areas with limited access to specialist ophthalmic care. This context motivates the development of automated screening systems deployable under computational constraints defined as resource-limited environments: specifically, the absence of GPU acceleration for inference, available RAM below 16 GB, and network connectivity limitations precluding continuous cloud API reliance (per the operational definition adopted in this dissertation). It should be noted that the Kazakhstan screening context provides clinical framing for the dissertation’s computational research direction; the projected deployment benefits discussed in Yesmukhamedov et al. (2025b) are contextual framing based on third-party projections and do not constitute experimental results of this dissertation.</w:t>
      </w:r>
    </w:p>
    <w:p>
      <w:pPr>
        <w:spacing w:after="200" w:line="360"/>
      </w:pPr>
      <w:r>
        <w:rPr>
          <w:rFonts w:ascii="Times New Roman" w:cs="Times New Roman" w:eastAsia="Times New Roman" w:hAnsi="Times New Roman"/>
          <w:sz w:val="24"/>
          <w:szCs w:val="24"/>
        </w:rPr>
        <w:t xml:space="preserve">Comparing these screening contexts, a pattern emerges: while high-resource settings (Singapore, Thailand) have progressed toward clinically validated AI-assisted screening, the technology transfer to lower-resource settings remains constrained by infrastructure, specialist availability, and computational requirements. Automated systems optimized for resource-limited environments represent an underexplored direction within the existing literature, as the majority of validated systems have been developed and tested in well-equipped clinical or research settings.</w:t>
      </w:r>
    </w:p>
    <w:p>
      <w:pPr>
        <w:pStyle w:val="Heading2"/>
        <w:spacing w:before="360" w:after="240"/>
      </w:pPr>
      <w:r>
        <w:rPr>
          <w:rFonts w:ascii="Times New Roman" w:cs="Times New Roman" w:eastAsia="Times New Roman" w:hAnsi="Times New Roman"/>
          <w:b/>
          <w:bCs/>
          <w:sz w:val="28"/>
          <w:szCs w:val="28"/>
        </w:rPr>
        <w:t xml:space="preserve">1.2 Fundus Image Acquisition and Quality Variability</w:t>
      </w:r>
    </w:p>
    <w:p>
      <w:pPr>
        <w:pStyle w:val="Heading3"/>
        <w:spacing w:before="360" w:after="240"/>
      </w:pPr>
      <w:r>
        <w:rPr>
          <w:rFonts w:ascii="Times New Roman" w:cs="Times New Roman" w:eastAsia="Times New Roman" w:hAnsi="Times New Roman"/>
          <w:b/>
          <w:bCs/>
          <w:sz w:val="26"/>
          <w:szCs w:val="26"/>
        </w:rPr>
        <w:t xml:space="preserve">1.2.1 Sources of Image Degradation in Clinical Practice</w:t>
      </w:r>
    </w:p>
    <w:p>
      <w:pPr>
        <w:spacing w:after="200" w:line="360"/>
      </w:pPr>
      <w:r>
        <w:rPr>
          <w:rFonts w:ascii="Times New Roman" w:cs="Times New Roman" w:eastAsia="Times New Roman" w:hAnsi="Times New Roman"/>
          <w:sz w:val="24"/>
          <w:szCs w:val="24"/>
        </w:rPr>
        <w:t xml:space="preserve">Clinical fundus photography is subject to multiple sources of image degradation that directly affect the quality of input available to automated classification systems. These sources include illumination inconsistencies arising from camera-specific flash settings and fundus pigmentation variation, motion artifacts from patient movement during image acquisition, optical media opacities (e.g., cataracts), and noise introduced by the imaging sensor. The interaction of these degradation sources produces substantial variability in the appearance of the same pathological features across images captured under different clinical conditions.</w:t>
      </w:r>
    </w:p>
    <w:p>
      <w:pPr>
        <w:spacing w:after="200" w:line="360"/>
      </w:pPr>
      <w:r>
        <w:rPr>
          <w:rFonts w:ascii="Times New Roman" w:cs="Times New Roman" w:eastAsia="Times New Roman" w:hAnsi="Times New Roman"/>
          <w:sz w:val="24"/>
          <w:szCs w:val="24"/>
        </w:rPr>
        <w:t xml:space="preserve">The current source corpus does not contain dedicated studies that systematically catalog and quantify the specific degradation mechanisms affecting clinical fundus image quality. This represents a coverage gap in the present review, and the acquisition of additional literature from medical imaging and ophthalmic photography domains addressing image quality assessment standards, illumination normalization protocols, and degradation taxonomies is recommended to strengthen this subsection in future revisions. The evidence presented below regarding the impact of image quality variability on model performance is derived from studies that document performance sensitivity to image conditions, though they do not explicitly catalog degradation sources as a primary research objective.</w:t>
      </w:r>
    </w:p>
    <w:p>
      <w:pPr>
        <w:spacing w:after="200" w:line="360"/>
      </w:pPr>
      <w:r>
        <w:rPr>
          <w:rFonts w:ascii="Times New Roman" w:cs="Times New Roman" w:eastAsia="Times New Roman" w:hAnsi="Times New Roman"/>
          <w:sz w:val="24"/>
          <w:szCs w:val="24"/>
        </w:rPr>
        <w:t xml:space="preserve">Despite the absence of a dedicated degradation taxonomy in the reviewed corpus, several sources provide indirect evidence of the scope and clinical significance of image quality variability. The operational definition of image quality adopted in this dissertation assesses quality through downstream classification performance metrics (accuracy, F1-score, ROC-AUC) computed on the same classifier architecture under identical training conditions with varying preprocessing states. This computational definition, rather than subjective perceptual scoring, provides a reproducible and classifier-relevant quality characterization that is used consistently throughout the subsequent experimental chapters.</w:t>
      </w:r>
    </w:p>
    <w:p>
      <w:pPr>
        <w:pStyle w:val="Heading3"/>
        <w:spacing w:before="360" w:after="240"/>
      </w:pPr>
      <w:r>
        <w:rPr>
          <w:rFonts w:ascii="Times New Roman" w:cs="Times New Roman" w:eastAsia="Times New Roman" w:hAnsi="Times New Roman"/>
          <w:b/>
          <w:bCs/>
          <w:sz w:val="26"/>
          <w:szCs w:val="26"/>
        </w:rPr>
        <w:t xml:space="preserve">1.2.2 Impact of Image Quality on Diagnostic Model Performance</w:t>
      </w:r>
    </w:p>
    <w:p>
      <w:pPr>
        <w:spacing w:after="200" w:line="360"/>
      </w:pPr>
      <w:r>
        <w:rPr>
          <w:rFonts w:ascii="Times New Roman" w:cs="Times New Roman" w:eastAsia="Times New Roman" w:hAnsi="Times New Roman"/>
          <w:sz w:val="24"/>
          <w:szCs w:val="24"/>
        </w:rPr>
        <w:t xml:space="preserve">Empirical evidence from multiple sources demonstrates that image quality variability produces measurable performance degradation in deep learning-based DR classification systems. Rakhlin (2017) reported AUC values of 0.923 on the Kaggle EyePACS dataset (public, multi-class) and 0.967 on Messidor-2 (public, binary classification) using a modified VGGNet architecture. This cross-dataset AUC differential of 0.044 (favoring Messidor-2) reflects differences in image acquisition protocols, resolution, and quality standards between the two datasets, as the model architecture and training procedure were held constant.</w:t>
      </w:r>
    </w:p>
    <w:p>
      <w:pPr>
        <w:spacing w:after="200" w:line="360"/>
      </w:pPr>
      <w:r>
        <w:rPr>
          <w:rFonts w:ascii="Times New Roman" w:cs="Times New Roman" w:eastAsia="Times New Roman" w:hAnsi="Times New Roman"/>
          <w:sz w:val="24"/>
          <w:szCs w:val="24"/>
        </w:rPr>
        <w:t xml:space="preserve">The performance sensitivity to dataset characteristics is further documented by Voets et al. (2019), who attempted a reproduction of Gulshan et al.’s (2016) landmark study. While Gulshan et al. (2016) reported AUC of 0.991 on the private EyePACS dataset (128,175 images, binary classification for referable DR detection) using an Inception-v3 ensemble, Voets et al. (2019) obtained AUC of 0.951 on the publicly available EyePACS partition and AUC of 0.853 on Messidor-2. The 0.040-point AUC gap between the original study and the reproduction on EyePACS, and the 0.098-point gap on Messidor-2, suggest that reported performance is sensitive to implementation specifics, data partitioning, and image quality characteristics not fully captured in published methodology. Liu et al. (2022), in the DeepDRiD benchmark study, reported image quality assessment accuracy of only 0.70, demonstrating that quality classification itself is a challenging task and underscoring the difficulty of ensuring uniform input quality for DR classification systems.</w:t>
      </w:r>
    </w:p>
    <w:p>
      <w:pPr>
        <w:spacing w:after="200" w:line="360"/>
      </w:pPr>
      <w:r>
        <w:rPr>
          <w:rFonts w:ascii="Times New Roman" w:cs="Times New Roman" w:eastAsia="Times New Roman" w:hAnsi="Times New Roman"/>
          <w:sz w:val="24"/>
          <w:szCs w:val="24"/>
        </w:rPr>
        <w:t xml:space="preserve">Evidence from the candidate’s previously published work (Sapakova et al., 2025b — identified as prior own work) provides a specific baseline measurement: on the APTOS 2019 dataset combined with supplementary clinical images, a baseline convolutional neural network (CNN) trained without preprocessing achieved validation accuracy of 71%, compared to 86% when the full preprocessing pipeline (resizing, normalization, CLAHE, augmentation) was applied. While this 15-percentage-point improvement must be interpreted with the caveat that the preprocessing pipeline was applied concurrently with an architectural complexity increase (from a two-block to a four-block CNN), the baseline accuracy level of 71% establishes an empirical lower bound for classification performance under minimal preprocessing conditions on this dataset.</w:t>
      </w:r>
    </w:p>
    <w:p>
      <w:pPr>
        <w:spacing w:after="200" w:line="360"/>
      </w:pPr>
      <w:r>
        <w:rPr>
          <w:rFonts w:ascii="Times New Roman" w:cs="Times New Roman" w:eastAsia="Times New Roman" w:hAnsi="Times New Roman"/>
          <w:sz w:val="24"/>
          <w:szCs w:val="24"/>
        </w:rPr>
        <w:t xml:space="preserve">Taken together, the cross-dataset performance degradation documented by Rakhlin (2017), the reproduction challenges encountered by Voets et al. (2019), the image quality assessment difficulty reported by Liu et al. (2022), and the baseline performance level observed in Sapakova et al. (2025b) converge on a common conclusion: input image quality is a material factor in downstream classification performance. This convergence provides empirical motivation for systematic investigation of preprocessing as a performance variable, which the subsequent sections of this review examine in the context of existing deep learning approaches.</w:t>
      </w:r>
    </w:p>
    <w:p>
      <w:pPr>
        <w:pStyle w:val="Heading2"/>
        <w:spacing w:before="360" w:after="240"/>
      </w:pPr>
      <w:r>
        <w:rPr>
          <w:rFonts w:ascii="Times New Roman" w:cs="Times New Roman" w:eastAsia="Times New Roman" w:hAnsi="Times New Roman"/>
          <w:b/>
          <w:bCs/>
          <w:sz w:val="28"/>
          <w:szCs w:val="28"/>
        </w:rPr>
        <w:t xml:space="preserve">1.3 Deep Learning Approaches to Retinal Image Classification</w:t>
      </w:r>
    </w:p>
    <w:p>
      <w:pPr>
        <w:pStyle w:val="Heading3"/>
        <w:spacing w:before="360" w:after="240"/>
      </w:pPr>
      <w:r>
        <w:rPr>
          <w:rFonts w:ascii="Times New Roman" w:cs="Times New Roman" w:eastAsia="Times New Roman" w:hAnsi="Times New Roman"/>
          <w:b/>
          <w:bCs/>
          <w:sz w:val="26"/>
          <w:szCs w:val="26"/>
        </w:rPr>
        <w:t xml:space="preserve">1.3.1 Convolutional Neural Network Architectures for Medical Imaging</w:t>
      </w:r>
    </w:p>
    <w:p>
      <w:pPr>
        <w:spacing w:after="200" w:line="360"/>
      </w:pPr>
      <w:r>
        <w:rPr>
          <w:rFonts w:ascii="Times New Roman" w:cs="Times New Roman" w:eastAsia="Times New Roman" w:hAnsi="Times New Roman"/>
          <w:sz w:val="24"/>
          <w:szCs w:val="24"/>
        </w:rPr>
        <w:t xml:space="preserve">The application of convolutional neural networks to diabetic retinopathy classification has evolved through three broadly identifiable architectural generations: custom or shallow CNN designs, deep pre-trained architectures adapted via transfer learning, and Vision Transformer (ViT) or hybrid architectures. This subsection surveys the performance landscape across these generations, organized by increasing architectural complexity, and identifies recurring patterns in how architecture selection interacts with dataset characteristics and evaluation protocols.</w:t>
      </w:r>
    </w:p>
    <w:p>
      <w:pPr>
        <w:spacing w:after="200" w:line="360"/>
      </w:pPr>
      <w:r>
        <w:rPr>
          <w:rFonts w:ascii="Times New Roman" w:cs="Times New Roman" w:eastAsia="Times New Roman" w:hAnsi="Times New Roman"/>
          <w:b/>
          <w:bCs/>
          <w:sz w:val="24"/>
          <w:szCs w:val="24"/>
        </w:rPr>
        <w:t xml:space="preserve">Custom and shallow CNN architectures. </w:t>
      </w:r>
      <w:r>
        <w:rPr>
          <w:rFonts w:ascii="Times New Roman" w:cs="Times New Roman" w:eastAsia="Times New Roman" w:hAnsi="Times New Roman"/>
          <w:sz w:val="24"/>
          <w:szCs w:val="24"/>
        </w:rPr>
        <w:t xml:space="preserve">Among the earliest applications of deep learning to DR classification, Pratt et al. (2016) trained a custom CNN on the Kaggle EyePACS dataset (public, approximately 35,000 images, five-class DR grading) and reported 75% overall accuracy with 30% sensitivity and 95% specificity. This performance profile — high specificity but low sensitivity — reflects the severe class imbalance characteristic of DR datasets, where the majority class (DR 0) dominates and the model’s accuracy is inflated by correctly classifying healthy images while missing disease-positive cases. Pratt et al. reported accuracy as the sole evaluation metric and did not specify preprocessing procedures, establishing a pattern that persists across much of the subsequent literature.</w:t>
      </w:r>
    </w:p>
    <w:p>
      <w:pPr>
        <w:spacing w:after="200" w:line="360"/>
      </w:pPr>
      <w:r>
        <w:rPr>
          <w:rFonts w:ascii="Times New Roman" w:cs="Times New Roman" w:eastAsia="Times New Roman" w:hAnsi="Times New Roman"/>
          <w:b/>
          <w:bCs/>
          <w:sz w:val="24"/>
          <w:szCs w:val="24"/>
        </w:rPr>
        <w:t xml:space="preserve">Deep pre-trained CNN architectures. </w:t>
      </w:r>
      <w:r>
        <w:rPr>
          <w:rFonts w:ascii="Times New Roman" w:cs="Times New Roman" w:eastAsia="Times New Roman" w:hAnsi="Times New Roman"/>
          <w:sz w:val="24"/>
          <w:szCs w:val="24"/>
        </w:rPr>
        <w:t xml:space="preserve">The introduction of transfer learning from ImageNet-pre-trained networks marked a substantial performance shift. Gulshan et al. (2016) achieved AUC of 0.991 on the private EyePACS dataset (128,175 images) and 0.990 on Messidor-2 using an Inception-v3 ensemble with binary classification (referable vs. non-referable DR). These results, achieved without reported preprocessing specifications, represent one of the highest AUC values in the DR classification literature. However, the use of a private, curated version of EyePACS and binary (rather than five-class) classification limits direct comparability with studies using publicly available datasets and multi-class grading.</w:t>
      </w:r>
    </w:p>
    <w:p>
      <w:pPr>
        <w:spacing w:after="200" w:line="360"/>
      </w:pPr>
      <w:r>
        <w:rPr>
          <w:rFonts w:ascii="Times New Roman" w:cs="Times New Roman" w:eastAsia="Times New Roman" w:hAnsi="Times New Roman"/>
          <w:sz w:val="24"/>
          <w:szCs w:val="24"/>
        </w:rPr>
        <w:t xml:space="preserve">Saxena et al. (2020) applied InceptionResNetV2 to DR classification with cross-dataset evaluation, achieving AUC of 0.958 on Messidor-1 and 0.92 on Messidor-2 using a model trained on EyePACS/Kaggle data (binary classification). The cross-dataset evaluation design of this study represents a methodological advance relative to studies that evaluate only on internal hold-out partitions. Liu et al. (2022), in the DeepDRiD benchmark, identified EfficientNet as the dominant architecture across challenge participants, with the top-performing model achieving a weighted kappa (κw) of 0.9303 for DR grading. This benchmark study, which included both grading and image quality assessment tasks, provides one of the few standardized multi-task evaluation environments in the DR field.</w:t>
      </w:r>
    </w:p>
    <w:p>
      <w:pPr>
        <w:spacing w:after="200" w:line="360"/>
      </w:pPr>
      <w:r>
        <w:rPr>
          <w:rFonts w:ascii="Times New Roman" w:cs="Times New Roman" w:eastAsia="Times New Roman" w:hAnsi="Times New Roman"/>
          <w:sz w:val="24"/>
          <w:szCs w:val="24"/>
        </w:rPr>
        <w:t xml:space="preserve">The EfficientNet architecture family has attracted particular attention for DR classification. Hayati et al. (2023) evaluated the impact of CLAHE (Contrast Limited Adaptive Histogram Equalization) preprocessing across four CNN architectures on the APTOS 2019 dataset (3,662 images, treated as binary classification) and found that EfficientNetB4 achieved the highest accuracy of 97.83% with CLAHE applied. However, CLAHE degraded ResNet34 performance by 12.02 percentage points, indicating that preprocessing effects are architecture-dependent rather than universally beneficial. Arora et al. (2024) applied EfficientNetB0 to the Kaggle DR dataset with undersampling (reducing 35,108 images to 3,704 for class balance), achieving an average accuracy of 86.53% on five-class classification. It should be noted that Arora et al.’s reported confidence interval bounds are identical values (a likely reporting artifact), and the 11-point gap between maximum training accuracy (97.11%) and test accuracy suggests overfitting concerns.</w:t>
      </w:r>
    </w:p>
    <w:p>
      <w:pPr>
        <w:spacing w:after="200" w:line="360"/>
      </w:pPr>
      <w:r>
        <w:rPr>
          <w:rFonts w:ascii="Times New Roman" w:cs="Times New Roman" w:eastAsia="Times New Roman" w:hAnsi="Times New Roman"/>
          <w:sz w:val="24"/>
          <w:szCs w:val="24"/>
        </w:rPr>
        <w:t xml:space="preserve">Wan et al. (2021) approached DR detection through lesion segmentation rather than direct image-level classification, achieving 92.77% sensitivity for exudate segmentation on the e_ophtha_EX dataset and an area under the precision-recall curve (AUPR) of 0.78 for hard exudates on IDRiD. This segmentation-based approach represents a methodologically distinct paradigm from end-to-end classification, offering interpretability advantages but requiring pixel-level annotations not available in most large-scale DR datasets.</w:t>
      </w:r>
    </w:p>
    <w:p>
      <w:pPr>
        <w:spacing w:after="200" w:line="360"/>
      </w:pPr>
      <w:r>
        <w:rPr>
          <w:rFonts w:ascii="Times New Roman" w:cs="Times New Roman" w:eastAsia="Times New Roman" w:hAnsi="Times New Roman"/>
          <w:sz w:val="24"/>
          <w:szCs w:val="24"/>
        </w:rPr>
        <w:t xml:space="preserve">In a complementary modality, Ryu et al. (2021) applied ResNet101 to optical coherence tomography angiography (OCTA) images rather than fundus photographs, achieving internal AUC of 0.960–0.976 and external AUC of 0.938–0.962 with temporal validation. While OCTA-based classification falls outside the fundus photography scope of this dissertation, the study’s demonstration of consistent CNN performance across internal and external validation sets provides a methodological benchmark for cross-dataset evaluation design.</w:t>
      </w:r>
    </w:p>
    <w:p>
      <w:pPr>
        <w:spacing w:after="200" w:line="360"/>
      </w:pPr>
      <w:r>
        <w:rPr>
          <w:rFonts w:ascii="Times New Roman" w:cs="Times New Roman" w:eastAsia="Times New Roman" w:hAnsi="Times New Roman"/>
          <w:b/>
          <w:bCs/>
          <w:sz w:val="24"/>
          <w:szCs w:val="24"/>
        </w:rPr>
        <w:t xml:space="preserve">Vision Transformer and hybrid architectures. </w:t>
      </w:r>
      <w:r>
        <w:rPr>
          <w:rFonts w:ascii="Times New Roman" w:cs="Times New Roman" w:eastAsia="Times New Roman" w:hAnsi="Times New Roman"/>
          <w:sz w:val="24"/>
          <w:szCs w:val="24"/>
        </w:rPr>
        <w:t xml:space="preserve">The emergence of Vision Transformer (ViT) architectures represents the most recent major shift in the DR classification landscape. Goh et al. (2024) compared SWIN Transformer performance against CNN baselines across three datasets (Kaggle/EyePACS, SEED, Messidor-1), reporting AUC values of 95.7%, 97.3%, and 96.3%, respectively, with ViT architectures outperforming CNNs across all three datasets on multi-class classification. Khosravi et al. (2025) evaluated FastViT against ResNet18 on a multi-country retinal hemorrhage classification task (not DR-specific), reporting external validation AUC of 0.9811 for FastViT and 0.9626 for ResNet18 on a 2,661-image external dataset drawn from populations in the United States, South Korea, and Brazil. The FastViT advantage in external validation is notable, though the severe class imbalance in this study (2,346 medical vs. 315 trauma images) and the absence of confidence intervals or statistical testing limit the strength of the comparison.</w:t>
      </w:r>
    </w:p>
    <w:p>
      <w:pPr>
        <w:spacing w:after="200" w:line="360"/>
      </w:pPr>
      <w:r>
        <w:rPr>
          <w:rFonts w:ascii="Times New Roman" w:cs="Times New Roman" w:eastAsia="Times New Roman" w:hAnsi="Times New Roman"/>
          <w:sz w:val="24"/>
          <w:szCs w:val="24"/>
        </w:rPr>
        <w:t xml:space="preserve">Xu et al. (2024) proposed a hybrid EfficientNet + Swin Transformer V2 ensemble achieving 0.97 accuracy and 0.97 AUC on the APTOS 2019 dataset with five-class classification. This hybrid approach, combining convolutional feature extraction with transformer-based attention mechanisms, achieved the highest reported performance on APTOS 2019 among the reviewed sources. However, preprocessing details were not specified, and the study used internal validation only.</w:t>
      </w:r>
    </w:p>
    <w:p>
      <w:pPr>
        <w:spacing w:after="200" w:line="360"/>
      </w:pPr>
      <w:r>
        <w:rPr>
          <w:rFonts w:ascii="Times New Roman" w:cs="Times New Roman" w:eastAsia="Times New Roman" w:hAnsi="Times New Roman"/>
          <w:sz w:val="24"/>
          <w:szCs w:val="24"/>
        </w:rPr>
        <w:t xml:space="preserve">Not all ViT-based results are consistent, however. González-Díaz et al. (2024) applied ViT architectures to age-related macular degeneration (AMD) classification, not DR, on a curated dataset of only 305 images (four-class), achieving 83.69% accuracy with ViT and 86.36% F1-score with BEiT. The small sample size limits the generalizability of these findings. Geetha and Hema (2026) reported 98.4% accuracy for a ViT-BFF-HGS hybrid architecture for joint DR and glaucoma detection, but the study does not disclose dataset names, provides no external validation, and reports no AUC, confidence intervals, or statistical testing — limiting its evidential weight to an architectural reference only.</w:t>
      </w:r>
    </w:p>
    <w:p>
      <w:pPr>
        <w:spacing w:after="200" w:line="360"/>
      </w:pPr>
      <w:r>
        <w:rPr>
          <w:rFonts w:ascii="Times New Roman" w:cs="Times New Roman" w:eastAsia="Times New Roman" w:hAnsi="Times New Roman"/>
          <w:sz w:val="24"/>
          <w:szCs w:val="24"/>
        </w:rPr>
        <w:t xml:space="preserve">Sharma et al. (2025) proposed a ViT-CapsNet hybrid evaluated on EyePACS (30,262 images, five-class), reporting 94% overall accuracy. However, the per-class AUC values reported (ranging from 0.44 to 0.56) are fundamentally inconsistent with the claimed accuracy level: an AUC near 0.50 indicates near-random classification performance, which is incompatible with 94% accuracy under any class distribution. This internal metric inconsistency constitutes a critical methodological concern, and the AUC values from this source should not be cited without explicit acknowledgment of this discrepancy.</w:t>
      </w:r>
    </w:p>
    <w:p>
      <w:pPr>
        <w:spacing w:after="200" w:line="360"/>
      </w:pPr>
      <w:r>
        <w:rPr>
          <w:rFonts w:ascii="Times New Roman" w:cs="Times New Roman" w:eastAsia="Times New Roman" w:hAnsi="Times New Roman"/>
          <w:sz w:val="24"/>
          <w:szCs w:val="24"/>
        </w:rPr>
        <w:t xml:space="preserve">Synthesizing across these three architectural generations, several patterns emerge. First, performance has generally improved with increasing architectural complexity, from 75% accuracy with custom CNNs (Pratt et al., 2016) to AUC values exceeding 0.97 with ensembles and hybrids (Gulshan et al., 2016; Xu et al., 2024). Second, the performance advantage of ViT over CNN architectures, while suggested by Goh et al. (2024) and Khosravi et al. (2025), is not universally supported: the hybrid ensemble of Xu et al. (2024) achieves the highest APTOS 2019 performance, and methodologically limited ViT studies (#37, #41) produce results that cannot be independently verified. Third, and critically for this dissertation’s focus, the overwhelming majority of these architecture-focused studies do not report preprocessing details, precluding systematic assessment of the relative contributions of architectural innovation versus input quality enhancement to the observed performance gains.</w:t>
      </w:r>
    </w:p>
    <w:p>
      <w:pPr>
        <w:pStyle w:val="Heading3"/>
        <w:spacing w:before="360" w:after="240"/>
      </w:pPr>
      <w:r>
        <w:rPr>
          <w:rFonts w:ascii="Times New Roman" w:cs="Times New Roman" w:eastAsia="Times New Roman" w:hAnsi="Times New Roman"/>
          <w:b/>
          <w:bCs/>
          <w:sz w:val="26"/>
          <w:szCs w:val="26"/>
        </w:rPr>
        <w:t xml:space="preserve">1.3.2 Transfer Learning Strategies in Ophthalmic Diagnostics</w:t>
      </w:r>
    </w:p>
    <w:p>
      <w:pPr>
        <w:spacing w:after="200" w:line="360"/>
      </w:pPr>
      <w:r>
        <w:rPr>
          <w:rFonts w:ascii="Times New Roman" w:cs="Times New Roman" w:eastAsia="Times New Roman" w:hAnsi="Times New Roman"/>
          <w:sz w:val="24"/>
          <w:szCs w:val="24"/>
        </w:rPr>
        <w:t xml:space="preserve">Transfer learning — the adaptation of neural network weights pre-trained on a source domain (typically ImageNet, a large-scale dataset of natural images) to a target domain (fundus image classification) — has become the dominant training paradigm for DR classification systems. The theoretical premise underlying this approach is that low-level and mid-level visual features learned from natural images (edges, textures, color gradients) retain utility when applied to medical image analysis, even though the target domain differs substantially in image content and diagnostic relevance.</w:t>
      </w:r>
    </w:p>
    <w:p>
      <w:pPr>
        <w:spacing w:after="200" w:line="360"/>
      </w:pPr>
      <w:r>
        <w:rPr>
          <w:rFonts w:ascii="Times New Roman" w:cs="Times New Roman" w:eastAsia="Times New Roman" w:hAnsi="Times New Roman"/>
          <w:sz w:val="24"/>
          <w:szCs w:val="24"/>
        </w:rPr>
        <w:t xml:space="preserve">The evidence supporting transfer learning’s effectiveness in DR classification is substantial but methodologically heterogeneous. Gulshan et al. (2016) adapted Inception-v3 pre-trained weights to achieve AUC of 0.991 on the private EyePACS dataset, demonstrating that ImageNet features can transfer effectively to binary DR detection on a large-scale dataset. Saxena et al. (2020) achieved AUC of 0.958 on Messidor-1 and 0.92 on Messidor-2 using InceptionResNetV2 with cross-dataset evaluation, providing evidence that transfer learning supports some degree of cross-dataset robustness (here understood as consistency of the direction of performance improvement across datasets, not a formal operational definition). Xu et al. (2024) combined EfficientNet and Swin Transformer V2 in a hybrid transfer learning approach, achieving 0.97 accuracy on APTOS 2019.</w:t>
      </w:r>
    </w:p>
    <w:p>
      <w:pPr>
        <w:spacing w:after="200" w:line="360"/>
      </w:pPr>
      <w:r>
        <w:rPr>
          <w:rFonts w:ascii="Times New Roman" w:cs="Times New Roman" w:eastAsia="Times New Roman" w:hAnsi="Times New Roman"/>
          <w:sz w:val="24"/>
          <w:szCs w:val="24"/>
        </w:rPr>
        <w:t xml:space="preserve">However, the degree to which ImageNet features transfer to retinal microvascular feature representations is not theoretically guaranteed and depends on the magnitude of the domain gap between natural and medical images. This dissertation evaluates this transferability empirically through a comparison of two adaptation strategies: frozen-layer fine-tuning (Stage 1), in which only the classification head is trained while the convolutional base remains fixed, and progressive fine-tuning (Stage 2), in which upper convolutional layers are progressively unfrozen after initial head training. The distinction between these strategies is critical: frozen-layer fine-tuning treats the pre-trained network as a fixed feature extractor, while progressive fine-tuning allows the network to adapt its feature representations to the target domain. The theoretical motivation for progressive fine-tuning is that the domain gap between ImageNet and fundus images may require adaptation of intermediate feature representations, not merely retraining of the classification head.</w:t>
      </w:r>
    </w:p>
    <w:p>
      <w:pPr>
        <w:spacing w:after="200" w:line="360"/>
      </w:pPr>
      <w:r>
        <w:rPr>
          <w:rFonts w:ascii="Times New Roman" w:cs="Times New Roman" w:eastAsia="Times New Roman" w:hAnsi="Times New Roman"/>
          <w:sz w:val="24"/>
          <w:szCs w:val="24"/>
        </w:rPr>
        <w:t xml:space="preserve">Arrieta et al. (2022) explored a semi-supervised transfer learning variant, achieving AUC of 0.94 on EyePACS and 0.89 on Messidor-2 using only 2% of labels, demonstrating that transfer learning can partially compensate for label scarcity. This result is relevant to resource-limited settings where ophthalmological labeling capacity may be constrained. Across the reviewed transfer learning studies, no source provides a systematic comparison of frozen versus fine-tuned strategies on the same dataset with matched preprocessing conditions — a gap that this dissertation’s experimental design addresses directly.</w:t>
      </w:r>
    </w:p>
    <w:p>
      <w:pPr>
        <w:pStyle w:val="Heading3"/>
        <w:spacing w:before="360" w:after="240"/>
      </w:pPr>
      <w:r>
        <w:rPr>
          <w:rFonts w:ascii="Times New Roman" w:cs="Times New Roman" w:eastAsia="Times New Roman" w:hAnsi="Times New Roman"/>
          <w:b/>
          <w:bCs/>
          <w:sz w:val="26"/>
          <w:szCs w:val="26"/>
        </w:rPr>
        <w:t xml:space="preserve">1.3.3 Global Benchmarking and Clinical-Scale Validation</w:t>
      </w:r>
    </w:p>
    <w:p>
      <w:pPr>
        <w:spacing w:after="200" w:line="360"/>
      </w:pPr>
      <w:r>
        <w:rPr>
          <w:rFonts w:ascii="Times New Roman" w:cs="Times New Roman" w:eastAsia="Times New Roman" w:hAnsi="Times New Roman"/>
          <w:sz w:val="24"/>
          <w:szCs w:val="24"/>
        </w:rPr>
        <w:t xml:space="preserve">A small number of studies in the DR classification literature have achieved validation at a scale and rigor that approaches clinical deployment standards. These studies establish both the performance ceiling of current deep learning approaches and the methodological requirements for credible clinical validation. This subsection examines the three strongest large-scale validation studies in the reviewed corpus.</w:t>
      </w:r>
    </w:p>
    <w:p>
      <w:pPr>
        <w:spacing w:after="200" w:line="360"/>
      </w:pPr>
      <w:r>
        <w:rPr>
          <w:rFonts w:ascii="Times New Roman" w:cs="Times New Roman" w:eastAsia="Times New Roman" w:hAnsi="Times New Roman"/>
          <w:sz w:val="24"/>
          <w:szCs w:val="24"/>
        </w:rPr>
        <w:t xml:space="preserve">Ting et al. (2017) validated a deep learning system on the Singapore Integrated Diabetic Retinopathy Programme (SiDRP) dataset and ten external multiethnic cohorts, achieving AUC of 0.936 for referable DR detection. The multiethnic validation design — spanning populations from Singapore, Australia, the United States, and several other countries — represents the most comprehensive cross-population evaluation in the reviewed literature. The system also achieved 100% sensitivity for vision-threatening DR, though this figure should be interpreted in the context of the specific sensitivity threshold selected for clinical deployment.</w:t>
      </w:r>
    </w:p>
    <w:p>
      <w:pPr>
        <w:spacing w:after="200" w:line="360"/>
      </w:pPr>
      <w:r>
        <w:rPr>
          <w:rFonts w:ascii="Times New Roman" w:cs="Times New Roman" w:eastAsia="Times New Roman" w:hAnsi="Times New Roman"/>
          <w:sz w:val="24"/>
          <w:szCs w:val="24"/>
        </w:rPr>
        <w:t xml:space="preserve">Zhang et al. (2022), published in BMJ Open, evaluated an ensemble CNN system (Inception-V3, Xception, and Inception-ResNet-V2) on 83,465 images from four Chinese clinical centres, reporting AUROC of 0.9931 for referable DR at the image level and 0.9848 at the patient level. Expert comparison yielded Cohen’s kappa values of 0.86–0.93, indicating substantial to near-perfect agreement. This study represents the largest single-evaluation dataset in the reviewed corpus and provides one of the few examples of formal expert comparison with inter-rater agreement metrics. However, the study is geographically specific to China, uses private datasets, and does not report preprocessing details.</w:t>
      </w:r>
    </w:p>
    <w:p>
      <w:pPr>
        <w:spacing w:after="200" w:line="360"/>
      </w:pPr>
      <w:r>
        <w:rPr>
          <w:rFonts w:ascii="Times New Roman" w:cs="Times New Roman" w:eastAsia="Times New Roman" w:hAnsi="Times New Roman"/>
          <w:sz w:val="24"/>
          <w:szCs w:val="24"/>
        </w:rPr>
        <w:t xml:space="preserve">Ruamviboonsuk et al. (2022), published in The Lancet Digital Health, conducted a prospective clinical validation of deep learning-based DR screening within Thailand’s national screening programme across nine sites involving 7,651 patients. The system achieved 94.7% overall accuracy and 91.4% sensitivity for vision-threatening DR, and outperformed specialist ophthalmologists with statistical significance (p = 0.024). This study is unique in the reviewed corpus for three reasons: it is prospective rather than retrospective, it evaluates performance within an operational clinical workflow, and it provides formal statistical testing for the comparison with human specialists. Notably, the study does not disclose the architecture of the deep learning system used, nor does it report preprocessing details.</w:t>
      </w:r>
    </w:p>
    <w:p>
      <w:pPr>
        <w:spacing w:after="200" w:line="360"/>
      </w:pPr>
      <w:r>
        <w:rPr>
          <w:rFonts w:ascii="Times New Roman" w:cs="Times New Roman" w:eastAsia="Times New Roman" w:hAnsi="Times New Roman"/>
          <w:sz w:val="24"/>
          <w:szCs w:val="24"/>
        </w:rPr>
        <w:t xml:space="preserve">Comparing these three benchmarking studies, a consistent pattern emerges: the highest-performing validated systems operate at clinical scale (thousands to tens of thousands of images), use ensemble or proprietary architectures, employ binary classification (referable vs. non-referable), and — critically — do not report preprocessing details. This last observation is central to the gap analysis presented in §1.4.3: if preprocessing contributes meaningfully to performance, the absence of preprocessing reporting prevents the field from understanding, reproducing, or improving upon these results.</w:t>
      </w:r>
    </w:p>
    <w:p>
      <w:pPr>
        <w:pStyle w:val="Heading2"/>
        <w:spacing w:before="360" w:after="240"/>
      </w:pPr>
      <w:r>
        <w:rPr>
          <w:rFonts w:ascii="Times New Roman" w:cs="Times New Roman" w:eastAsia="Times New Roman" w:hAnsi="Times New Roman"/>
          <w:b/>
          <w:bCs/>
          <w:sz w:val="28"/>
          <w:szCs w:val="28"/>
        </w:rPr>
        <w:t xml:space="preserve">1.4 Evidence Synthesis and Critical Analysis of Existing Automated DR Screening Systems</w:t>
      </w:r>
    </w:p>
    <w:p>
      <w:pPr>
        <w:pStyle w:val="Heading3"/>
        <w:spacing w:before="360" w:after="240"/>
      </w:pPr>
      <w:r>
        <w:rPr>
          <w:rFonts w:ascii="Times New Roman" w:cs="Times New Roman" w:eastAsia="Times New Roman" w:hAnsi="Times New Roman"/>
          <w:b/>
          <w:bCs/>
          <w:sz w:val="26"/>
          <w:szCs w:val="26"/>
        </w:rPr>
        <w:t xml:space="preserve">1.4.1 Comparative Performance Across Datasets and Model Families</w:t>
      </w:r>
    </w:p>
    <w:p>
      <w:pPr>
        <w:spacing w:after="200" w:line="360"/>
      </w:pPr>
      <w:r>
        <w:rPr>
          <w:rFonts w:ascii="Times New Roman" w:cs="Times New Roman" w:eastAsia="Times New Roman" w:hAnsi="Times New Roman"/>
          <w:sz w:val="24"/>
          <w:szCs w:val="24"/>
        </w:rPr>
        <w:t xml:space="preserve">Direct performance comparison across DR classification studies is complicated by substantial variation in datasets, task definitions, evaluation metrics, and preprocessing practices. This subsection organizes reported performance by dataset and model family to expose both performance trends and the methodological inconsistencies that limit cross-study comparability. Table 1.1 presents a comprehensive comparison of architectures evaluated across the reviewed corpus.</w:t>
      </w:r>
    </w:p>
    <w:p>
      <w:pPr>
        <w:spacing w:before="240" w:after="120"/>
        <w:jc w:val="center"/>
      </w:pPr>
      <w:r>
        <w:rPr>
          <w:rFonts w:ascii="Times New Roman" w:cs="Times New Roman" w:eastAsia="Times New Roman" w:hAnsi="Times New Roman"/>
          <w:b/>
          <w:bCs/>
          <w:i/>
          <w:iCs/>
          <w:sz w:val="22"/>
          <w:szCs w:val="22"/>
        </w:rPr>
        <w:t xml:space="preserve">Table 1.1 — Comparative Table of CNN and ViT Architectures for DR Classification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700"/>
        <w:gridCol w:w="1400"/>
        <w:gridCol w:w="800"/>
        <w:gridCol w:w="700"/>
        <w:gridCol w:w="800"/>
        <w:gridCol w:w="700"/>
        <w:gridCol w:w="1400"/>
      </w:tblGrid>
      <w:tr>
        <w:trPr>
          <w:tblHeader/>
        </w:trPr>
        <w:tc>
          <w:tcPr>
            <w:tcW w:type="dxa" w:w="12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spacing w:after="60" w:line="276"/>
            </w:pPr>
            <w:r>
              <w:rPr>
                <w:rFonts w:ascii="Times New Roman" w:cs="Times New Roman" w:eastAsia="Times New Roman" w:hAnsi="Times New Roman"/>
                <w:b/>
                <w:bCs/>
                <w:sz w:val="20"/>
                <w:szCs w:val="20"/>
              </w:rPr>
              <w:t xml:space="preserve">Architecture</w:t>
            </w:r>
          </w:p>
        </w:tc>
        <w:tc>
          <w:tcPr>
            <w:tcW w:type="dxa" w:w="8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spacing w:after="60" w:line="276"/>
            </w:pPr>
            <w:r>
              <w:rPr>
                <w:rFonts w:ascii="Times New Roman" w:cs="Times New Roman" w:eastAsia="Times New Roman" w:hAnsi="Times New Roman"/>
                <w:b/>
                <w:bCs/>
                <w:sz w:val="20"/>
                <w:szCs w:val="20"/>
              </w:rPr>
              <w:t xml:space="preserve">Source</w:t>
            </w:r>
          </w:p>
        </w:tc>
        <w:tc>
          <w:tcPr>
            <w:tcW w:type="dxa" w:w="7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spacing w:after="60" w:line="276"/>
            </w:pPr>
            <w:r>
              <w:rPr>
                <w:rFonts w:ascii="Times New Roman" w:cs="Times New Roman" w:eastAsia="Times New Roman" w:hAnsi="Times New Roman"/>
                <w:b/>
                <w:bCs/>
                <w:sz w:val="20"/>
                <w:szCs w:val="20"/>
              </w:rPr>
              <w:t xml:space="preserve">Year</w:t>
            </w:r>
          </w:p>
        </w:tc>
        <w:tc>
          <w:tcPr>
            <w:tcW w:type="dxa" w:w="14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spacing w:after="60" w:line="276"/>
            </w:pPr>
            <w:r>
              <w:rPr>
                <w:rFonts w:ascii="Times New Roman" w:cs="Times New Roman" w:eastAsia="Times New Roman" w:hAnsi="Times New Roman"/>
                <w:b/>
                <w:bCs/>
                <w:sz w:val="20"/>
                <w:szCs w:val="20"/>
              </w:rPr>
              <w:t xml:space="preserve">Dataset</w:t>
            </w:r>
          </w:p>
        </w:tc>
        <w:tc>
          <w:tcPr>
            <w:tcW w:type="dxa" w:w="8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spacing w:after="60" w:line="276"/>
            </w:pPr>
            <w:r>
              <w:rPr>
                <w:rFonts w:ascii="Times New Roman" w:cs="Times New Roman" w:eastAsia="Times New Roman" w:hAnsi="Times New Roman"/>
                <w:b/>
                <w:bCs/>
                <w:sz w:val="20"/>
                <w:szCs w:val="20"/>
              </w:rPr>
              <w:t xml:space="preserve">Size</w:t>
            </w:r>
          </w:p>
        </w:tc>
        <w:tc>
          <w:tcPr>
            <w:tcW w:type="dxa" w:w="7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spacing w:after="60" w:line="276"/>
            </w:pPr>
            <w:r>
              <w:rPr>
                <w:rFonts w:ascii="Times New Roman" w:cs="Times New Roman" w:eastAsia="Times New Roman" w:hAnsi="Times New Roman"/>
                <w:b/>
                <w:bCs/>
                <w:sz w:val="20"/>
                <w:szCs w:val="20"/>
              </w:rPr>
              <w:t xml:space="preserve">Task</w:t>
            </w:r>
          </w:p>
        </w:tc>
        <w:tc>
          <w:tcPr>
            <w:tcW w:type="dxa" w:w="8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spacing w:after="60" w:line="276"/>
            </w:pPr>
            <w:r>
              <w:rPr>
                <w:rFonts w:ascii="Times New Roman" w:cs="Times New Roman" w:eastAsia="Times New Roman" w:hAnsi="Times New Roman"/>
                <w:b/>
                <w:bCs/>
                <w:sz w:val="20"/>
                <w:szCs w:val="20"/>
              </w:rPr>
              <w:t xml:space="preserve">Metric</w:t>
            </w:r>
          </w:p>
        </w:tc>
        <w:tc>
          <w:tcPr>
            <w:tcW w:type="dxa" w:w="7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spacing w:after="60" w:line="276"/>
            </w:pPr>
            <w:r>
              <w:rPr>
                <w:rFonts w:ascii="Times New Roman" w:cs="Times New Roman" w:eastAsia="Times New Roman" w:hAnsi="Times New Roman"/>
                <w:b/>
                <w:bCs/>
                <w:sz w:val="20"/>
                <w:szCs w:val="20"/>
              </w:rPr>
              <w:t xml:space="preserve">Value</w:t>
            </w:r>
          </w:p>
        </w:tc>
        <w:tc>
          <w:tcPr>
            <w:tcW w:type="dxa" w:w="14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spacing w:after="60" w:line="276"/>
            </w:pPr>
            <w:r>
              <w:rPr>
                <w:rFonts w:ascii="Times New Roman" w:cs="Times New Roman" w:eastAsia="Times New Roman" w:hAnsi="Times New Roman"/>
                <w:b/>
                <w:bCs/>
                <w:sz w:val="20"/>
                <w:szCs w:val="20"/>
              </w:rPr>
              <w:t xml:space="preserve">Preproc. Reported?</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Custom CNN</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Pratt #01</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2016</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Kaggle EyePACS</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∵35K</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5-class</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Acc</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75%</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Not specified</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InceptionResNetV2</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Saxena #02</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2020</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EyePACS→Mess-1/2</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Binary</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AUC</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0.958/0.92</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Not specified</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Inception-v3 ens.</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Gulshan #12</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2016</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EyePACS (priv.)</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128,175</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Binary</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AUC</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0.991</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Not specified</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Modified VGGNet</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Rakhlin #05</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2017</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Kaggle→Mess-2</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Binary</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AUC</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0.923/0.967</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Not specified</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EffNet+Swin V2</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Xu #09</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2024</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APTOS 2019</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5-class</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Acc/AUC</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0.97/0.97</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Not specified</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EfficientNetB4</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Hayati #27</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2023</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APTOS 2019</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3,662</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Binary</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Acc</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97.83%</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CLAHE (studied)</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EfficientNetB0</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Arora #42</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2024</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Kaggle DR (und.)</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3,704</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5-class</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Acc</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86.53%</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Not specified</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SWIN Transform.</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Goh #16</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2024</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Kaggle/SEED/Mess</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Multi</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AUC</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95.7-97.3%</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Not specified</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FastViT</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Khosravi #38</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2025</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Multi-country</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2,661 ext.</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Binary</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AUC</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0.9811</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Not specified</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Ensemble (Inc/Xc)</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Zhang #44</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2022</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Multicentre (4)</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83,465</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Binary</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AUROC</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0.9931</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Not reported</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DL system</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Ruamv. #45</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2022</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Thai prosp. (9)</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7,651 pts</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Binary</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Acc</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94.7%</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Not reported</w:t>
            </w:r>
          </w:p>
        </w:tc>
      </w:tr>
    </w:tbl>
    <w:p>
      <w:pPr>
        <w:spacing w:after="240" w:line="360" w:before="6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0"/>
          <w:szCs w:val="20"/>
        </w:rPr>
        <w:t xml:space="preserve">"Preproc. Reported?" indicates whether the source explicitly described preprocessing procedures. "Not specified" indicates the source does not mention preprocessing; "Not reported" indicates the source acknowledges preprocessing may have been applied but does not describe it. Values reflect the primary metric as reported in the original source under the dataset and task conditions specified. Direct numerical comparison across rows is not meaningful due to differences in dataset, task definition, and metric formula.</w:t>
      </w:r>
    </w:p>
    <w:p>
      <w:pPr>
        <w:spacing w:after="200" w:line="360"/>
      </w:pPr>
      <w:r>
        <w:rPr>
          <w:rFonts w:ascii="Times New Roman" w:cs="Times New Roman" w:eastAsia="Times New Roman" w:hAnsi="Times New Roman"/>
          <w:sz w:val="24"/>
          <w:szCs w:val="24"/>
        </w:rPr>
        <w:t xml:space="preserve">Several performance trends emerge from this comparison. On the APTOS 2019 dataset, which is the primary dataset for this dissertation, reported performance ranges from 86.53% accuracy (Arora et al., 2024, EfficientNetB0, five-class, undersampled) to 0.97 accuracy and AUC (Xu et al., 2024, EfficientNet + Swin hybrid, five-class). This 10-point accuracy gap on the same dataset reflects differences in architecture, class balancing strategy, and — potentially — unreported preprocessing. For the EyePACS family of datasets, AUC values range from 0.853 (Voets et al., 2019, Messidor-2 reproduction) to 0.991 (Gulshan et al., 2016, private EyePACS), reflecting differences in dataset curation, image quality, and evaluation protocol. These ranges illustrate that performance variation across studies is at least partially attributable to methodological differences rather than purely to architectural capability.</w:t>
      </w:r>
    </w:p>
    <w:p>
      <w:pPr>
        <w:spacing w:after="200" w:line="360"/>
      </w:pPr>
      <w:r>
        <w:rPr>
          <w:rFonts w:ascii="Times New Roman" w:cs="Times New Roman" w:eastAsia="Times New Roman" w:hAnsi="Times New Roman"/>
          <w:sz w:val="24"/>
          <w:szCs w:val="24"/>
        </w:rPr>
        <w:t xml:space="preserve">The column "Preprocessing Reported?" in Table 1.1 visually demonstrates a systematic pattern: of eleven representative studies, only one (Hayati et al., 2023) explicitly investigates preprocessing as an experimental variable. The remaining studies either do not specify preprocessing, or do not report whether preprocessing was applied. This observation is central to the gap analysis in §1.4.3.</w:t>
      </w:r>
    </w:p>
    <w:p>
      <w:pPr>
        <w:spacing w:after="200" w:line="360"/>
      </w:pPr>
      <w:r>
        <w:rPr>
          <w:rFonts w:ascii="Times New Roman" w:cs="Times New Roman" w:eastAsia="Times New Roman" w:hAnsi="Times New Roman"/>
          <w:sz w:val="24"/>
          <w:szCs w:val="24"/>
        </w:rPr>
        <w:t xml:space="preserve">Complementary evidence is available from clinically validated systems. Sánchez-Gutiérrez et al. (2022) evaluated the RetCAD commercial system on a Spanish clinical population (private dataset), reporting AUC of 0.988, 90.5% sensitivity, 97.1% specificity, and 96% workload reduction potential for binary referable DR screening. Baget-Bernaldiz et al. (2021) achieved AUC of 0.988 on their own clinical population and 0.968 on Messidor-1 using four-class ICDR grading. These clinically oriented studies confirm that high performance is achievable at the deployment level, but the proprietary nature of both the systems and the datasets limits reproducibility and prevents detailed analysis of the preprocessing and architectural components contributing to their performance.</w:t>
      </w:r>
    </w:p>
    <w:p>
      <w:pPr>
        <w:pStyle w:val="Heading3"/>
        <w:spacing w:before="360" w:after="240"/>
      </w:pPr>
      <w:r>
        <w:rPr>
          <w:rFonts w:ascii="Times New Roman" w:cs="Times New Roman" w:eastAsia="Times New Roman" w:hAnsi="Times New Roman"/>
          <w:b/>
          <w:bCs/>
          <w:sz w:val="26"/>
          <w:szCs w:val="26"/>
        </w:rPr>
        <w:t xml:space="preserve">1.4.2 Meta-Analytic Evidence on Diagnostic Accuracy and Generalization</w:t>
      </w:r>
    </w:p>
    <w:p>
      <w:pPr>
        <w:spacing w:after="200" w:line="360"/>
      </w:pPr>
      <w:r>
        <w:rPr>
          <w:rFonts w:ascii="Times New Roman" w:cs="Times New Roman" w:eastAsia="Times New Roman" w:hAnsi="Times New Roman"/>
          <w:sz w:val="24"/>
          <w:szCs w:val="24"/>
        </w:rPr>
        <w:t xml:space="preserve">Three systematic reviews in the corpus provide aggregate evidence on the state of DR classification and expose persistent methodological gaps in the field. Wewetzer et al. (2021) conducted a meta-analysis of ten deep learning-based DR screening studies in primary care settings, reporting pooled sensitivity of 87%, pooled specificity of 90%, and a summary receiver operating characteristic (SROC) AUC of 0.9543. These pooled estimates establish a field-level baseline: deep learning systems, on average, achieve sensitivity and specificity in the high 80s to low 90s, with overall discriminative performance captured by SROC AUC near 0.95. While encouraging, these pooled figures mask substantial heterogeneity across individual studies in terms of dataset size, population demographics, and evaluation methodology.</w:t>
      </w:r>
    </w:p>
    <w:p>
      <w:pPr>
        <w:spacing w:after="200" w:line="360"/>
      </w:pPr>
      <w:r>
        <w:rPr>
          <w:rFonts w:ascii="Times New Roman" w:cs="Times New Roman" w:eastAsia="Times New Roman" w:hAnsi="Times New Roman"/>
          <w:sz w:val="24"/>
          <w:szCs w:val="24"/>
        </w:rPr>
        <w:t xml:space="preserve">Senapati et al. (2024) conducted a PRISMA-based systematic review of DR artificial intelligence research from 2016 to 2023, providing a bibliometric landscape of the field. The review identifies overfitting and class imbalance as the two most persistent methodological challenges, and early-stage detection as the area of greatest clinical need. Notably, the review does not identify preprocessing underrepresentation as a systematic gap, focusing instead on architectural innovation and training strategy as the primary dimensions of variation across studies. This observation supports the characterization of preprocessing underrepresentation as a genuine research gap rather than a widely acknowledged limitation: the field’s systematic reviews do not currently treat preprocessing as a variable warranting independent analysis.</w:t>
      </w:r>
    </w:p>
    <w:p>
      <w:pPr>
        <w:spacing w:after="200" w:line="360"/>
      </w:pPr>
      <w:r>
        <w:rPr>
          <w:rFonts w:ascii="Times New Roman" w:cs="Times New Roman" w:eastAsia="Times New Roman" w:hAnsi="Times New Roman"/>
          <w:sz w:val="24"/>
          <w:szCs w:val="24"/>
        </w:rPr>
        <w:t xml:space="preserve">Araf et al. (2024) reviewed 173 papers on cost-sensitive learning for medical image classification (2010–2022) and produced a finding with direct implications for the DR field’s methodological rigor: of 173 studies reviewed, only 2 were classified as validation research. The remaining studies were classified as exploratory, descriptive, or hypothesis-generating. This severe underinvestment in rigorous validation is consistent with the broader observation that most DR classification studies rely on internal hold-out validation without external dataset testing, statistical significance reporting, or formal ablation of methodological components.</w:t>
      </w:r>
    </w:p>
    <w:p>
      <w:pPr>
        <w:spacing w:after="200" w:line="360"/>
      </w:pPr>
      <w:r>
        <w:rPr>
          <w:rFonts w:ascii="Times New Roman" w:cs="Times New Roman" w:eastAsia="Times New Roman" w:hAnsi="Times New Roman"/>
          <w:sz w:val="24"/>
          <w:szCs w:val="24"/>
        </w:rPr>
        <w:t xml:space="preserve">Synthesized, these three reviews reveal a field that achieves high aggregate performance (SROC AUC 0.9543) while simultaneously suffering from inconsistent evaluation practices (only 2 of 173 studies classified as validation research), persistent class imbalance challenges, and systematic blind spots (preprocessing not analyzed as a variable in field-mapping surveys). This triad of high performance, methodological heterogeneity, and analytical gaps motivates the dissertation’s emphasis on controlled experimental design with explicit preprocessing isolation and multi-metric evaluation.</w:t>
      </w:r>
    </w:p>
    <w:p>
      <w:pPr>
        <w:pStyle w:val="Heading3"/>
        <w:spacing w:before="360" w:after="240"/>
      </w:pPr>
      <w:r>
        <w:rPr>
          <w:rFonts w:ascii="Times New Roman" w:cs="Times New Roman" w:eastAsia="Times New Roman" w:hAnsi="Times New Roman"/>
          <w:b/>
          <w:bCs/>
          <w:sz w:val="26"/>
          <w:szCs w:val="26"/>
        </w:rPr>
        <w:t xml:space="preserve">1.4.3 Methodological Gaps: Preprocessing Underrepresentation and Confounded Ablation</w:t>
      </w:r>
    </w:p>
    <w:p>
      <w:pPr>
        <w:spacing w:before="240" w:after="120"/>
        <w:jc w:val="center"/>
      </w:pPr>
      <w:r>
        <w:rPr>
          <w:rFonts w:ascii="Times New Roman" w:cs="Times New Roman" w:eastAsia="Times New Roman" w:hAnsi="Times New Roman"/>
          <w:b/>
          <w:bCs/>
          <w:i/>
          <w:iCs/>
          <w:sz w:val="22"/>
          <w:szCs w:val="22"/>
        </w:rPr>
        <w:t xml:space="preserve">Table 1.2 — Comparative Table of Preprocessing Strategies in DR Classification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600"/>
        <w:gridCol w:w="900"/>
        <w:gridCol w:w="1000"/>
        <w:gridCol w:w="1500"/>
        <w:gridCol w:w="1100"/>
      </w:tblGrid>
      <w:tr>
        <w:trPr>
          <w:tblHeader/>
        </w:trPr>
        <w:tc>
          <w:tcPr>
            <w:tcW w:type="dxa" w:w="11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spacing w:after="60" w:line="276"/>
            </w:pPr>
            <w:r>
              <w:rPr>
                <w:rFonts w:ascii="Times New Roman" w:cs="Times New Roman" w:eastAsia="Times New Roman" w:hAnsi="Times New Roman"/>
                <w:b/>
                <w:bCs/>
                <w:sz w:val="20"/>
                <w:szCs w:val="20"/>
              </w:rPr>
              <w:t xml:space="preserve">Strategy</w:t>
            </w:r>
          </w:p>
        </w:tc>
        <w:tc>
          <w:tcPr>
            <w:tcW w:type="dxa" w:w="10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spacing w:after="60" w:line="276"/>
            </w:pPr>
            <w:r>
              <w:rPr>
                <w:rFonts w:ascii="Times New Roman" w:cs="Times New Roman" w:eastAsia="Times New Roman" w:hAnsi="Times New Roman"/>
                <w:b/>
                <w:bCs/>
                <w:sz w:val="20"/>
                <w:szCs w:val="20"/>
              </w:rPr>
              <w:t xml:space="preserve">Source</w:t>
            </w:r>
          </w:p>
        </w:tc>
        <w:tc>
          <w:tcPr>
            <w:tcW w:type="dxa" w:w="6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spacing w:after="60" w:line="276"/>
            </w:pPr>
            <w:r>
              <w:rPr>
                <w:rFonts w:ascii="Times New Roman" w:cs="Times New Roman" w:eastAsia="Times New Roman" w:hAnsi="Times New Roman"/>
                <w:b/>
                <w:bCs/>
                <w:sz w:val="20"/>
                <w:szCs w:val="20"/>
              </w:rPr>
              <w:t xml:space="preserve">Year</w:t>
            </w:r>
          </w:p>
        </w:tc>
        <w:tc>
          <w:tcPr>
            <w:tcW w:type="dxa" w:w="9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spacing w:after="60" w:line="276"/>
            </w:pPr>
            <w:r>
              <w:rPr>
                <w:rFonts w:ascii="Times New Roman" w:cs="Times New Roman" w:eastAsia="Times New Roman" w:hAnsi="Times New Roman"/>
                <w:b/>
                <w:bCs/>
                <w:sz w:val="20"/>
                <w:szCs w:val="20"/>
              </w:rPr>
              <w:t xml:space="preserve">Dataset</w:t>
            </w:r>
          </w:p>
        </w:tc>
        <w:tc>
          <w:tcPr>
            <w:tcW w:type="dxa" w:w="10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spacing w:after="60" w:line="276"/>
            </w:pPr>
            <w:r>
              <w:rPr>
                <w:rFonts w:ascii="Times New Roman" w:cs="Times New Roman" w:eastAsia="Times New Roman" w:hAnsi="Times New Roman"/>
                <w:b/>
                <w:bCs/>
                <w:sz w:val="20"/>
                <w:szCs w:val="20"/>
              </w:rPr>
              <w:t xml:space="preserve">CNN Used</w:t>
            </w:r>
          </w:p>
        </w:tc>
        <w:tc>
          <w:tcPr>
            <w:tcW w:type="dxa" w:w="15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spacing w:after="60" w:line="276"/>
            </w:pPr>
            <w:r>
              <w:rPr>
                <w:rFonts w:ascii="Times New Roman" w:cs="Times New Roman" w:eastAsia="Times New Roman" w:hAnsi="Times New Roman"/>
                <w:b/>
                <w:bCs/>
                <w:sz w:val="20"/>
                <w:szCs w:val="20"/>
              </w:rPr>
              <w:t xml:space="preserve">Impact</w:t>
            </w:r>
          </w:p>
        </w:tc>
        <w:tc>
          <w:tcPr>
            <w:tcW w:type="dxa" w:w="11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spacing w:after="60" w:line="276"/>
            </w:pPr>
            <w:r>
              <w:rPr>
                <w:rFonts w:ascii="Times New Roman" w:cs="Times New Roman" w:eastAsia="Times New Roman" w:hAnsi="Times New Roman"/>
                <w:b/>
                <w:bCs/>
                <w:sz w:val="20"/>
                <w:szCs w:val="20"/>
              </w:rPr>
              <w:t xml:space="preserve">Params Spec.?</w:t>
            </w:r>
          </w:p>
        </w:tc>
      </w:tr>
      <w:tr>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CLAHE</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Sapakova #24 🔹SELF</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2025</w:t>
            </w:r>
          </w:p>
        </w:tc>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APTOS+priv.</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Custom 4-block</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Val acc 71%→86%</w:t>
            </w:r>
          </w:p>
        </w:tc>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clip=2.0, 8×8</w:t>
            </w:r>
          </w:p>
        </w:tc>
      </w:tr>
      <w:tr>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Upgraded CLAHE</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Sapakova #23 🔹SELF</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2025</w:t>
            </w:r>
          </w:p>
        </w:tc>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STARE</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ResNet50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100% acc (⚠️ SIR-3)</w:t>
            </w:r>
          </w:p>
        </w:tc>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T/80 formulation</w:t>
            </w:r>
          </w:p>
        </w:tc>
      </w:tr>
      <w:tr>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CLAHE (multi)</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Hayati #27</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2023</w:t>
            </w:r>
          </w:p>
        </w:tc>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APTOS 2019</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4 architectures</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+3/4; ResNet34 −12%</w:t>
            </w:r>
          </w:p>
        </w:tc>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Not fully spec.</w:t>
            </w:r>
          </w:p>
        </w:tc>
      </w:tr>
      <w:tr>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FCE+CLAHE</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Shaout #26</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2025</w:t>
            </w:r>
          </w:p>
        </w:tc>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DRIVE</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59%/88% pref.</w:t>
            </w:r>
          </w:p>
        </w:tc>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clip=2.0, 8×8</w:t>
            </w:r>
          </w:p>
        </w:tc>
      </w:tr>
      <w:tr>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Rescaling</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Chakka #30</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2023</w:t>
            </w:r>
          </w:p>
        </w:tc>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Kaggle OCT</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ResNet50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"Best of 4" (no met.)</w:t>
            </w:r>
          </w:p>
        </w:tc>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Not specified</w:t>
            </w:r>
          </w:p>
        </w:tc>
      </w:tr>
      <w:tr>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Not reported</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Gulshan #12</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2016</w:t>
            </w:r>
          </w:p>
        </w:tc>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EyePACS</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Inception-v3</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AUC 0.991</w:t>
            </w:r>
          </w:p>
        </w:tc>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N/A</w:t>
            </w:r>
          </w:p>
        </w:tc>
      </w:tr>
      <w:tr>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Not reported</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Zhang #44</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2022</w:t>
            </w:r>
          </w:p>
        </w:tc>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Multicentre</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Ensemble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AUROC 0.9931</w:t>
            </w:r>
          </w:p>
        </w:tc>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N/A</w:t>
            </w:r>
          </w:p>
        </w:tc>
      </w:tr>
    </w:tbl>
    <w:p>
      <w:pPr>
        <w:spacing w:after="240" w:line="360" w:before="6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0"/>
          <w:szCs w:val="20"/>
        </w:rPr>
        <w:t xml:space="preserve">Sources marked 🔹SELF are prior publications by the dissertation candidate, identified per self-citation transparency rules. Source #23 sensitivity/accuracy figures carry a metric formula anomaly (SIR-3): the original publication defines sensitivity as Sen = TP/(TP+TN) rather than the standard formula Sen = TP/(TP+FN). The 100% accuracy claim should not be cited at face value. Source #26 (arXiv preprint, 10-person survey) and #30 (high school journal, no metrics) carry low epistemic weight.</w:t>
      </w:r>
    </w:p>
    <w:p>
      <w:pPr>
        <w:spacing w:after="200" w:line="360"/>
      </w:pPr>
      <w:r>
        <w:rPr>
          <w:rFonts w:ascii="Times New Roman" w:cs="Times New Roman" w:eastAsia="Times New Roman" w:hAnsi="Times New Roman"/>
          <w:b/>
          <w:bCs/>
          <w:sz w:val="24"/>
          <w:szCs w:val="24"/>
        </w:rPr>
        <w:t xml:space="preserve">Gap 1: Preprocessing underrepresentation. </w:t>
      </w:r>
      <w:r>
        <w:rPr>
          <w:rFonts w:ascii="Times New Roman" w:cs="Times New Roman" w:eastAsia="Times New Roman" w:hAnsi="Times New Roman"/>
          <w:sz w:val="24"/>
          <w:szCs w:val="24"/>
        </w:rPr>
        <w:t xml:space="preserve">The evidence from §1.3 and the preceding subsections demonstrates that preprocessing is systematically underreported in the DR classification literature. Among the high-performing systems reviewed, Gulshan et al. (2016), Zhang et al. (2022), and Ruamviboonsuk et al. (2022) do not report preprocessing details. Systematic reviews by Wewetzer et al. (2021) and Senapati et al. (2024) identify class imbalance and overfitting as key challenges but do not systematically address preprocessing as a performance variable. Hayati et al. (2023) is among the few studies that explicitly evaluates preprocessing impact, and its findings complicate rather than simplify the picture: CLAHE improved accuracy for three of four tested architectures but degraded ResNet34 performance by 12.02 percentage points. This architecture-dependent preprocessing effect suggests that the relationship between input quality enhancement and downstream performance is more complex than typically assumed, warranting dedicated investigation.</w:t>
      </w:r>
    </w:p>
    <w:p>
      <w:pPr>
        <w:spacing w:after="200" w:line="360"/>
      </w:pPr>
      <w:r>
        <w:rPr>
          <w:rFonts w:ascii="Times New Roman" w:cs="Times New Roman" w:eastAsia="Times New Roman" w:hAnsi="Times New Roman"/>
          <w:b/>
          <w:bCs/>
          <w:sz w:val="24"/>
          <w:szCs w:val="24"/>
        </w:rPr>
        <w:t xml:space="preserve">Gap 2: Confounded ablation designs. </w:t>
      </w:r>
      <w:r>
        <w:rPr>
          <w:rFonts w:ascii="Times New Roman" w:cs="Times New Roman" w:eastAsia="Times New Roman" w:hAnsi="Times New Roman"/>
          <w:sz w:val="24"/>
          <w:szCs w:val="24"/>
        </w:rPr>
        <w:t xml:space="preserve">The difficulty of isolating preprocessing’s contribution to performance is compounded by a pervasive design confound in existing studies. When preprocessing is applied, it is typically introduced alongside other methodological changes (architecture modification, hyperparameter adjustment, training strategy changes), making it impossible to attribute observed performance gains to preprocessing alone. In the candidate’s prior work (Sapakova et al., 2025b), the preprocessing pipeline and architectural complexity change (from a two-block to a four-block CNN) were applied simultaneously; the isolated effect of preprocessing was not independently measured. This design limitation is not unique to the candidate’s work: most architecture-focused studies in the corpus (Pratt et al., 2016; Arrieta et al., 2022; Xu et al., 2024; Gulshan et al., 2016) do not include ablation of preprocessing components. The absence of controlled ablation studies isolating preprocessing from architectural changes means that the contribution of preprocessing to classification performance remains an open empirical question.</w:t>
      </w:r>
    </w:p>
    <w:p>
      <w:pPr>
        <w:spacing w:after="200" w:line="360"/>
      </w:pPr>
      <w:r>
        <w:rPr>
          <w:rFonts w:ascii="Times New Roman" w:cs="Times New Roman" w:eastAsia="Times New Roman" w:hAnsi="Times New Roman"/>
          <w:b/>
          <w:bCs/>
          <w:sz w:val="24"/>
          <w:szCs w:val="24"/>
        </w:rPr>
        <w:t xml:space="preserve">Gap 3: Evaluation protocol heterogeneity. </w:t>
      </w:r>
      <w:r>
        <w:rPr>
          <w:rFonts w:ascii="Times New Roman" w:cs="Times New Roman" w:eastAsia="Times New Roman" w:hAnsi="Times New Roman"/>
          <w:sz w:val="24"/>
          <w:szCs w:val="24"/>
        </w:rPr>
        <w:t xml:space="preserve">Cross-study performance comparison is further complicated by inconsistent evaluation protocols across the field. Task definitions vary between binary classification (referable vs. non-referable DR: Saxena et al., 2020; Baget-Bernaldiz et al., 2021; Gulshan et al., 2016) and five-class grading (Pratt et al., 2016; Xu et al., 2024; Liu et al., 2022; Goh et al., 2024). Metric selection is inconsistent: some studies report only accuracy (Pratt et al., 2016; Hayati et al., 2023), others report AUC (Gulshan et al., 2016), and still others employ comprehensive multi-metric profiles including AUC, weighted kappa, and accuracy (Liu et al., 2022; Zhang et al., 2022). Statistical testing is absent from the majority of studies; among the reviewed sources, only Ruamviboonsuk et al. (2022) reports p-values for the comparison between AI system and human specialists. The heterogeneity of evaluation practices makes it difficult to determine whether observed performance differences reflect genuine methodological advances or merely differences in how performance is measured and reported.</w:t>
      </w:r>
    </w:p>
    <w:p>
      <w:pPr>
        <w:spacing w:before="240" w:after="120"/>
        <w:jc w:val="center"/>
      </w:pPr>
      <w:r>
        <w:rPr>
          <w:rFonts w:ascii="Times New Roman" w:cs="Times New Roman" w:eastAsia="Times New Roman" w:hAnsi="Times New Roman"/>
          <w:b/>
          <w:bCs/>
          <w:i/>
          <w:iCs/>
          <w:sz w:val="22"/>
          <w:szCs w:val="22"/>
        </w:rPr>
        <w:t xml:space="preserve">Table 1.3 — Evaluation Metrics and Datasets Across DR Classification Studies</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700"/>
        <w:gridCol w:w="700"/>
        <w:gridCol w:w="700"/>
        <w:gridCol w:w="1500"/>
        <w:gridCol w:w="1200"/>
      </w:tblGrid>
      <w:tr>
        <w:trPr>
          <w:tblHeader/>
        </w:trPr>
        <w:tc>
          <w:tcPr>
            <w:tcW w:type="dxa" w:w="10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spacing w:after="60" w:line="276"/>
            </w:pPr>
            <w:r>
              <w:rPr>
                <w:rFonts w:ascii="Times New Roman" w:cs="Times New Roman" w:eastAsia="Times New Roman" w:hAnsi="Times New Roman"/>
                <w:b/>
                <w:bCs/>
                <w:sz w:val="20"/>
                <w:szCs w:val="20"/>
              </w:rPr>
              <w:t xml:space="preserve">Source</w:t>
            </w:r>
          </w:p>
        </w:tc>
        <w:tc>
          <w:tcPr>
            <w:tcW w:type="dxa" w:w="13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spacing w:after="60" w:line="276"/>
            </w:pPr>
            <w:r>
              <w:rPr>
                <w:rFonts w:ascii="Times New Roman" w:cs="Times New Roman" w:eastAsia="Times New Roman" w:hAnsi="Times New Roman"/>
                <w:b/>
                <w:bCs/>
                <w:sz w:val="20"/>
                <w:szCs w:val="20"/>
              </w:rPr>
              <w:t xml:space="preserve">Dataset</w:t>
            </w:r>
          </w:p>
        </w:tc>
        <w:tc>
          <w:tcPr>
            <w:tcW w:type="dxa" w:w="7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spacing w:after="60" w:line="276"/>
            </w:pPr>
            <w:r>
              <w:rPr>
                <w:rFonts w:ascii="Times New Roman" w:cs="Times New Roman" w:eastAsia="Times New Roman" w:hAnsi="Times New Roman"/>
                <w:b/>
                <w:bCs/>
                <w:sz w:val="20"/>
                <w:szCs w:val="20"/>
              </w:rPr>
              <w:t xml:space="preserve">Public?</w:t>
            </w:r>
          </w:p>
        </w:tc>
        <w:tc>
          <w:tcPr>
            <w:tcW w:type="dxa" w:w="7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spacing w:after="60" w:line="276"/>
            </w:pPr>
            <w:r>
              <w:rPr>
                <w:rFonts w:ascii="Times New Roman" w:cs="Times New Roman" w:eastAsia="Times New Roman" w:hAnsi="Times New Roman"/>
                <w:b/>
                <w:bCs/>
                <w:sz w:val="20"/>
                <w:szCs w:val="20"/>
              </w:rPr>
              <w:t xml:space="preserve">Size</w:t>
            </w:r>
          </w:p>
        </w:tc>
        <w:tc>
          <w:tcPr>
            <w:tcW w:type="dxa" w:w="7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spacing w:after="60" w:line="276"/>
            </w:pPr>
            <w:r>
              <w:rPr>
                <w:rFonts w:ascii="Times New Roman" w:cs="Times New Roman" w:eastAsia="Times New Roman" w:hAnsi="Times New Roman"/>
                <w:b/>
                <w:bCs/>
                <w:sz w:val="20"/>
                <w:szCs w:val="20"/>
              </w:rPr>
              <w:t xml:space="preserve">Task</w:t>
            </w:r>
          </w:p>
        </w:tc>
        <w:tc>
          <w:tcPr>
            <w:tcW w:type="dxa" w:w="15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spacing w:after="60" w:line="276"/>
            </w:pPr>
            <w:r>
              <w:rPr>
                <w:rFonts w:ascii="Times New Roman" w:cs="Times New Roman" w:eastAsia="Times New Roman" w:hAnsi="Times New Roman"/>
                <w:b/>
                <w:bCs/>
                <w:sz w:val="20"/>
                <w:szCs w:val="20"/>
              </w:rPr>
              <w:t xml:space="preserve">Metrics</w:t>
            </w:r>
          </w:p>
        </w:tc>
        <w:tc>
          <w:tcPr>
            <w:tcW w:type="dxa" w:w="12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spacing w:after="60" w:line="276"/>
            </w:pPr>
            <w:r>
              <w:rPr>
                <w:rFonts w:ascii="Times New Roman" w:cs="Times New Roman" w:eastAsia="Times New Roman" w:hAnsi="Times New Roman"/>
                <w:b/>
                <w:bCs/>
                <w:sz w:val="20"/>
                <w:szCs w:val="20"/>
              </w:rPr>
              <w:t xml:space="preserve">Stat. Testing</w:t>
            </w:r>
          </w:p>
        </w:tc>
      </w:tr>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Pratt #01</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EyePACS/Kaggle</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Public</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∵35K</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5-class</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Acc, Sens, Spec</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No</w:t>
            </w:r>
          </w:p>
        </w:tc>
      </w:tr>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Gulshan #12</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EyePACS (priv.)</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Private</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128,175</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Binary</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AUC</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No</w:t>
            </w:r>
          </w:p>
        </w:tc>
      </w:tr>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Liu #15</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DeepDRiD</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Public</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Multi</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κ, Acc</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No</w:t>
            </w:r>
          </w:p>
        </w:tc>
      </w:tr>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Voets #17</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EyePACS, Mess-2</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Public</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Binary</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AUC</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No</w:t>
            </w:r>
          </w:p>
        </w:tc>
      </w:tr>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Wewetzer #14</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Multiple (pool.)</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Mixed</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Binary</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Sens/Spec, SROC</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Meta-analytic</w:t>
            </w:r>
          </w:p>
        </w:tc>
      </w:tr>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Zhang #44</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Multicentre (4)</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Private</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83,465</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Binary</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AUROC, κ</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Expert comp.</w:t>
            </w:r>
          </w:p>
        </w:tc>
      </w:tr>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Ruamv. #45</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Thai prospective</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Private</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7,651 pts</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Binary</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Acc, Sens, Spec</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p=0.024</w:t>
            </w:r>
          </w:p>
        </w:tc>
      </w:tr>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Sapakova #24 🔹SELF</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APTOS+priv.</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Mixed</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∵25K</w:t>
            </w:r>
          </w:p>
        </w:tc>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5-class</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Acc, F1, ROC-AUC</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line="276"/>
            </w:pPr>
            <w:r>
              <w:rPr>
                <w:rFonts w:ascii="Times New Roman" w:cs="Times New Roman" w:eastAsia="Times New Roman" w:hAnsi="Times New Roman"/>
                <w:sz w:val="20"/>
                <w:szCs w:val="20"/>
              </w:rPr>
              <w:t xml:space="preserve">No</w:t>
            </w:r>
          </w:p>
        </w:tc>
      </w:tr>
    </w:tbl>
    <w:p>
      <w:pPr>
        <w:spacing w:after="240" w:line="360" w:before="6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0"/>
          <w:szCs w:val="20"/>
        </w:rPr>
        <w:t xml:space="preserve">Source #24 identified as prior own work per self-citation transparency rules.</w:t>
      </w:r>
    </w:p>
    <w:p>
      <w:pPr>
        <w:spacing w:after="200" w:line="360"/>
      </w:pPr>
      <w:r>
        <w:rPr>
          <w:rFonts w:ascii="Times New Roman" w:cs="Times New Roman" w:eastAsia="Times New Roman" w:hAnsi="Times New Roman"/>
          <w:b/>
          <w:bCs/>
          <w:sz w:val="24"/>
          <w:szCs w:val="24"/>
        </w:rPr>
        <w:t xml:space="preserve">Gap 4: Resource-limited deployment context. </w:t>
      </w:r>
      <w:r>
        <w:rPr>
          <w:rFonts w:ascii="Times New Roman" w:cs="Times New Roman" w:eastAsia="Times New Roman" w:hAnsi="Times New Roman"/>
          <w:sz w:val="24"/>
          <w:szCs w:val="24"/>
        </w:rPr>
        <w:t xml:space="preserve">The majority of high-performing DR classification systems reviewed in this chapter — including the clinically validated systems of Sánchez-Gutiérrez et al. (2022), Ting et al. (2017), Zhang et al. (2022), and Ruamviboonsuk et al. (2022) — were developed and validated in well-resourced clinical or research environments. The specific constraints characterizing resource-limited deployment contexts (absence of GPU acceleration, memory below 16 GB, connectivity limitations) are not systematically addressed in the reviewed literature. The Kazakhstan-specific healthcare context described in the candidate’s prior work (Yesmukhamedov et al., 2025b) provides clinical framing for this gap, though it constitutes a design specification rather than deployment evidence.</w:t>
      </w:r>
    </w:p>
    <w:p>
      <w:pPr>
        <w:spacing w:after="200" w:line="360"/>
      </w:pPr>
      <w:r>
        <w:rPr>
          <w:rFonts w:ascii="Times New Roman" w:cs="Times New Roman" w:eastAsia="Times New Roman" w:hAnsi="Times New Roman"/>
          <w:b/>
          <w:bCs/>
          <w:sz w:val="24"/>
          <w:szCs w:val="24"/>
        </w:rPr>
        <w:t xml:space="preserve">Gap 5: Image quality variability. </w:t>
      </w:r>
      <w:r>
        <w:rPr>
          <w:rFonts w:ascii="Times New Roman" w:cs="Times New Roman" w:eastAsia="Times New Roman" w:hAnsi="Times New Roman"/>
          <w:sz w:val="24"/>
          <w:szCs w:val="24"/>
        </w:rPr>
        <w:t xml:space="preserve">As documented in §1.2.2, image quality variability produces measurable performance degradation across studies (Rakhlin, 2017; Voets et al., 2019; Liu et al., 2022). The absence of dedicated image degradation sources in the current corpus (identified as a coverage gap in §1.2.1) limits the capacity to characterize this problem at its origin. However, the convergent evidence from cross-dataset performance drops establishes image quality variability as a dataset-specific limitation with cross-study implications, motivating the investigation of contrast-adaptive preprocessing as a potential mitigation strategy.</w:t>
      </w:r>
    </w:p>
    <w:p>
      <w:pPr>
        <w:spacing w:after="200" w:line="360"/>
      </w:pPr>
      <w:r>
        <w:rPr>
          <w:rFonts w:ascii="Times New Roman" w:cs="Times New Roman" w:eastAsia="Times New Roman" w:hAnsi="Times New Roman"/>
          <w:sz w:val="24"/>
          <w:szCs w:val="24"/>
        </w:rPr>
        <w:t xml:space="preserve">The logical chain connecting these gaps can be summarized as follows: (1) preprocessing is rarely reported in the DR classification literature; (2) when preprocessing is reported, its effects are variable and architecture-dependent; (3) ablation studies isolating preprocessing from other methodological changes are absent; (4) evaluation inconsistencies prevent reliable cross-study comparison; and (5) resource-limited deployment constraints are not systematically addressed. Collectively, these gaps establish that the contribution of preprocessing to DR classification performance is an open empirical question, that the field’s evaluation practices are insufficient for resolving it, and that the specific intersection of preprocessing optimization with resource-limited deployment remains unexplored.</w:t>
      </w:r>
    </w:p>
    <w:p>
      <w:pPr>
        <w:pStyle w:val="Heading2"/>
        <w:spacing w:before="360" w:after="240"/>
      </w:pPr>
      <w:r>
        <w:rPr>
          <w:rFonts w:ascii="Times New Roman" w:cs="Times New Roman" w:eastAsia="Times New Roman" w:hAnsi="Times New Roman"/>
          <w:b/>
          <w:bCs/>
          <w:sz w:val="28"/>
          <w:szCs w:val="28"/>
        </w:rPr>
        <w:t xml:space="preserve">1.5 Formulation of the Research Problem and Justification of Research Direction</w:t>
      </w:r>
    </w:p>
    <w:p>
      <w:pPr>
        <w:spacing w:after="200" w:line="360"/>
      </w:pPr>
      <w:r>
        <w:rPr>
          <w:rFonts w:ascii="Times New Roman" w:cs="Times New Roman" w:eastAsia="Times New Roman" w:hAnsi="Times New Roman"/>
          <w:sz w:val="24"/>
          <w:szCs w:val="24"/>
        </w:rPr>
        <w:t xml:space="preserve">The analysis conducted in §1.1 through §1.4 establishes the following empirical and methodological context: (a) diabetic retinopathy is a progressive, stage-dependent disease where early automated detection has the potential to substantially reduce vision loss; (b) deep learning-based classification systems have achieved high aggregate performance (SROC AUC 0.9543 per meta-analytic evidence), but this performance is unevenly distributed across datasets, architectures, and evaluation protocols; (c) preprocessing is systematically underreported in the field, with the consequence that its contribution to classification performance is empirically uncharacterized; (d) existing studies that modify preprocessing do so concurrently with other methodological changes, confounding the attribution of observed performance gains; and (e) the specific operational context of resource-limited deployment remains underexplored.</w:t>
      </w:r>
    </w:p>
    <w:p>
      <w:pPr>
        <w:spacing w:after="200" w:line="360"/>
      </w:pPr>
      <w:r>
        <w:rPr>
          <w:rFonts w:ascii="Times New Roman" w:cs="Times New Roman" w:eastAsia="Times New Roman" w:hAnsi="Times New Roman"/>
          <w:sz w:val="24"/>
          <w:szCs w:val="24"/>
        </w:rPr>
        <w:t xml:space="preserve">These gaps collectively define the research problem addressed by this dissertation. The problem can be formally stated as follows: given the absence of controlled evidence isolating the contribution of fundus image preprocessing to multi-class DR classification performance, and given the evaluation heterogeneity that prevents reliable performance comparison across existing approaches, there is a need for an integrated preprocessing-CNN framework that (a) makes preprocessing an explicit, controllable experimental variable, (b) evaluates performance using a comprehensive multi-metric protocol that accounts for class imbalance and ordinal misclassification severity, and (c) operates within computational constraints representative of resource-limited deployment environments.</w:t>
      </w:r>
    </w:p>
    <w:p>
      <w:pPr>
        <w:spacing w:after="200" w:line="360"/>
      </w:pPr>
      <w:r>
        <w:rPr>
          <w:rFonts w:ascii="Times New Roman" w:cs="Times New Roman" w:eastAsia="Times New Roman" w:hAnsi="Times New Roman"/>
          <w:sz w:val="24"/>
          <w:szCs w:val="24"/>
        </w:rPr>
        <w:t xml:space="preserve">Each element of the dissertation’s research objective is traceable to a specific gap identified in this review. The development of an integrated fundus image enhancement and CNN-based classification framework addresses Gap 1 (preprocessing underrepresentation) by formalizing preprocessing as a pipeline component with explicit parameter specifications, and Gap 2 (confounded ablation) by enabling controlled comparison between preprocessed and unprocessed conditions. The emphasis on contrast-adaptive preprocessing, including CLAHE with controllable threshold parameters, addresses Gap 5 (image quality variability) by targeting the specific contrast and visibility deficiencies documented in the image quality analysis of §1.2. The constraint on computational conditions addresses Gap 4 (resource-limited deployment) by framing the experimental environment within resource-limited operational definitions. The adoption of five-class DR grading with a multi-metric evaluation framework (weighted F1-score, ROC-AUC, Cohen’s Kappa, and accuracy, with explicit dominance criteria) addresses Gap 3 (evaluation heterogeneity) by establishing internally consistent evaluation standards.</w:t>
      </w:r>
    </w:p>
    <w:p>
      <w:pPr>
        <w:spacing w:after="200" w:line="360"/>
      </w:pPr>
      <w:r>
        <w:rPr>
          <w:rFonts w:ascii="Times New Roman" w:cs="Times New Roman" w:eastAsia="Times New Roman" w:hAnsi="Times New Roman"/>
          <w:sz w:val="24"/>
          <w:szCs w:val="24"/>
        </w:rPr>
        <w:t xml:space="preserve">The research direction is further justified by two methodological observations. First, the field-mapping survey by Senapati et al. (2024) identifies overfitting and class imbalance as persistent challenges but does not identify preprocessing underrepresentation as a systematic issue, suggesting that this gap has not been addressed by the existing research agenda. Second, the reproducibility analysis by Voets et al. (2019) demonstrates that implementation specifics not captured in published methodology (potentially including unreported preprocessing) can account for substantial performance differences, reinforcing the need for experimental transparency regarding preprocessing contributions.</w:t>
      </w:r>
    </w:p>
    <w:p>
      <w:pPr>
        <w:spacing w:after="200" w:line="360"/>
      </w:pPr>
      <w:r>
        <w:rPr>
          <w:rFonts w:ascii="Times New Roman" w:cs="Times New Roman" w:eastAsia="Times New Roman" w:hAnsi="Times New Roman"/>
          <w:sz w:val="24"/>
          <w:szCs w:val="24"/>
        </w:rPr>
        <w:t xml:space="preserve">This dissertation proposes to evaluate three specific hypotheses arising from the identified gaps: (H-1) that an integrated preprocessing pipeline produces statistically measurable improvement in five-class DR classification performance relative to a baseline CNN without preprocessing, under matched computational conditions; (H-2) that the CLAHE clip limit parameter exhibits a parameter-dependent sensitivity profile in downstream classification performance; and (H-3) that a two-stage progressive fine-tuning protocol yields superior test-set performance compared to a frozen-only transfer learning strategy. These hypotheses are evaluated through controlled experiments described in subsequent chapters; the present review establishes only their motivation within the current state of the field.</w:t>
      </w:r>
    </w:p>
    <w:p>
      <w:pPr>
        <w:pStyle w:val="Heading2"/>
        <w:spacing w:before="360" w:after="240"/>
      </w:pPr>
      <w:r>
        <w:rPr>
          <w:rFonts w:ascii="Times New Roman" w:cs="Times New Roman" w:eastAsia="Times New Roman" w:hAnsi="Times New Roman"/>
          <w:b/>
          <w:bCs/>
          <w:sz w:val="28"/>
          <w:szCs w:val="28"/>
        </w:rPr>
        <w:t xml:space="preserve">Conclusions to Chapter 1</w:t>
      </w:r>
    </w:p>
    <w:p>
      <w:pPr>
        <w:spacing w:after="200" w:line="360"/>
      </w:pPr>
      <w:r>
        <w:rPr>
          <w:rFonts w:ascii="Times New Roman" w:cs="Times New Roman" w:eastAsia="Times New Roman" w:hAnsi="Times New Roman"/>
          <w:sz w:val="24"/>
          <w:szCs w:val="24"/>
        </w:rPr>
        <w:t xml:space="preserve">The analysis of the current state of automated diabetic retinopathy diagnosis conducted in this chapter has established the following principal findings.</w:t>
      </w:r>
    </w:p>
    <w:p>
      <w:pPr>
        <w:spacing w:after="200" w:line="360"/>
      </w:pPr>
      <w:r>
        <w:rPr>
          <w:rFonts w:ascii="Times New Roman" w:cs="Times New Roman" w:eastAsia="Times New Roman" w:hAnsi="Times New Roman"/>
          <w:sz w:val="24"/>
          <w:szCs w:val="24"/>
        </w:rPr>
        <w:t xml:space="preserve">The clinical and epidemiological context confirms that DR is a progressive microvascular complication of diabetes with well-defined pathological stages (DR 0–4). The global screening burden, combined with ophthalmological specialist density constraints (particularly in resource-limited settings such as the Kazakhstan healthcare system), creates a clinical imperative for automated screening solutions. Evidence from multiple national programmes (Singapore, Thailand) demonstrates that deep learning-based systems can achieve clinically meaningful screening performance, though technology transfer to lower-resource settings remains constrained.</w:t>
      </w:r>
    </w:p>
    <w:p>
      <w:pPr>
        <w:spacing w:after="200" w:line="360"/>
      </w:pPr>
      <w:r>
        <w:rPr>
          <w:rFonts w:ascii="Times New Roman" w:cs="Times New Roman" w:eastAsia="Times New Roman" w:hAnsi="Times New Roman"/>
          <w:sz w:val="24"/>
          <w:szCs w:val="24"/>
        </w:rPr>
        <w:t xml:space="preserve">The deep learning approaches surveyed span three architectural generations (custom CNNs, deep pre-trained networks, and Vision Transformer hybrids), with reported performance ranging from 75% accuracy (Pratt et al., 2016, custom CNN, five-class) to AUC of 0.991 (Gulshan et al., 2016, Inception-v3 ensemble, binary). Transfer learning from ImageNet-pre-trained networks has become the dominant training paradigm, with evidence supporting its effectiveness across multiple architectures and datasets. Vision Transformer architectures show promise but remain methodologically heterogeneous, with several studies exhibiting internal metric inconsistencies or inadequate validation.</w:t>
      </w:r>
    </w:p>
    <w:p>
      <w:pPr>
        <w:spacing w:after="200" w:line="360"/>
      </w:pPr>
      <w:r>
        <w:rPr>
          <w:rFonts w:ascii="Times New Roman" w:cs="Times New Roman" w:eastAsia="Times New Roman" w:hAnsi="Times New Roman"/>
          <w:sz w:val="24"/>
          <w:szCs w:val="24"/>
        </w:rPr>
        <w:t xml:space="preserve">The critical analysis has identified five specific methodological gaps in the existing literature: (1) systematic underrepresentation of preprocessing as an independent performance variable, evidenced by the absence of preprocessing reporting in the majority of high-performing studies; (2) confounded ablation designs that prevent isolation of preprocessing contributions from architectural changes; (3) evaluation protocol heterogeneity across task definitions, metric selections, and validation strategies; (4) underexplored optimization for resource-limited deployment contexts; and (5) image quality variability as a documented but incompletely characterized source of performance degradation. These gaps collectively define an open empirical question — the contribution of preprocessing to multi-class DR classification performance under controlled conditions — that motivates the research direction, hypotheses, and experimental design developed in the subsequent chapters of this dissertation.</w:t>
      </w:r>
    </w:p>
    <w:sectPr>
      <w:headerReference w:type="default" r:id="rId6"/>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360" w:after="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40" w:after="20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2026-02-20T12:42:35.016Z</dcterms:created>
  <dcterms:modified xsi:type="dcterms:W3CDTF">2026-02-20T12:42:35.016Z</dcterms:modified>
</cp:coreProperties>
</file>

<file path=docProps/custom.xml><?xml version="1.0" encoding="utf-8"?>
<Properties xmlns="http://schemas.openxmlformats.org/officeDocument/2006/custom-properties" xmlns:vt="http://schemas.openxmlformats.org/officeDocument/2006/docPropsVTypes"/>
</file>