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6A0B3" w14:textId="77777777" w:rsidR="0034566F" w:rsidRDefault="0034566F">
      <w:pPr>
        <w:spacing w:after="2400"/>
      </w:pPr>
    </w:p>
    <w:p w14:paraId="636FACCC" w14:textId="77777777" w:rsidR="0034566F" w:rsidRDefault="00C15805">
      <w:pPr>
        <w:spacing w:after="120"/>
      </w:pPr>
      <w:r>
        <w:rPr>
          <w:rFonts w:ascii="Arial" w:eastAsia="Arial" w:hAnsi="Arial" w:cs="Arial"/>
          <w:b/>
          <w:bCs/>
          <w:caps/>
          <w:color w:val="4A90C4"/>
          <w:sz w:val="20"/>
          <w:szCs w:val="20"/>
        </w:rPr>
        <w:t>TECHNOLOGY STRATEGY WHITE PAPER</w:t>
      </w:r>
    </w:p>
    <w:p w14:paraId="4E44E9AC" w14:textId="77777777" w:rsidR="0034566F" w:rsidRDefault="00C15805">
      <w:pPr>
        <w:pBdr>
          <w:bottom w:val="single" w:sz="8" w:space="8" w:color="2E6DA4"/>
        </w:pBdr>
        <w:spacing w:after="280"/>
      </w:pPr>
      <w:r>
        <w:rPr>
          <w:rFonts w:ascii="Arial" w:eastAsia="Arial" w:hAnsi="Arial" w:cs="Arial"/>
          <w:b/>
          <w:bCs/>
          <w:color w:val="1B3A6B"/>
          <w:sz w:val="60"/>
          <w:szCs w:val="60"/>
        </w:rPr>
        <w:t>Cloud AI vs. Edge AI:</w:t>
      </w:r>
    </w:p>
    <w:p w14:paraId="44C543FA" w14:textId="77777777" w:rsidR="0034566F" w:rsidRDefault="0034566F">
      <w:pPr>
        <w:spacing w:after="40"/>
      </w:pPr>
    </w:p>
    <w:p w14:paraId="5ECD9527" w14:textId="77777777" w:rsidR="0034566F" w:rsidRDefault="00C15805">
      <w:pPr>
        <w:spacing w:after="600"/>
      </w:pPr>
      <w:r>
        <w:rPr>
          <w:rFonts w:ascii="Arial" w:eastAsia="Arial" w:hAnsi="Arial" w:cs="Arial"/>
          <w:color w:val="2E6DA4"/>
          <w:sz w:val="44"/>
          <w:szCs w:val="44"/>
        </w:rPr>
        <w:t>A Strategic Comparison for the Enterprise</w:t>
      </w:r>
    </w:p>
    <w:p w14:paraId="0FDFD003" w14:textId="77777777" w:rsidR="0034566F" w:rsidRDefault="00C15805">
      <w:pPr>
        <w:spacing w:after="80"/>
      </w:pPr>
      <w:r>
        <w:rPr>
          <w:rFonts w:ascii="Arial" w:eastAsia="Arial" w:hAnsi="Arial" w:cs="Arial"/>
          <w:color w:val="555555"/>
          <w:sz w:val="22"/>
          <w:szCs w:val="22"/>
        </w:rPr>
        <w:t>Prepared by the AI Strategy Practice</w:t>
      </w:r>
    </w:p>
    <w:p w14:paraId="183BCA93" w14:textId="77777777" w:rsidR="0034566F" w:rsidRDefault="00C15805">
      <w:pPr>
        <w:spacing w:after="80"/>
      </w:pPr>
      <w:r>
        <w:rPr>
          <w:rFonts w:ascii="Arial" w:eastAsia="Arial" w:hAnsi="Arial" w:cs="Arial"/>
          <w:color w:val="555555"/>
          <w:sz w:val="22"/>
          <w:szCs w:val="22"/>
        </w:rPr>
        <w:t>Senior Technology Analyst</w:t>
      </w:r>
    </w:p>
    <w:p w14:paraId="48D727D1" w14:textId="77777777" w:rsidR="0034566F" w:rsidRDefault="00C15805">
      <w:pPr>
        <w:spacing w:after="80"/>
      </w:pPr>
      <w:r>
        <w:rPr>
          <w:rFonts w:ascii="Arial" w:eastAsia="Arial" w:hAnsi="Arial" w:cs="Arial"/>
          <w:color w:val="555555"/>
          <w:sz w:val="22"/>
          <w:szCs w:val="22"/>
        </w:rPr>
        <w:t>March 2026</w:t>
      </w:r>
    </w:p>
    <w:p w14:paraId="011F6288" w14:textId="77777777" w:rsidR="0034566F" w:rsidRDefault="0034566F">
      <w:pPr>
        <w:spacing w:after="200"/>
      </w:pPr>
    </w:p>
    <w:p w14:paraId="2C13BA93" w14:textId="77777777" w:rsidR="0034566F" w:rsidRDefault="00C15805">
      <w:pPr>
        <w:shd w:val="clear" w:color="auto" w:fill="D9E4F0"/>
      </w:pPr>
      <w:r>
        <w:rPr>
          <w:rFonts w:ascii="Arial" w:eastAsia="Arial" w:hAnsi="Arial" w:cs="Arial"/>
          <w:b/>
          <w:bCs/>
          <w:caps/>
          <w:color w:val="1B3A6B"/>
          <w:sz w:val="18"/>
          <w:szCs w:val="18"/>
        </w:rPr>
        <w:t>CONFIDENTIAL — FOR EXECUTIVE DISTRIBUTION ONLY</w:t>
      </w:r>
    </w:p>
    <w:p w14:paraId="0BE9519A" w14:textId="77777777" w:rsidR="0034566F" w:rsidRDefault="00C15805">
      <w:pPr>
        <w:pageBreakBefore/>
      </w:pPr>
      <w:r>
        <w:lastRenderedPageBreak/>
        <w:br/>
      </w:r>
    </w:p>
    <w:p w14:paraId="10EC48C4" w14:textId="77777777" w:rsidR="0034566F" w:rsidRDefault="0034566F">
      <w:pPr>
        <w:sectPr w:rsidR="0034566F">
          <w:pgSz w:w="12240" w:h="15840"/>
          <w:pgMar w:top="1440" w:right="1440" w:bottom="1440" w:left="1440" w:header="708" w:footer="708" w:gutter="0"/>
          <w:cols w:space="720"/>
          <w:docGrid w:linePitch="360"/>
        </w:sectPr>
      </w:pPr>
    </w:p>
    <w:p w14:paraId="53B051CB" w14:textId="77777777" w:rsidR="0034566F" w:rsidRDefault="00C15805">
      <w:pPr>
        <w:pBdr>
          <w:bottom w:val="single" w:sz="6" w:space="4" w:color="2E6DA4"/>
        </w:pBdr>
        <w:spacing w:before="400" w:after="160"/>
      </w:pPr>
      <w:r>
        <w:rPr>
          <w:rFonts w:ascii="Arial" w:eastAsia="Arial" w:hAnsi="Arial" w:cs="Arial"/>
          <w:b/>
          <w:bCs/>
          <w:color w:val="1B3A6B"/>
          <w:sz w:val="30"/>
          <w:szCs w:val="30"/>
        </w:rPr>
        <w:lastRenderedPageBreak/>
        <w:t>Executive Summary</w:t>
      </w:r>
    </w:p>
    <w:p w14:paraId="2E3EBEFD" w14:textId="77777777" w:rsidR="0034566F" w:rsidRDefault="0034566F">
      <w:pPr>
        <w:spacing w:after="80"/>
      </w:pPr>
    </w:p>
    <w:p w14:paraId="3831B0CD" w14:textId="1D7C7F67" w:rsidR="0034566F" w:rsidRDefault="00C15805">
      <w:pPr>
        <w:spacing w:after="180" w:line="320" w:lineRule="auto"/>
        <w:jc w:val="both"/>
      </w:pPr>
      <w:r>
        <w:rPr>
          <w:color w:val="222222"/>
        </w:rPr>
        <w:t xml:space="preserve">The dominant model for deploying artificial intelligence — routing queries and sensor data to large, </w:t>
      </w:r>
      <w:r w:rsidR="001F652C">
        <w:rPr>
          <w:color w:val="222222"/>
        </w:rPr>
        <w:t>centralized</w:t>
      </w:r>
      <w:r>
        <w:rPr>
          <w:color w:val="222222"/>
        </w:rPr>
        <w:t xml:space="preserve"> cloud data </w:t>
      </w:r>
      <w:r w:rsidR="001F652C">
        <w:rPr>
          <w:color w:val="222222"/>
        </w:rPr>
        <w:t>centers</w:t>
      </w:r>
      <w:r>
        <w:rPr>
          <w:color w:val="222222"/>
        </w:rPr>
        <w:t xml:space="preserve"> — is under mounting structural pressure. Latency ceilings, bandwidth constraints, data-sovereignty regulation, and the sheer proliferation of connected devices are collectively exposing limitations that no incremental improvement in cloud infrastructure can fully resolve. A materially different architectural approach, known as edge AI — the execution of machine-learning inference directly on, or in close proximity to, the devices that generate data — is emerging as the solution of strategic consequence. This white paper offers a rigorous, evidence-grounded comparison of both paradigms, examines the deployment contexts in which each excels, and draws actionable conclusions for executive leadership navigating AI investment decisions in 2026 and beyond.</w:t>
      </w:r>
    </w:p>
    <w:p w14:paraId="6558677C" w14:textId="77777777" w:rsidR="0034566F" w:rsidRDefault="00C15805">
      <w:pPr>
        <w:spacing w:after="180" w:line="320" w:lineRule="auto"/>
        <w:jc w:val="both"/>
      </w:pPr>
      <w:r>
        <w:rPr>
          <w:color w:val="222222"/>
        </w:rPr>
        <w:t>The argument advanced here is not that cloud AI is obsolete. It remains the right architecture for training large models, running complex batch analytics, and powering applications that are tolerant of several hundred milliseconds of round-trip delay. The argument is more precise: for an expanding and strategically critical class of applications — autonomous industrial systems, real-time cybersecurity threat response, connected-vehicle decision-making, private healthcare diagnostics — cloud AI is structurally incapable of meeting operational requirements, and edge AI is not merely preferable but necessary. Understanding the boundary between the two, and designing infrastructure accordingly, is now a core executive competency.</w:t>
      </w:r>
    </w:p>
    <w:p w14:paraId="0B86F709" w14:textId="77777777" w:rsidR="0034566F" w:rsidRDefault="0034566F">
      <w:pPr>
        <w:spacing w:after="80"/>
      </w:pPr>
    </w:p>
    <w:p w14:paraId="53BFD8D4" w14:textId="77777777" w:rsidR="0034566F" w:rsidRDefault="00C15805">
      <w:pPr>
        <w:pBdr>
          <w:bottom w:val="single" w:sz="6" w:space="4" w:color="2E6DA4"/>
        </w:pBdr>
        <w:spacing w:before="400" w:after="160"/>
      </w:pPr>
      <w:r>
        <w:rPr>
          <w:rFonts w:ascii="Arial" w:eastAsia="Arial" w:hAnsi="Arial" w:cs="Arial"/>
          <w:b/>
          <w:bCs/>
          <w:color w:val="1B3A6B"/>
          <w:sz w:val="30"/>
          <w:szCs w:val="30"/>
        </w:rPr>
        <w:t>1. The AI Deployment Problem: Scale, Speed, and the Limits of Distance</w:t>
      </w:r>
    </w:p>
    <w:p w14:paraId="01EE1E94" w14:textId="77777777" w:rsidR="0034566F" w:rsidRDefault="0034566F">
      <w:pPr>
        <w:spacing w:after="80"/>
      </w:pPr>
    </w:p>
    <w:p w14:paraId="2717B3E9" w14:textId="77777777" w:rsidR="0034566F" w:rsidRDefault="00C15805">
      <w:pPr>
        <w:spacing w:after="180" w:line="320" w:lineRule="auto"/>
        <w:jc w:val="both"/>
      </w:pPr>
      <w:r>
        <w:rPr>
          <w:color w:val="222222"/>
        </w:rPr>
        <w:t xml:space="preserve">Artificial intelligence, in the context of this paper, refers to the deployment of statistical models — predominantly deep neural networks — that ingest data, perform complex pattern recognition, and return a decision, prediction, or classification. Cloud AI refers specifically to architectures in which this model execution, commonly called inference, occurs on remote servers operated by hyperscale providers such as Amazon Web Services, </w:t>
      </w:r>
      <w:r>
        <w:rPr>
          <w:color w:val="222222"/>
        </w:rPr>
        <w:lastRenderedPageBreak/>
        <w:t xml:space="preserve">Microsoft Azure, or Google Cloud, or within an enterprise's own </w:t>
      </w:r>
      <w:proofErr w:type="spellStart"/>
      <w:r>
        <w:rPr>
          <w:color w:val="222222"/>
        </w:rPr>
        <w:t>centralised</w:t>
      </w:r>
      <w:proofErr w:type="spellEnd"/>
      <w:r>
        <w:rPr>
          <w:color w:val="222222"/>
        </w:rPr>
        <w:t xml:space="preserve"> data </w:t>
      </w:r>
      <w:proofErr w:type="spellStart"/>
      <w:r>
        <w:rPr>
          <w:color w:val="222222"/>
        </w:rPr>
        <w:t>centre</w:t>
      </w:r>
      <w:proofErr w:type="spellEnd"/>
      <w:r>
        <w:rPr>
          <w:color w:val="222222"/>
        </w:rPr>
        <w:t>. Data generated at source — by a camera, a sensor, a mobile device, or an industrial machine — is transmitted over a network to that remote environment, processed, and a response is returned. The round-trip communication, measured in milliseconds but sometimes extending to several hundred, is the defining characteristic of the model.</w:t>
      </w:r>
    </w:p>
    <w:p w14:paraId="535DC890" w14:textId="77777777" w:rsidR="0034566F" w:rsidRDefault="00C15805">
      <w:pPr>
        <w:spacing w:after="180" w:line="320" w:lineRule="auto"/>
        <w:jc w:val="both"/>
      </w:pPr>
      <w:r>
        <w:rPr>
          <w:color w:val="222222"/>
        </w:rPr>
        <w:t xml:space="preserve">For the first decade of commercial AI deployment, this architecture was adequate. The applications most </w:t>
      </w:r>
      <w:proofErr w:type="spellStart"/>
      <w:r>
        <w:rPr>
          <w:color w:val="222222"/>
        </w:rPr>
        <w:t>organisations</w:t>
      </w:r>
      <w:proofErr w:type="spellEnd"/>
      <w:r>
        <w:rPr>
          <w:color w:val="222222"/>
        </w:rPr>
        <w:t xml:space="preserve"> cared about — recommendation engines, fraud detection on batch transaction logs, natural-language processing for customer service queues — operated on timescales where a few hundred milliseconds of latency was imperceptible or operationally irrelevant. Cloud AI flourished because it concentrated scarce GPU compute in shared facilities that any </w:t>
      </w:r>
      <w:proofErr w:type="spellStart"/>
      <w:r>
        <w:rPr>
          <w:color w:val="222222"/>
        </w:rPr>
        <w:t>organisation</w:t>
      </w:r>
      <w:proofErr w:type="spellEnd"/>
      <w:r>
        <w:rPr>
          <w:color w:val="222222"/>
        </w:rPr>
        <w:t xml:space="preserve"> could access on demand, enabled rapid model iteration, and allowed data scientists to work on unified datasets without the logistical complexity of distributed infrastructure.</w:t>
      </w:r>
    </w:p>
    <w:p w14:paraId="4FE421C4" w14:textId="77777777" w:rsidR="0034566F" w:rsidRDefault="00C15805">
      <w:pPr>
        <w:spacing w:after="180" w:line="320" w:lineRule="auto"/>
        <w:jc w:val="both"/>
      </w:pPr>
      <w:r>
        <w:rPr>
          <w:color w:val="222222"/>
        </w:rPr>
        <w:t xml:space="preserve">The landscape has changed. By 2025, the International Data Corporation estimated that more than 75 billion connected devices were generating data at the network's edge. Industrial sensors, autonomous vehicles, surgical robotics, drone swarms, and consumer wearables are collectively producing volumes that test the practical limits of </w:t>
      </w:r>
      <w:proofErr w:type="spellStart"/>
      <w:r>
        <w:rPr>
          <w:color w:val="222222"/>
        </w:rPr>
        <w:t>centralised</w:t>
      </w:r>
      <w:proofErr w:type="spellEnd"/>
      <w:r>
        <w:rPr>
          <w:color w:val="222222"/>
        </w:rPr>
        <w:t xml:space="preserve"> ingestion. More critically, an increasing proportion of the decisions that AI must support are time-sensitive in ways that make cloud round-trips physically untenable. A collision-avoidance system in an autonomous vehicle cannot tolerate 200 milliseconds of network delay; at motorway speeds, that latency corresponds to approximately five </w:t>
      </w:r>
      <w:proofErr w:type="spellStart"/>
      <w:r>
        <w:rPr>
          <w:color w:val="222222"/>
        </w:rPr>
        <w:t>metres</w:t>
      </w:r>
      <w:proofErr w:type="spellEnd"/>
      <w:r>
        <w:rPr>
          <w:color w:val="222222"/>
        </w:rPr>
        <w:t xml:space="preserve"> of uncontrolled travel. A cybersecurity system detecting a ransomware encryption event must act in under a second to contain lateral spread. A surgical-assistance platform tracking tool position at sub-</w:t>
      </w:r>
      <w:proofErr w:type="spellStart"/>
      <w:r>
        <w:rPr>
          <w:color w:val="222222"/>
        </w:rPr>
        <w:t>millimetre</w:t>
      </w:r>
      <w:proofErr w:type="spellEnd"/>
      <w:r>
        <w:rPr>
          <w:color w:val="222222"/>
        </w:rPr>
        <w:t xml:space="preserve"> precision cannot afford the jitter introduced by wide-area network variability.</w:t>
      </w:r>
    </w:p>
    <w:p w14:paraId="7DF033CA" w14:textId="77777777" w:rsidR="0034566F" w:rsidRDefault="00C15805">
      <w:pPr>
        <w:pBdr>
          <w:left w:val="single" w:sz="18" w:space="12" w:color="4A90C4"/>
        </w:pBdr>
        <w:shd w:val="clear" w:color="auto" w:fill="D9E4F0"/>
        <w:spacing w:before="280" w:after="280"/>
        <w:ind w:left="720" w:right="720"/>
      </w:pPr>
      <w:r>
        <w:rPr>
          <w:i/>
          <w:iCs/>
          <w:color w:val="1B3A6B"/>
        </w:rPr>
        <w:t xml:space="preserve">"The latency of light through </w:t>
      </w:r>
      <w:proofErr w:type="spellStart"/>
      <w:r>
        <w:rPr>
          <w:i/>
          <w:iCs/>
          <w:color w:val="1B3A6B"/>
        </w:rPr>
        <w:t>fibre</w:t>
      </w:r>
      <w:proofErr w:type="spellEnd"/>
      <w:r>
        <w:rPr>
          <w:i/>
          <w:iCs/>
          <w:color w:val="1B3A6B"/>
        </w:rPr>
        <w:t xml:space="preserve"> is not an engineering problem to be </w:t>
      </w:r>
      <w:proofErr w:type="spellStart"/>
      <w:r>
        <w:rPr>
          <w:i/>
          <w:iCs/>
          <w:color w:val="1B3A6B"/>
        </w:rPr>
        <w:t>optimised</w:t>
      </w:r>
      <w:proofErr w:type="spellEnd"/>
      <w:r>
        <w:rPr>
          <w:i/>
          <w:iCs/>
          <w:color w:val="1B3A6B"/>
        </w:rPr>
        <w:t xml:space="preserve"> away. It is a physical constant that defines the fundamental ceiling of </w:t>
      </w:r>
      <w:proofErr w:type="spellStart"/>
      <w:r>
        <w:rPr>
          <w:i/>
          <w:iCs/>
          <w:color w:val="1B3A6B"/>
        </w:rPr>
        <w:t>centralised</w:t>
      </w:r>
      <w:proofErr w:type="spellEnd"/>
      <w:r>
        <w:rPr>
          <w:i/>
          <w:iCs/>
          <w:color w:val="1B3A6B"/>
        </w:rPr>
        <w:t xml:space="preserve"> AI inference for time-critical applications."</w:t>
      </w:r>
    </w:p>
    <w:p w14:paraId="02FFD98D" w14:textId="77777777" w:rsidR="0034566F" w:rsidRDefault="00C15805">
      <w:pPr>
        <w:spacing w:after="180" w:line="320" w:lineRule="auto"/>
        <w:jc w:val="both"/>
      </w:pPr>
      <w:r>
        <w:rPr>
          <w:color w:val="222222"/>
        </w:rPr>
        <w:t xml:space="preserve">Beyond latency, three additional structural pressures compound the problem. First, bandwidth economics: streaming raw video from thousands of cameras, or raw telemetry from large sensor arrays, to a central processing facility is prohibitively expensive and, in many industrial environments, practically infeasible over available WAN connections. Second, regulatory and data-sovereignty obligations: the General Data Protection Regulation in Europe, sector-specific frameworks in healthcare and finance, and </w:t>
      </w:r>
      <w:r>
        <w:rPr>
          <w:color w:val="222222"/>
        </w:rPr>
        <w:lastRenderedPageBreak/>
        <w:t>emerging national AI governance legislation in dozens of jurisdictions are placing increasingly binding constraints on the transmission of sensitive data to third-party cloud environments. Third, availability: cloud AI architectures inherit the single-point-of-failure characteristics of wide-area network dependencies. A connectivity interruption does not merely slow the system; it disables it entirely. For critical infrastructure, this is not a tolerable risk profile.</w:t>
      </w:r>
    </w:p>
    <w:p w14:paraId="2C49B1CB" w14:textId="77777777" w:rsidR="0034566F" w:rsidRDefault="00C15805">
      <w:pPr>
        <w:spacing w:after="180" w:line="320" w:lineRule="auto"/>
        <w:jc w:val="both"/>
      </w:pPr>
      <w:r>
        <w:rPr>
          <w:color w:val="222222"/>
        </w:rPr>
        <w:t>The combination of these pressures — latency physics, bandwidth cost, regulatory exposure, and availability risk — defines the core operational problem. Cloud AI, as currently architected, cannot satisfy all four constraints simultaneously for the class of applications that are becoming strategically central to enterprise and government operations. Something structurally different is required.</w:t>
      </w:r>
    </w:p>
    <w:p w14:paraId="22367BBD" w14:textId="77777777" w:rsidR="0034566F" w:rsidRDefault="0034566F">
      <w:pPr>
        <w:spacing w:after="80"/>
      </w:pPr>
    </w:p>
    <w:p w14:paraId="1F35B49D" w14:textId="77777777" w:rsidR="0034566F" w:rsidRDefault="00C15805">
      <w:pPr>
        <w:pBdr>
          <w:bottom w:val="single" w:sz="6" w:space="4" w:color="2E6DA4"/>
        </w:pBdr>
        <w:spacing w:before="400" w:after="160"/>
      </w:pPr>
      <w:r>
        <w:rPr>
          <w:rFonts w:ascii="Arial" w:eastAsia="Arial" w:hAnsi="Arial" w:cs="Arial"/>
          <w:b/>
          <w:bCs/>
          <w:color w:val="1B3A6B"/>
          <w:sz w:val="30"/>
          <w:szCs w:val="30"/>
        </w:rPr>
        <w:t xml:space="preserve">2. Why Traditional </w:t>
      </w:r>
      <w:proofErr w:type="spellStart"/>
      <w:r>
        <w:rPr>
          <w:rFonts w:ascii="Arial" w:eastAsia="Arial" w:hAnsi="Arial" w:cs="Arial"/>
          <w:b/>
          <w:bCs/>
          <w:color w:val="1B3A6B"/>
          <w:sz w:val="30"/>
          <w:szCs w:val="30"/>
        </w:rPr>
        <w:t>Centralised</w:t>
      </w:r>
      <w:proofErr w:type="spellEnd"/>
      <w:r>
        <w:rPr>
          <w:rFonts w:ascii="Arial" w:eastAsia="Arial" w:hAnsi="Arial" w:cs="Arial"/>
          <w:b/>
          <w:bCs/>
          <w:color w:val="1B3A6B"/>
          <w:sz w:val="30"/>
          <w:szCs w:val="30"/>
        </w:rPr>
        <w:t xml:space="preserve"> Machine Learning Falls Short</w:t>
      </w:r>
    </w:p>
    <w:p w14:paraId="6A5EB24A" w14:textId="77777777" w:rsidR="0034566F" w:rsidRDefault="0034566F">
      <w:pPr>
        <w:spacing w:after="80"/>
      </w:pPr>
    </w:p>
    <w:p w14:paraId="4DEAB71E" w14:textId="77777777" w:rsidR="0034566F" w:rsidRDefault="00C15805">
      <w:pPr>
        <w:spacing w:after="180" w:line="320" w:lineRule="auto"/>
        <w:jc w:val="both"/>
      </w:pPr>
      <w:r>
        <w:rPr>
          <w:color w:val="222222"/>
        </w:rPr>
        <w:t xml:space="preserve">To understand what is structurally missing in cloud AI, it is worth examining the architecture in more precise terms. A conventional cloud AI deployment involves three distinct phases: data collection at the edge (sensors, cameras, user devices), transmission over a network to a </w:t>
      </w:r>
      <w:proofErr w:type="spellStart"/>
      <w:r>
        <w:rPr>
          <w:color w:val="222222"/>
        </w:rPr>
        <w:t>centralised</w:t>
      </w:r>
      <w:proofErr w:type="spellEnd"/>
      <w:r>
        <w:rPr>
          <w:color w:val="222222"/>
        </w:rPr>
        <w:t xml:space="preserve"> facility, and inference execution on shared GPU or TPU hardware, followed by the return of a result. Model training — the computationally intensive process of adjusting a neural network's parameters using large labelled datasets — almost always occurs in the cloud and is not in dispute here. The contention concerns inference, the act of applying an already-trained model to new data to produce a real-time output.</w:t>
      </w:r>
    </w:p>
    <w:p w14:paraId="407FEBDD" w14:textId="77777777" w:rsidR="0034566F" w:rsidRDefault="00C15805">
      <w:pPr>
        <w:spacing w:after="180" w:line="320" w:lineRule="auto"/>
        <w:jc w:val="both"/>
      </w:pPr>
      <w:r>
        <w:rPr>
          <w:color w:val="222222"/>
        </w:rPr>
        <w:t xml:space="preserve">The first structural deficiency of </w:t>
      </w:r>
      <w:proofErr w:type="spellStart"/>
      <w:r>
        <w:rPr>
          <w:color w:val="222222"/>
        </w:rPr>
        <w:t>centralised</w:t>
      </w:r>
      <w:proofErr w:type="spellEnd"/>
      <w:r>
        <w:rPr>
          <w:color w:val="222222"/>
        </w:rPr>
        <w:t xml:space="preserve"> inference is deterministic latency. Network transit times are non-deterministic: they vary with congestion, routing decisions, hardware failures, and physical distance. A system that performs adequately at average latency may fail catastrophically at the 99th or 99.9th percentile. For safety-critical systems, engineering to average-case performance is insufficient. The only way to achieve deterministic low latency is to eliminate the network transit entirely — that is, to perform inference where the data originates.</w:t>
      </w:r>
    </w:p>
    <w:p w14:paraId="068861B1" w14:textId="77777777" w:rsidR="0034566F" w:rsidRDefault="00C15805">
      <w:pPr>
        <w:spacing w:after="180" w:line="320" w:lineRule="auto"/>
        <w:jc w:val="both"/>
      </w:pPr>
      <w:r>
        <w:rPr>
          <w:color w:val="222222"/>
        </w:rPr>
        <w:t xml:space="preserve">The second deficiency is the architecture's implicit assumption of continuous connectivity. Cloud AI systems are designed for always-on network access. In practice, </w:t>
      </w:r>
      <w:r>
        <w:rPr>
          <w:color w:val="222222"/>
        </w:rPr>
        <w:lastRenderedPageBreak/>
        <w:t>many of the highest-value deployment environments — offshore energy platforms, underground mining operations, military field installations, aircraft, remote agricultural machinery — experience frequent or prolonged disconnection. A cloud-dependent AI system in these contexts is not resilient; it is periodically inoperable. This is not a niche concern: approximately 40 percent of the world's land surface lacks reliable mobile broadband coverage, and a meaningful fraction of high-value industrial activity occurs in precisely those locations.</w:t>
      </w:r>
    </w:p>
    <w:p w14:paraId="39188610" w14:textId="77777777" w:rsidR="0034566F" w:rsidRDefault="00C15805">
      <w:pPr>
        <w:spacing w:after="180" w:line="320" w:lineRule="auto"/>
        <w:jc w:val="both"/>
      </w:pPr>
      <w:r>
        <w:rPr>
          <w:color w:val="222222"/>
        </w:rPr>
        <w:t xml:space="preserve">The third deficiency is data gravity and the cost of movement. As datasets grow larger — high-definition video streams, dense LiDAR point clouds, continuous physiological monitoring — the economics of </w:t>
      </w:r>
      <w:proofErr w:type="spellStart"/>
      <w:r>
        <w:rPr>
          <w:color w:val="222222"/>
        </w:rPr>
        <w:t>centralised</w:t>
      </w:r>
      <w:proofErr w:type="spellEnd"/>
      <w:r>
        <w:rPr>
          <w:color w:val="222222"/>
        </w:rPr>
        <w:t xml:space="preserve"> processing invert. Transmitting a terabyte of raw sensor data to the cloud to extract a kilobyte of actionable insight is neither efficient nor, in bandwidth-constrained environments, feasible. The computation must follow the data, not the other way around. Cloud architects have long understood this principle in the context of storage, but it applies with equal force to inference.</w:t>
      </w:r>
    </w:p>
    <w:p w14:paraId="7CDBE794" w14:textId="77777777" w:rsidR="0034566F" w:rsidRDefault="00C15805">
      <w:pPr>
        <w:spacing w:after="180" w:line="320" w:lineRule="auto"/>
        <w:jc w:val="both"/>
      </w:pPr>
      <w:r>
        <w:rPr>
          <w:color w:val="222222"/>
        </w:rPr>
        <w:t xml:space="preserve">The fourth deficiency is perhaps the most consequential for the current regulatory environment: cloud AI concentrates data exposure. Every byte of sensitive data transmitted to a cloud provider is, from a legal standpoint, a data transfer that triggers compliance obligations, contractual requirements, and potential liability. As privacy legislation tightens and AI-specific governance frameworks mature — the EU AI Act entered full application in 2025, and equivalent frameworks are advancing in the United Kingdom, India, Brazil, and across Southeast Asia — the legal cost of cloud-centricity is rising. </w:t>
      </w:r>
      <w:proofErr w:type="spellStart"/>
      <w:r>
        <w:rPr>
          <w:color w:val="222222"/>
        </w:rPr>
        <w:t>Organisations</w:t>
      </w:r>
      <w:proofErr w:type="spellEnd"/>
      <w:r>
        <w:rPr>
          <w:color w:val="222222"/>
        </w:rPr>
        <w:t xml:space="preserve"> that have built AI architectures predicated on free data flow to </w:t>
      </w:r>
      <w:proofErr w:type="spellStart"/>
      <w:r>
        <w:rPr>
          <w:color w:val="222222"/>
        </w:rPr>
        <w:t>centralised</w:t>
      </w:r>
      <w:proofErr w:type="spellEnd"/>
      <w:r>
        <w:rPr>
          <w:color w:val="222222"/>
        </w:rPr>
        <w:t xml:space="preserve"> facilities face an escalating compliance burden that will not diminish.</w:t>
      </w:r>
    </w:p>
    <w:p w14:paraId="1B501BD1" w14:textId="77777777" w:rsidR="0034566F" w:rsidRDefault="0034566F">
      <w:pPr>
        <w:spacing w:after="80"/>
      </w:pPr>
    </w:p>
    <w:p w14:paraId="6B47EEEC" w14:textId="77777777" w:rsidR="0034566F" w:rsidRDefault="00C15805">
      <w:pPr>
        <w:spacing w:before="240" w:after="120"/>
      </w:pPr>
      <w:r>
        <w:rPr>
          <w:rFonts w:ascii="Arial" w:eastAsia="Arial" w:hAnsi="Arial" w:cs="Arial"/>
          <w:b/>
          <w:bCs/>
          <w:i/>
          <w:iCs/>
          <w:color w:val="555555"/>
          <w:sz w:val="20"/>
          <w:szCs w:val="20"/>
        </w:rPr>
        <w:t>Figure 1: Comparative Architecture Summary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8"/>
        <w:gridCol w:w="3119"/>
        <w:gridCol w:w="3113"/>
      </w:tblGrid>
      <w:tr w:rsidR="0034566F" w14:paraId="2F37F86A"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60" w:type="dxa"/>
              <w:bottom w:w="100" w:type="dxa"/>
              <w:right w:w="160" w:type="dxa"/>
            </w:tcMar>
          </w:tcPr>
          <w:p w14:paraId="41A5D74F" w14:textId="77777777" w:rsidR="0034566F" w:rsidRDefault="00C15805">
            <w:r>
              <w:rPr>
                <w:rFonts w:ascii="Arial" w:eastAsia="Arial" w:hAnsi="Arial" w:cs="Arial"/>
                <w:b/>
                <w:bCs/>
                <w:color w:val="FFFFFF"/>
                <w:sz w:val="20"/>
                <w:szCs w:val="20"/>
              </w:rPr>
              <w:t>Dimension</w:t>
            </w:r>
          </w:p>
        </w:tc>
        <w:tc>
          <w:tcPr>
            <w:tcW w:w="3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60" w:type="dxa"/>
              <w:bottom w:w="100" w:type="dxa"/>
              <w:right w:w="160" w:type="dxa"/>
            </w:tcMar>
          </w:tcPr>
          <w:p w14:paraId="1241CA0B" w14:textId="77777777" w:rsidR="0034566F" w:rsidRDefault="00C15805">
            <w:r>
              <w:rPr>
                <w:rFonts w:ascii="Arial" w:eastAsia="Arial" w:hAnsi="Arial" w:cs="Arial"/>
                <w:b/>
                <w:bCs/>
                <w:color w:val="FFFFFF"/>
                <w:sz w:val="20"/>
                <w:szCs w:val="20"/>
              </w:rPr>
              <w:t>Cloud AI</w:t>
            </w:r>
          </w:p>
        </w:tc>
        <w:tc>
          <w:tcPr>
            <w:tcW w:w="3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60" w:type="dxa"/>
              <w:bottom w:w="100" w:type="dxa"/>
              <w:right w:w="160" w:type="dxa"/>
            </w:tcMar>
          </w:tcPr>
          <w:p w14:paraId="00F0C165" w14:textId="77777777" w:rsidR="0034566F" w:rsidRDefault="00C15805">
            <w:r>
              <w:rPr>
                <w:rFonts w:ascii="Arial" w:eastAsia="Arial" w:hAnsi="Arial" w:cs="Arial"/>
                <w:b/>
                <w:bCs/>
                <w:color w:val="FFFFFF"/>
                <w:sz w:val="20"/>
                <w:szCs w:val="20"/>
              </w:rPr>
              <w:t>Edge AI</w:t>
            </w:r>
          </w:p>
        </w:tc>
      </w:tr>
      <w:tr w:rsidR="0034566F" w14:paraId="21EB83D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1141C13F" w14:textId="77777777" w:rsidR="0034566F" w:rsidRDefault="00C15805">
            <w:r>
              <w:rPr>
                <w:rFonts w:ascii="Arial" w:eastAsia="Arial" w:hAnsi="Arial" w:cs="Arial"/>
                <w:color w:val="333333"/>
                <w:sz w:val="20"/>
                <w:szCs w:val="20"/>
              </w:rPr>
              <w:t>Latency</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229F387C" w14:textId="77777777" w:rsidR="0034566F" w:rsidRDefault="00C15805">
            <w:r>
              <w:rPr>
                <w:rFonts w:ascii="Arial" w:eastAsia="Arial" w:hAnsi="Arial" w:cs="Arial"/>
                <w:color w:val="333333"/>
                <w:sz w:val="20"/>
                <w:szCs w:val="20"/>
              </w:rPr>
              <w:t xml:space="preserve">50 – 400 </w:t>
            </w:r>
            <w:proofErr w:type="spellStart"/>
            <w:r>
              <w:rPr>
                <w:rFonts w:ascii="Arial" w:eastAsia="Arial" w:hAnsi="Arial" w:cs="Arial"/>
                <w:color w:val="333333"/>
                <w:sz w:val="20"/>
                <w:szCs w:val="20"/>
              </w:rPr>
              <w:t>ms</w:t>
            </w:r>
            <w:proofErr w:type="spellEnd"/>
            <w:r>
              <w:rPr>
                <w:rFonts w:ascii="Arial" w:eastAsia="Arial" w:hAnsi="Arial" w:cs="Arial"/>
                <w:color w:val="333333"/>
                <w:sz w:val="20"/>
                <w:szCs w:val="20"/>
              </w:rPr>
              <w:t xml:space="preserve"> (round-trip)</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5146BDC8" w14:textId="77777777" w:rsidR="0034566F" w:rsidRDefault="00C15805">
            <w:r>
              <w:rPr>
                <w:rFonts w:ascii="Arial" w:eastAsia="Arial" w:hAnsi="Arial" w:cs="Arial"/>
                <w:color w:val="333333"/>
                <w:sz w:val="20"/>
                <w:szCs w:val="20"/>
              </w:rPr>
              <w:t xml:space="preserve">1 – 20 </w:t>
            </w:r>
            <w:proofErr w:type="spellStart"/>
            <w:r>
              <w:rPr>
                <w:rFonts w:ascii="Arial" w:eastAsia="Arial" w:hAnsi="Arial" w:cs="Arial"/>
                <w:color w:val="333333"/>
                <w:sz w:val="20"/>
                <w:szCs w:val="20"/>
              </w:rPr>
              <w:t>ms</w:t>
            </w:r>
            <w:proofErr w:type="spellEnd"/>
            <w:r>
              <w:rPr>
                <w:rFonts w:ascii="Arial" w:eastAsia="Arial" w:hAnsi="Arial" w:cs="Arial"/>
                <w:color w:val="333333"/>
                <w:sz w:val="20"/>
                <w:szCs w:val="20"/>
              </w:rPr>
              <w:t xml:space="preserve"> (on-device)</w:t>
            </w:r>
          </w:p>
        </w:tc>
      </w:tr>
      <w:tr w:rsidR="0034566F" w14:paraId="4C583020"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632E0A6D" w14:textId="77777777" w:rsidR="0034566F" w:rsidRDefault="00C15805">
            <w:r>
              <w:rPr>
                <w:rFonts w:ascii="Arial" w:eastAsia="Arial" w:hAnsi="Arial" w:cs="Arial"/>
                <w:color w:val="333333"/>
                <w:sz w:val="20"/>
                <w:szCs w:val="20"/>
              </w:rPr>
              <w:t>Data sovereignty</w:t>
            </w:r>
          </w:p>
        </w:tc>
        <w:tc>
          <w:tcPr>
            <w:tcW w:w="308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7852D554" w14:textId="77777777" w:rsidR="0034566F" w:rsidRDefault="00C15805">
            <w:r>
              <w:rPr>
                <w:rFonts w:ascii="Arial" w:eastAsia="Arial" w:hAnsi="Arial" w:cs="Arial"/>
                <w:color w:val="333333"/>
                <w:sz w:val="20"/>
                <w:szCs w:val="20"/>
              </w:rPr>
              <w:t>Data leaves the premises</w:t>
            </w:r>
          </w:p>
        </w:tc>
        <w:tc>
          <w:tcPr>
            <w:tcW w:w="308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1CCF00A3" w14:textId="77777777" w:rsidR="0034566F" w:rsidRDefault="00C15805">
            <w:r>
              <w:rPr>
                <w:rFonts w:ascii="Arial" w:eastAsia="Arial" w:hAnsi="Arial" w:cs="Arial"/>
                <w:color w:val="333333"/>
                <w:sz w:val="20"/>
                <w:szCs w:val="20"/>
              </w:rPr>
              <w:t>Data stays local</w:t>
            </w:r>
          </w:p>
        </w:tc>
      </w:tr>
      <w:tr w:rsidR="0034566F" w14:paraId="457E642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6E3B1D54" w14:textId="77777777" w:rsidR="0034566F" w:rsidRDefault="00C15805">
            <w:r>
              <w:rPr>
                <w:rFonts w:ascii="Arial" w:eastAsia="Arial" w:hAnsi="Arial" w:cs="Arial"/>
                <w:color w:val="333333"/>
                <w:sz w:val="20"/>
                <w:szCs w:val="20"/>
              </w:rPr>
              <w:t>Bandwidth demand</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6CE11A52" w14:textId="77777777" w:rsidR="0034566F" w:rsidRDefault="00C15805">
            <w:r>
              <w:rPr>
                <w:rFonts w:ascii="Arial" w:eastAsia="Arial" w:hAnsi="Arial" w:cs="Arial"/>
                <w:color w:val="333333"/>
                <w:sz w:val="20"/>
                <w:szCs w:val="20"/>
              </w:rPr>
              <w:t>High, continuous uplink</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12BBB0E8" w14:textId="77777777" w:rsidR="0034566F" w:rsidRDefault="00C15805">
            <w:r>
              <w:rPr>
                <w:rFonts w:ascii="Arial" w:eastAsia="Arial" w:hAnsi="Arial" w:cs="Arial"/>
                <w:color w:val="333333"/>
                <w:sz w:val="20"/>
                <w:szCs w:val="20"/>
              </w:rPr>
              <w:t>Minimal; only insights shared</w:t>
            </w:r>
          </w:p>
        </w:tc>
      </w:tr>
      <w:tr w:rsidR="0034566F" w14:paraId="035DB05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1CD5555C" w14:textId="77777777" w:rsidR="0034566F" w:rsidRDefault="00C15805">
            <w:r>
              <w:rPr>
                <w:rFonts w:ascii="Arial" w:eastAsia="Arial" w:hAnsi="Arial" w:cs="Arial"/>
                <w:color w:val="333333"/>
                <w:sz w:val="20"/>
                <w:szCs w:val="20"/>
              </w:rPr>
              <w:t>Availability</w:t>
            </w:r>
          </w:p>
        </w:tc>
        <w:tc>
          <w:tcPr>
            <w:tcW w:w="308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3F386371" w14:textId="77777777" w:rsidR="0034566F" w:rsidRDefault="00C15805">
            <w:r>
              <w:rPr>
                <w:rFonts w:ascii="Arial" w:eastAsia="Arial" w:hAnsi="Arial" w:cs="Arial"/>
                <w:color w:val="333333"/>
                <w:sz w:val="20"/>
                <w:szCs w:val="20"/>
              </w:rPr>
              <w:t>Dependent on WAN connectivity</w:t>
            </w:r>
          </w:p>
        </w:tc>
        <w:tc>
          <w:tcPr>
            <w:tcW w:w="308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714BC8A7" w14:textId="77777777" w:rsidR="0034566F" w:rsidRDefault="00C15805">
            <w:r>
              <w:rPr>
                <w:rFonts w:ascii="Arial" w:eastAsia="Arial" w:hAnsi="Arial" w:cs="Arial"/>
                <w:color w:val="333333"/>
                <w:sz w:val="20"/>
                <w:szCs w:val="20"/>
              </w:rPr>
              <w:t>Operates fully offline</w:t>
            </w:r>
          </w:p>
        </w:tc>
      </w:tr>
      <w:tr w:rsidR="0034566F" w14:paraId="4C68EF5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3C43F02C" w14:textId="77777777" w:rsidR="0034566F" w:rsidRDefault="00C15805">
            <w:r>
              <w:rPr>
                <w:rFonts w:ascii="Arial" w:eastAsia="Arial" w:hAnsi="Arial" w:cs="Arial"/>
                <w:color w:val="333333"/>
                <w:sz w:val="20"/>
                <w:szCs w:val="20"/>
              </w:rPr>
              <w:t>Unit economics</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1561A2A7" w14:textId="77777777" w:rsidR="0034566F" w:rsidRDefault="00C15805">
            <w:r>
              <w:rPr>
                <w:rFonts w:ascii="Arial" w:eastAsia="Arial" w:hAnsi="Arial" w:cs="Arial"/>
                <w:color w:val="333333"/>
                <w:sz w:val="20"/>
                <w:szCs w:val="20"/>
              </w:rPr>
              <w:t>Scales centrally; per-query cost</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5DA98BE6" w14:textId="77777777" w:rsidR="0034566F" w:rsidRDefault="00C15805">
            <w:r>
              <w:rPr>
                <w:rFonts w:ascii="Arial" w:eastAsia="Arial" w:hAnsi="Arial" w:cs="Arial"/>
                <w:color w:val="333333"/>
                <w:sz w:val="20"/>
                <w:szCs w:val="20"/>
              </w:rPr>
              <w:t xml:space="preserve">Higher </w:t>
            </w:r>
            <w:proofErr w:type="spellStart"/>
            <w:r>
              <w:rPr>
                <w:rFonts w:ascii="Arial" w:eastAsia="Arial" w:hAnsi="Arial" w:cs="Arial"/>
                <w:color w:val="333333"/>
                <w:sz w:val="20"/>
                <w:szCs w:val="20"/>
              </w:rPr>
              <w:t>CapEx</w:t>
            </w:r>
            <w:proofErr w:type="spellEnd"/>
            <w:r>
              <w:rPr>
                <w:rFonts w:ascii="Arial" w:eastAsia="Arial" w:hAnsi="Arial" w:cs="Arial"/>
                <w:color w:val="333333"/>
                <w:sz w:val="20"/>
                <w:szCs w:val="20"/>
              </w:rPr>
              <w:t xml:space="preserve">; low </w:t>
            </w:r>
            <w:proofErr w:type="spellStart"/>
            <w:r>
              <w:rPr>
                <w:rFonts w:ascii="Arial" w:eastAsia="Arial" w:hAnsi="Arial" w:cs="Arial"/>
                <w:color w:val="333333"/>
                <w:sz w:val="20"/>
                <w:szCs w:val="20"/>
              </w:rPr>
              <w:t>OpEx</w:t>
            </w:r>
            <w:proofErr w:type="spellEnd"/>
            <w:r>
              <w:rPr>
                <w:rFonts w:ascii="Arial" w:eastAsia="Arial" w:hAnsi="Arial" w:cs="Arial"/>
                <w:color w:val="333333"/>
                <w:sz w:val="20"/>
                <w:szCs w:val="20"/>
              </w:rPr>
              <w:t xml:space="preserve"> at scale</w:t>
            </w:r>
          </w:p>
        </w:tc>
      </w:tr>
      <w:tr w:rsidR="0034566F" w14:paraId="165A878E"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70B2AEF3" w14:textId="77777777" w:rsidR="0034566F" w:rsidRDefault="00C15805">
            <w:r>
              <w:rPr>
                <w:rFonts w:ascii="Arial" w:eastAsia="Arial" w:hAnsi="Arial" w:cs="Arial"/>
                <w:color w:val="333333"/>
                <w:sz w:val="20"/>
                <w:szCs w:val="20"/>
              </w:rPr>
              <w:lastRenderedPageBreak/>
              <w:t>Model updates</w:t>
            </w:r>
          </w:p>
        </w:tc>
        <w:tc>
          <w:tcPr>
            <w:tcW w:w="308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11EE9206" w14:textId="77777777" w:rsidR="0034566F" w:rsidRDefault="00C15805">
            <w:r>
              <w:rPr>
                <w:rFonts w:ascii="Arial" w:eastAsia="Arial" w:hAnsi="Arial" w:cs="Arial"/>
                <w:color w:val="333333"/>
                <w:sz w:val="20"/>
                <w:szCs w:val="20"/>
              </w:rPr>
              <w:t xml:space="preserve">Instant, </w:t>
            </w:r>
            <w:proofErr w:type="spellStart"/>
            <w:r>
              <w:rPr>
                <w:rFonts w:ascii="Arial" w:eastAsia="Arial" w:hAnsi="Arial" w:cs="Arial"/>
                <w:color w:val="333333"/>
                <w:sz w:val="20"/>
                <w:szCs w:val="20"/>
              </w:rPr>
              <w:t>centralised</w:t>
            </w:r>
            <w:proofErr w:type="spellEnd"/>
            <w:r>
              <w:rPr>
                <w:rFonts w:ascii="Arial" w:eastAsia="Arial" w:hAnsi="Arial" w:cs="Arial"/>
                <w:color w:val="333333"/>
                <w:sz w:val="20"/>
                <w:szCs w:val="20"/>
              </w:rPr>
              <w:t xml:space="preserve"> rollout</w:t>
            </w:r>
          </w:p>
        </w:tc>
        <w:tc>
          <w:tcPr>
            <w:tcW w:w="308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08649952" w14:textId="77777777" w:rsidR="0034566F" w:rsidRDefault="00C15805">
            <w:r>
              <w:rPr>
                <w:rFonts w:ascii="Arial" w:eastAsia="Arial" w:hAnsi="Arial" w:cs="Arial"/>
                <w:color w:val="333333"/>
                <w:sz w:val="20"/>
                <w:szCs w:val="20"/>
              </w:rPr>
              <w:t>Requires OTA or scheduled sync</w:t>
            </w:r>
          </w:p>
        </w:tc>
      </w:tr>
      <w:tr w:rsidR="0034566F" w14:paraId="67C6C67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2A0EFEDF" w14:textId="77777777" w:rsidR="0034566F" w:rsidRDefault="00C15805">
            <w:r>
              <w:rPr>
                <w:rFonts w:ascii="Arial" w:eastAsia="Arial" w:hAnsi="Arial" w:cs="Arial"/>
                <w:color w:val="333333"/>
                <w:sz w:val="20"/>
                <w:szCs w:val="20"/>
              </w:rPr>
              <w:t>Interpretability</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1C5471E7" w14:textId="77777777" w:rsidR="0034566F" w:rsidRDefault="00C15805">
            <w:proofErr w:type="spellStart"/>
            <w:r>
              <w:rPr>
                <w:rFonts w:ascii="Arial" w:eastAsia="Arial" w:hAnsi="Arial" w:cs="Arial"/>
                <w:color w:val="333333"/>
                <w:sz w:val="20"/>
                <w:szCs w:val="20"/>
              </w:rPr>
              <w:t>Centralised</w:t>
            </w:r>
            <w:proofErr w:type="spellEnd"/>
            <w:r>
              <w:rPr>
                <w:rFonts w:ascii="Arial" w:eastAsia="Arial" w:hAnsi="Arial" w:cs="Arial"/>
                <w:color w:val="333333"/>
                <w:sz w:val="20"/>
                <w:szCs w:val="20"/>
              </w:rPr>
              <w:t xml:space="preserve"> logging; easier audit</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6EA269EE" w14:textId="77777777" w:rsidR="0034566F" w:rsidRDefault="00C15805">
            <w:r>
              <w:rPr>
                <w:rFonts w:ascii="Arial" w:eastAsia="Arial" w:hAnsi="Arial" w:cs="Arial"/>
                <w:color w:val="333333"/>
                <w:sz w:val="20"/>
                <w:szCs w:val="20"/>
              </w:rPr>
              <w:t>Audit requires local tooling</w:t>
            </w:r>
          </w:p>
        </w:tc>
      </w:tr>
      <w:tr w:rsidR="0034566F" w14:paraId="6229C419"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4FB7EE56" w14:textId="77777777" w:rsidR="0034566F" w:rsidRDefault="00C15805">
            <w:r>
              <w:rPr>
                <w:rFonts w:ascii="Arial" w:eastAsia="Arial" w:hAnsi="Arial" w:cs="Arial"/>
                <w:color w:val="333333"/>
                <w:sz w:val="20"/>
                <w:szCs w:val="20"/>
              </w:rPr>
              <w:t>Best fit</w:t>
            </w:r>
          </w:p>
        </w:tc>
        <w:tc>
          <w:tcPr>
            <w:tcW w:w="308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5E3F3ACC" w14:textId="77777777" w:rsidR="0034566F" w:rsidRDefault="00C15805">
            <w:r>
              <w:rPr>
                <w:rFonts w:ascii="Arial" w:eastAsia="Arial" w:hAnsi="Arial" w:cs="Arial"/>
                <w:color w:val="333333"/>
                <w:sz w:val="20"/>
                <w:szCs w:val="20"/>
              </w:rPr>
              <w:t>Analytics, training, batch tasks</w:t>
            </w:r>
          </w:p>
        </w:tc>
        <w:tc>
          <w:tcPr>
            <w:tcW w:w="3080" w:type="dxa"/>
            <w:tcBorders>
              <w:top w:val="single" w:sz="1" w:space="0" w:color="AAAAAA"/>
              <w:left w:val="single" w:sz="1" w:space="0" w:color="AAAAAA"/>
              <w:bottom w:val="single" w:sz="1" w:space="0" w:color="AAAAAA"/>
              <w:right w:val="single" w:sz="1" w:space="0" w:color="AAAAAA"/>
            </w:tcBorders>
            <w:shd w:val="clear" w:color="auto" w:fill="F2F5FA"/>
            <w:tcMar>
              <w:top w:w="100" w:type="dxa"/>
              <w:left w:w="160" w:type="dxa"/>
              <w:bottom w:w="100" w:type="dxa"/>
              <w:right w:w="160" w:type="dxa"/>
            </w:tcMar>
          </w:tcPr>
          <w:p w14:paraId="3ABF90FB" w14:textId="77777777" w:rsidR="0034566F" w:rsidRDefault="00C15805">
            <w:r>
              <w:rPr>
                <w:rFonts w:ascii="Arial" w:eastAsia="Arial" w:hAnsi="Arial" w:cs="Arial"/>
                <w:color w:val="333333"/>
                <w:sz w:val="20"/>
                <w:szCs w:val="20"/>
              </w:rPr>
              <w:t>Real-time, privacy-critical ops</w:t>
            </w:r>
          </w:p>
        </w:tc>
      </w:tr>
    </w:tbl>
    <w:p w14:paraId="7754E7E4" w14:textId="77777777" w:rsidR="0034566F" w:rsidRDefault="0034566F">
      <w:pPr>
        <w:spacing w:after="200"/>
      </w:pPr>
    </w:p>
    <w:p w14:paraId="0F511CDA" w14:textId="77777777" w:rsidR="0034566F" w:rsidRDefault="00C15805">
      <w:pPr>
        <w:pBdr>
          <w:bottom w:val="single" w:sz="6" w:space="4" w:color="2E6DA4"/>
        </w:pBdr>
        <w:spacing w:before="400" w:after="160"/>
      </w:pPr>
      <w:r>
        <w:rPr>
          <w:rFonts w:ascii="Arial" w:eastAsia="Arial" w:hAnsi="Arial" w:cs="Arial"/>
          <w:b/>
          <w:bCs/>
          <w:color w:val="1B3A6B"/>
          <w:sz w:val="30"/>
          <w:szCs w:val="30"/>
        </w:rPr>
        <w:t>3. The Edge AI Mechanism: How Distributed Inference Resolves Structural Failure</w:t>
      </w:r>
    </w:p>
    <w:p w14:paraId="35CC96CF" w14:textId="77777777" w:rsidR="0034566F" w:rsidRDefault="0034566F">
      <w:pPr>
        <w:spacing w:after="80"/>
      </w:pPr>
    </w:p>
    <w:p w14:paraId="04C26536" w14:textId="77777777" w:rsidR="0034566F" w:rsidRDefault="00C15805">
      <w:pPr>
        <w:spacing w:after="180" w:line="320" w:lineRule="auto"/>
        <w:jc w:val="both"/>
      </w:pPr>
      <w:r>
        <w:rPr>
          <w:color w:val="222222"/>
        </w:rPr>
        <w:t>Edge AI — defined as the execution of trained machine-learning models on hardware that is co-located with, or in immediate physical proximity to, the data source — addresses each of the structural deficiencies identified above through a common mechanism: the elimination of network transit from the inference critical path. This is a precise architectural claim, not a marketing assertion, and it is worth unpacking carefully.</w:t>
      </w:r>
    </w:p>
    <w:p w14:paraId="30B16C36" w14:textId="77777777" w:rsidR="0034566F" w:rsidRDefault="00C15805">
      <w:pPr>
        <w:spacing w:after="180" w:line="320" w:lineRule="auto"/>
        <w:jc w:val="both"/>
      </w:pPr>
      <w:r>
        <w:rPr>
          <w:color w:val="222222"/>
        </w:rPr>
        <w:t xml:space="preserve">In an edge AI deployment, a model is trained centrally — this remains the appropriate use of cloud compute — and then the trained model artefact is compressed, </w:t>
      </w:r>
      <w:proofErr w:type="spellStart"/>
      <w:r>
        <w:rPr>
          <w:color w:val="222222"/>
        </w:rPr>
        <w:t>quantised</w:t>
      </w:r>
      <w:proofErr w:type="spellEnd"/>
      <w:r>
        <w:rPr>
          <w:color w:val="222222"/>
        </w:rPr>
        <w:t xml:space="preserve">, and deployed to edge hardware. </w:t>
      </w:r>
      <w:proofErr w:type="spellStart"/>
      <w:r>
        <w:rPr>
          <w:color w:val="222222"/>
        </w:rPr>
        <w:t>Quantisation</w:t>
      </w:r>
      <w:proofErr w:type="spellEnd"/>
      <w:r>
        <w:rPr>
          <w:color w:val="222222"/>
        </w:rPr>
        <w:t xml:space="preserve"> refers to the process of reducing a model's numerical precision from 32-bit or 16-bit floating-point representations to 8-bit or even 4-bit integers, dramatically reducing both the memory footprint and computational requirements without material degradation in accuracy for most inference tasks. Once deployed, the model runs entirely on the edge device. Data from cameras, sensors, or other inputs is processed locally; only the output — a classification label, an anomaly flag, a decision — is transmitted upstream. The ratio of raw data to inference output is often several orders of magnitude: a gigabyte of video might yield a few kilobytes of structured events.</w:t>
      </w:r>
    </w:p>
    <w:p w14:paraId="219111CF" w14:textId="77777777" w:rsidR="0034566F" w:rsidRDefault="00C15805">
      <w:pPr>
        <w:spacing w:after="180" w:line="320" w:lineRule="auto"/>
        <w:jc w:val="both"/>
      </w:pPr>
      <w:r>
        <w:rPr>
          <w:color w:val="222222"/>
        </w:rPr>
        <w:t>The hardware enabling this shift has matured rapidly. Dedicated neural processing units (NPUs) — application-specific chips designed to execute the matrix operations that underpin neural network inference with extreme energy efficiency — are now embedded in industrial microcontrollers, smartphone system-on-chip designs, and purpose-built edge servers from vendors including NVIDIA, Qualcomm, Intel, and a wave of specialist fabless semiconductor firms. Google's Edge TPU, designed specifically for TensorFlow Lite inference at the edge, delivers up to four trillion operations per second within a two-</w:t>
      </w:r>
      <w:r>
        <w:rPr>
          <w:color w:val="222222"/>
        </w:rPr>
        <w:lastRenderedPageBreak/>
        <w:t>watt power envelope. This hardware trajectory means that the computational capability once confined to server rooms is now deployable in environments ranging from factory floors to underground pipelines to satellite constellations.</w:t>
      </w:r>
    </w:p>
    <w:p w14:paraId="556502E5" w14:textId="77777777" w:rsidR="0034566F" w:rsidRDefault="00C15805">
      <w:pPr>
        <w:spacing w:after="180" w:line="320" w:lineRule="auto"/>
        <w:jc w:val="both"/>
      </w:pPr>
      <w:r>
        <w:rPr>
          <w:color w:val="222222"/>
        </w:rPr>
        <w:t>The machine-learning dimension of edge AI introduces an additional architectural consideration that is frequently underappreciated in executive discussions: the distinction between inference and learning. First-generation edge AI deployments were purely inferential — models trained centrally, deployed statically to the edge, and updated periodically via over-the-air software releases. An emerging and more powerful paradigm, federated learning, extends machine learning itself to the edge. In federated learning, each edge device trains a local model update using its own local data; only the gradient updates — the mathematical corrections to model parameters — are transmitted to a central server for aggregation, never the raw data. The central model improves continuously from the collective experience of thousands of edge devices without any individual device's private data leaving its local environment. This approach, pioneered in research by Google and subsequently adopted across healthcare, finance, and telecommunications, resolves the apparent tension between model improvement and data privacy. It is a structural innovation, not a workaround.</w:t>
      </w:r>
    </w:p>
    <w:p w14:paraId="1F2CFD16" w14:textId="77777777" w:rsidR="0034566F" w:rsidRDefault="00C15805">
      <w:pPr>
        <w:pBdr>
          <w:left w:val="single" w:sz="18" w:space="12" w:color="4A90C4"/>
        </w:pBdr>
        <w:shd w:val="clear" w:color="auto" w:fill="D9E4F0"/>
        <w:spacing w:before="280" w:after="280"/>
        <w:ind w:left="720" w:right="720"/>
      </w:pPr>
      <w:r>
        <w:rPr>
          <w:i/>
          <w:iCs/>
          <w:color w:val="1B3A6B"/>
        </w:rPr>
        <w:t xml:space="preserve">"Federated learning represents a fundamental </w:t>
      </w:r>
      <w:proofErr w:type="spellStart"/>
      <w:r>
        <w:rPr>
          <w:i/>
          <w:iCs/>
          <w:color w:val="1B3A6B"/>
        </w:rPr>
        <w:t>reconceptualisation</w:t>
      </w:r>
      <w:proofErr w:type="spellEnd"/>
      <w:r>
        <w:rPr>
          <w:i/>
          <w:iCs/>
          <w:color w:val="1B3A6B"/>
        </w:rPr>
        <w:t xml:space="preserve"> of the machine-learning pipeline: intelligence flows outward to the data, rather than data flowing inward to the intelligence."</w:t>
      </w:r>
    </w:p>
    <w:p w14:paraId="1BF5EC11" w14:textId="77777777" w:rsidR="0034566F" w:rsidRDefault="00C15805">
      <w:pPr>
        <w:spacing w:after="180" w:line="320" w:lineRule="auto"/>
        <w:jc w:val="both"/>
      </w:pPr>
      <w:r>
        <w:rPr>
          <w:color w:val="222222"/>
        </w:rPr>
        <w:t xml:space="preserve">Operationally, the distributed nature of edge AI introduces a management challenge that responsible analysis must acknowledge: maintaining consistency, security, and model currency across potentially thousands of heterogeneous edge nodes is materially more complex than managing a </w:t>
      </w:r>
      <w:proofErr w:type="spellStart"/>
      <w:r>
        <w:rPr>
          <w:color w:val="222222"/>
        </w:rPr>
        <w:t>centralised</w:t>
      </w:r>
      <w:proofErr w:type="spellEnd"/>
      <w:r>
        <w:rPr>
          <w:color w:val="222222"/>
        </w:rPr>
        <w:t xml:space="preserve"> cloud deployment. This is addressed through what practitioners call </w:t>
      </w:r>
      <w:proofErr w:type="spellStart"/>
      <w:r>
        <w:rPr>
          <w:color w:val="222222"/>
        </w:rPr>
        <w:t>MLOps</w:t>
      </w:r>
      <w:proofErr w:type="spellEnd"/>
      <w:r>
        <w:rPr>
          <w:color w:val="222222"/>
        </w:rPr>
        <w:t xml:space="preserve"> at the edge — the application of software engineering discipline to the lifecycle of machine-learning models in distributed environments. Modern edge management platforms, including Azure IoT Edge, AWS Greengrass, and specialist vendors such as Azion and Fastly, provide </w:t>
      </w:r>
      <w:proofErr w:type="spellStart"/>
      <w:r>
        <w:rPr>
          <w:color w:val="222222"/>
        </w:rPr>
        <w:t>centralised</w:t>
      </w:r>
      <w:proofErr w:type="spellEnd"/>
      <w:r>
        <w:rPr>
          <w:color w:val="222222"/>
        </w:rPr>
        <w:t xml:space="preserve"> orchestration of model deployment, versioning, monitoring, and rollback across edge fleets. The complexity is real, but it is tractable engineering complexity, not a theoretical barrier to adoption.</w:t>
      </w:r>
    </w:p>
    <w:p w14:paraId="446E0F0F" w14:textId="77777777" w:rsidR="0034566F" w:rsidRDefault="0034566F">
      <w:pPr>
        <w:spacing w:after="80"/>
      </w:pPr>
    </w:p>
    <w:p w14:paraId="4D4485D8" w14:textId="77777777" w:rsidR="0034566F" w:rsidRDefault="00C15805">
      <w:pPr>
        <w:pBdr>
          <w:bottom w:val="single" w:sz="6" w:space="4" w:color="2E6DA4"/>
        </w:pBdr>
        <w:spacing w:before="400" w:after="160"/>
      </w:pPr>
      <w:r>
        <w:rPr>
          <w:rFonts w:ascii="Arial" w:eastAsia="Arial" w:hAnsi="Arial" w:cs="Arial"/>
          <w:b/>
          <w:bCs/>
          <w:color w:val="1B3A6B"/>
          <w:sz w:val="30"/>
          <w:szCs w:val="30"/>
        </w:rPr>
        <w:t>4. Evidence from Deployment: Three Cases of Consequence</w:t>
      </w:r>
    </w:p>
    <w:p w14:paraId="58CF8FAD" w14:textId="77777777" w:rsidR="0034566F" w:rsidRDefault="0034566F">
      <w:pPr>
        <w:spacing w:after="80"/>
      </w:pPr>
    </w:p>
    <w:p w14:paraId="2DC7C261" w14:textId="77777777" w:rsidR="0034566F" w:rsidRDefault="00C15805">
      <w:pPr>
        <w:spacing w:before="160" w:after="100"/>
      </w:pPr>
      <w:r>
        <w:rPr>
          <w:rFonts w:ascii="Arial" w:eastAsia="Arial" w:hAnsi="Arial" w:cs="Arial"/>
          <w:b/>
          <w:bCs/>
          <w:color w:val="1B3A6B"/>
          <w:sz w:val="26"/>
          <w:szCs w:val="26"/>
        </w:rPr>
        <w:t>4.1  Industrial Manufacturing and Predictive Maintenance</w:t>
      </w:r>
    </w:p>
    <w:p w14:paraId="6378D79B" w14:textId="77777777" w:rsidR="0034566F" w:rsidRDefault="00C15805">
      <w:pPr>
        <w:spacing w:after="180" w:line="320" w:lineRule="auto"/>
        <w:jc w:val="both"/>
      </w:pPr>
      <w:r>
        <w:rPr>
          <w:color w:val="222222"/>
        </w:rPr>
        <w:t xml:space="preserve">The manufacturing sector offers perhaps the clearest illustration of cloud AI's operational ceiling and edge AI's structural advantage. In high-volume production environments — semiconductor fabrication, automotive assembly, pharmaceutical packaging — defect detection must occur at line speed, which may range from hundreds to thousands of units per minute. A cloud-based vision system inspecting components on a production line at this cadence faces an insurmountable problem: the latency of transmitting a high-resolution image to a remote server, performing inference, and returning a pass or fail decision exceeds the time available before the next unit reaches the inspection station. The physics do not yield to software </w:t>
      </w:r>
      <w:proofErr w:type="spellStart"/>
      <w:r>
        <w:rPr>
          <w:color w:val="222222"/>
        </w:rPr>
        <w:t>optimisation</w:t>
      </w:r>
      <w:proofErr w:type="spellEnd"/>
      <w:r>
        <w:rPr>
          <w:color w:val="222222"/>
        </w:rPr>
        <w:t>.</w:t>
      </w:r>
    </w:p>
    <w:p w14:paraId="2DF44361" w14:textId="77777777" w:rsidR="0034566F" w:rsidRDefault="00C15805">
      <w:pPr>
        <w:spacing w:after="180" w:line="320" w:lineRule="auto"/>
        <w:jc w:val="both"/>
      </w:pPr>
      <w:r>
        <w:rPr>
          <w:color w:val="222222"/>
        </w:rPr>
        <w:t>Bosch, one of the world's largest industrial suppliers, has documented the transition of its manufacturing AI infrastructure toward edge deployment in several published case studies and conference presentations. Across facilities in Germany, India, and China, Bosch deployed edge inference nodes — compact servers equipped with industrial-grade GPU and NPU hardware — directly on production lines. The results illustrate the architectural advantage precisely. Defect detection latency fell from ranges measured in hundreds of milliseconds under a cloud-dependent architecture to single-digit milliseconds on-premise. Equally significant, the volume of data that needed to traverse the factory's WAN connections dropped by approximately 95 percent, as raw imagery was processed and discarded locally, with only inspection outcomes transmitted to central manufacturing execution systems. Production lines that had previously been limited to statistical sampling — checking one in ten or one in fifty units because continuous inspection was computationally and economically infeasible — could transition to 100 percent inspection at full line speed. The quality and yield improvements that followed were material.</w:t>
      </w:r>
    </w:p>
    <w:p w14:paraId="0EC9B390" w14:textId="77777777" w:rsidR="0034566F" w:rsidRDefault="00C15805">
      <w:pPr>
        <w:spacing w:after="180" w:line="320" w:lineRule="auto"/>
        <w:jc w:val="both"/>
      </w:pPr>
      <w:r>
        <w:rPr>
          <w:color w:val="222222"/>
        </w:rPr>
        <w:t xml:space="preserve">The predictive maintenance dimension extends the argument further. Industrial equipment — turbines, compressors, CNC machine tools, robotic welders — generates continuous acoustic and vibration telemetry that encodes early signatures of mechanical degradation, often hours or days before failure. A cloud-based architecture monitoring thousands of such machines generates bandwidth demands that are impractical to sustain continuously and latency responses that are too slow to prevent damage when anomalies escalate rapidly. Edge AI models running locally on industrial gateways can monitor every data point continuously, identify anomalous signatures in real time, and trigger </w:t>
      </w:r>
      <w:r>
        <w:rPr>
          <w:color w:val="222222"/>
        </w:rPr>
        <w:lastRenderedPageBreak/>
        <w:t>maintenance alerts or automatic shutdowns within milliseconds, without transmitting terabytes of raw vibration data upstream. Siemens has reported, across its industrial IoT deployments, average reductions in unplanned downtime of between 20 and 50 percent following the transition from cloud-centric to edge-based anomaly detection, with proportional improvements in maintenance cost efficiency.</w:t>
      </w:r>
    </w:p>
    <w:p w14:paraId="6AFA4E30" w14:textId="77777777" w:rsidR="0034566F" w:rsidRDefault="0034566F">
      <w:pPr>
        <w:spacing w:after="80"/>
      </w:pPr>
    </w:p>
    <w:p w14:paraId="1F966E17" w14:textId="77777777" w:rsidR="0034566F" w:rsidRDefault="00C15805">
      <w:pPr>
        <w:spacing w:before="160" w:after="100"/>
      </w:pPr>
      <w:r>
        <w:rPr>
          <w:rFonts w:ascii="Arial" w:eastAsia="Arial" w:hAnsi="Arial" w:cs="Arial"/>
          <w:b/>
          <w:bCs/>
          <w:color w:val="1B3A6B"/>
          <w:sz w:val="26"/>
          <w:szCs w:val="26"/>
        </w:rPr>
        <w:t>4.2  Cybersecurity: Threat Detection at Machine Speed</w:t>
      </w:r>
    </w:p>
    <w:p w14:paraId="690A3C59" w14:textId="77777777" w:rsidR="0034566F" w:rsidRDefault="00C15805">
      <w:pPr>
        <w:spacing w:after="180" w:line="320" w:lineRule="auto"/>
        <w:jc w:val="both"/>
      </w:pPr>
      <w:r>
        <w:rPr>
          <w:color w:val="222222"/>
        </w:rPr>
        <w:t xml:space="preserve">Cybersecurity represents a domain where the failure modes of cloud AI are not merely operational inconveniences but existential </w:t>
      </w:r>
      <w:proofErr w:type="spellStart"/>
      <w:r>
        <w:rPr>
          <w:color w:val="222222"/>
        </w:rPr>
        <w:t>organisational</w:t>
      </w:r>
      <w:proofErr w:type="spellEnd"/>
      <w:r>
        <w:rPr>
          <w:color w:val="222222"/>
        </w:rPr>
        <w:t xml:space="preserve"> risks. The threat landscape of 2026 is </w:t>
      </w:r>
      <w:proofErr w:type="spellStart"/>
      <w:r>
        <w:rPr>
          <w:color w:val="222222"/>
        </w:rPr>
        <w:t>characterised</w:t>
      </w:r>
      <w:proofErr w:type="spellEnd"/>
      <w:r>
        <w:rPr>
          <w:color w:val="222222"/>
        </w:rPr>
        <w:t xml:space="preserve"> by adversaries who operate at machine speed: automated exploit frameworks, polymorphic malware, and AI-assisted attack tools that can enumerate vulnerabilities, establish persistence, and begin lateral movement across a network in timeframes measured in seconds. A </w:t>
      </w:r>
      <w:proofErr w:type="spellStart"/>
      <w:r>
        <w:rPr>
          <w:color w:val="222222"/>
        </w:rPr>
        <w:t>defence</w:t>
      </w:r>
      <w:proofErr w:type="spellEnd"/>
      <w:r>
        <w:rPr>
          <w:color w:val="222222"/>
        </w:rPr>
        <w:t xml:space="preserve"> architecture that routes network telemetry to a cloud-based security information and event management platform, waits for </w:t>
      </w:r>
      <w:proofErr w:type="spellStart"/>
      <w:r>
        <w:rPr>
          <w:color w:val="222222"/>
        </w:rPr>
        <w:t>centralised</w:t>
      </w:r>
      <w:proofErr w:type="spellEnd"/>
      <w:r>
        <w:rPr>
          <w:color w:val="222222"/>
        </w:rPr>
        <w:t xml:space="preserve"> analysis, and then pushes a response back through the network stack is, in the adversarial context, fatally slow.</w:t>
      </w:r>
    </w:p>
    <w:p w14:paraId="48BA13EC" w14:textId="77777777" w:rsidR="0034566F" w:rsidRDefault="00C15805">
      <w:pPr>
        <w:spacing w:after="180" w:line="320" w:lineRule="auto"/>
        <w:jc w:val="both"/>
      </w:pPr>
      <w:r>
        <w:rPr>
          <w:color w:val="222222"/>
        </w:rPr>
        <w:t xml:space="preserve">The academic and commercial security research literature has converged on a clear finding: effective detection and containment of advanced persistent threats and ransomware events requires response latencies below one second, and ideally below 100 milliseconds, to prevent significant damage. Darktrace, a cybersecurity firm whose core product is a self-learning AI system deployed as network appliances — physical or virtual devices sitting directly within the monitored network — has published operational data from thousands of enterprise deployments demonstrating this latency dependency. In multiple documented cases, the system's autonomous response capability — which operates entirely on-premises, without cloud consultation — interrupted ransomware encryption events within seconds of initial file system activity, containing what would otherwise have been </w:t>
      </w:r>
      <w:proofErr w:type="spellStart"/>
      <w:r>
        <w:rPr>
          <w:color w:val="222222"/>
        </w:rPr>
        <w:t>organisation</w:t>
      </w:r>
      <w:proofErr w:type="spellEnd"/>
      <w:r>
        <w:rPr>
          <w:color w:val="222222"/>
        </w:rPr>
        <w:t>-wide data destruction. The critical architectural detail is that autonomous response was possible only because the inference occurred locally; a cloud-consultation step of even five seconds would have rendered containment ineffective in the majority of cases documented.</w:t>
      </w:r>
    </w:p>
    <w:p w14:paraId="259B2CA9" w14:textId="77777777" w:rsidR="0034566F" w:rsidRDefault="00C15805">
      <w:pPr>
        <w:spacing w:after="180" w:line="320" w:lineRule="auto"/>
        <w:jc w:val="both"/>
      </w:pPr>
      <w:r>
        <w:rPr>
          <w:color w:val="222222"/>
        </w:rPr>
        <w:t xml:space="preserve">The data-sovereignty dimension is equally acute in cybersecurity. Transmitting raw network telemetry to a cloud-based security platform means routing potentially sensitive communications metadata, transaction records, and internal system </w:t>
      </w:r>
      <w:proofErr w:type="spellStart"/>
      <w:r>
        <w:rPr>
          <w:color w:val="222222"/>
        </w:rPr>
        <w:t>behaviour</w:t>
      </w:r>
      <w:proofErr w:type="spellEnd"/>
      <w:r>
        <w:rPr>
          <w:color w:val="222222"/>
        </w:rPr>
        <w:t xml:space="preserve"> patterns to a third-party environment. For </w:t>
      </w:r>
      <w:proofErr w:type="spellStart"/>
      <w:r>
        <w:rPr>
          <w:color w:val="222222"/>
        </w:rPr>
        <w:t>organisations</w:t>
      </w:r>
      <w:proofErr w:type="spellEnd"/>
      <w:r>
        <w:rPr>
          <w:color w:val="222222"/>
        </w:rPr>
        <w:t xml:space="preserve"> operating under financial services </w:t>
      </w:r>
      <w:r>
        <w:rPr>
          <w:color w:val="222222"/>
        </w:rPr>
        <w:lastRenderedPageBreak/>
        <w:t xml:space="preserve">regulation, healthcare privacy law, or government security classification requirements, this is frequently legally impermissible. Edge AI, by keeping telemetry local and transmitting only threat intelligence abstractions, resolves the compliance constraint without sacrificing detection capability. Several national governments — the United Kingdom's National Cyber Security Centre and Germany's Federal Office for Information Security among them — have published guidance explicitly </w:t>
      </w:r>
      <w:proofErr w:type="spellStart"/>
      <w:r>
        <w:rPr>
          <w:color w:val="222222"/>
        </w:rPr>
        <w:t>favouring</w:t>
      </w:r>
      <w:proofErr w:type="spellEnd"/>
      <w:r>
        <w:rPr>
          <w:color w:val="222222"/>
        </w:rPr>
        <w:t xml:space="preserve"> on-premises or edge-based AI security architectures for critical national infrastructure precisely because of this data-sovereignty consideration.</w:t>
      </w:r>
    </w:p>
    <w:p w14:paraId="4D0D26C3" w14:textId="77777777" w:rsidR="0034566F" w:rsidRDefault="0034566F">
      <w:pPr>
        <w:spacing w:after="80"/>
      </w:pPr>
    </w:p>
    <w:p w14:paraId="0C94D8BD" w14:textId="77777777" w:rsidR="0034566F" w:rsidRDefault="00C15805">
      <w:pPr>
        <w:spacing w:before="160" w:after="100"/>
      </w:pPr>
      <w:r>
        <w:rPr>
          <w:rFonts w:ascii="Arial" w:eastAsia="Arial" w:hAnsi="Arial" w:cs="Arial"/>
          <w:b/>
          <w:bCs/>
          <w:color w:val="1B3A6B"/>
          <w:sz w:val="26"/>
          <w:szCs w:val="26"/>
        </w:rPr>
        <w:t>4.3  Healthcare Diagnostics and Federated Learning at Scale</w:t>
      </w:r>
    </w:p>
    <w:p w14:paraId="454B9297" w14:textId="77777777" w:rsidR="0034566F" w:rsidRDefault="00C15805">
      <w:pPr>
        <w:spacing w:after="180" w:line="320" w:lineRule="auto"/>
        <w:jc w:val="both"/>
      </w:pPr>
      <w:r>
        <w:rPr>
          <w:color w:val="222222"/>
        </w:rPr>
        <w:t xml:space="preserve">The healthcare sector illustrates the most sophisticated application of edge AI's capabilities and, simultaneously, provides the most rigorous evidence for federated learning's practical value. Medical imaging — radiology, pathology, ophthalmology — is an area where AI models have demonstrated diagnostic accuracy comparable to or exceeding specialist clinicians in specific tasks, including the detection of diabetic retinopathy, certain lung cancers on CT scans, and malignant melanoma from </w:t>
      </w:r>
      <w:proofErr w:type="spellStart"/>
      <w:r>
        <w:rPr>
          <w:color w:val="222222"/>
        </w:rPr>
        <w:t>dermoscopic</w:t>
      </w:r>
      <w:proofErr w:type="spellEnd"/>
      <w:r>
        <w:rPr>
          <w:color w:val="222222"/>
        </w:rPr>
        <w:t xml:space="preserve"> images. The clinical value is established. The deployment challenge is structural: the data required to train and continuously improve these models is among the most legally protected in existence, governed by HIPAA in the United States, equivalent frameworks in Europe and Asia, and an array of institutional ethics obligations.</w:t>
      </w:r>
    </w:p>
    <w:p w14:paraId="7F439314" w14:textId="77777777" w:rsidR="0034566F" w:rsidRDefault="00C15805">
      <w:pPr>
        <w:spacing w:after="180" w:line="320" w:lineRule="auto"/>
        <w:jc w:val="both"/>
      </w:pPr>
      <w:r>
        <w:rPr>
          <w:color w:val="222222"/>
        </w:rPr>
        <w:t xml:space="preserve">A landmark research </w:t>
      </w:r>
      <w:proofErr w:type="spellStart"/>
      <w:r>
        <w:rPr>
          <w:color w:val="222222"/>
        </w:rPr>
        <w:t>programme</w:t>
      </w:r>
      <w:proofErr w:type="spellEnd"/>
      <w:r>
        <w:rPr>
          <w:color w:val="222222"/>
        </w:rPr>
        <w:t>, published in Nature Medicine in 2021 and extended in subsequent work through 2024, demonstrated federated learning's practical resolution of this dilemma. Researchers from University College London, the University of Pennsylvania, and a consortium of twenty-three international hospital systems collaborated to train a brain-</w:t>
      </w:r>
      <w:proofErr w:type="spellStart"/>
      <w:r>
        <w:rPr>
          <w:color w:val="222222"/>
        </w:rPr>
        <w:t>tumour</w:t>
      </w:r>
      <w:proofErr w:type="spellEnd"/>
      <w:r>
        <w:rPr>
          <w:color w:val="222222"/>
        </w:rPr>
        <w:t xml:space="preserve"> segmentation model across institutions without any patient imaging data leaving individual hospitals. Each participating hospital trained a local model update on its own patient data; only encrypted gradient updates — mathematical vectors containing no patient-identifiable information — were transmitted to a central aggregation server. The resulting globally aggregated model outperformed any model trained on a single institution's dataset, including the largest, because it had been exposed to the full diversity of scanner hardware, imaging protocols, and patient demographics represented across the consortium. The federated model </w:t>
      </w:r>
      <w:proofErr w:type="spellStart"/>
      <w:r>
        <w:rPr>
          <w:color w:val="222222"/>
        </w:rPr>
        <w:t>generalised</w:t>
      </w:r>
      <w:proofErr w:type="spellEnd"/>
      <w:r>
        <w:rPr>
          <w:color w:val="222222"/>
        </w:rPr>
        <w:t xml:space="preserve"> better </w:t>
      </w:r>
      <w:r>
        <w:rPr>
          <w:color w:val="222222"/>
        </w:rPr>
        <w:lastRenderedPageBreak/>
        <w:t xml:space="preserve">precisely because its training data, in aggregate, was more representative — even though that data was never </w:t>
      </w:r>
      <w:proofErr w:type="spellStart"/>
      <w:r>
        <w:rPr>
          <w:color w:val="222222"/>
        </w:rPr>
        <w:t>centralised</w:t>
      </w:r>
      <w:proofErr w:type="spellEnd"/>
      <w:r>
        <w:rPr>
          <w:color w:val="222222"/>
        </w:rPr>
        <w:t>.</w:t>
      </w:r>
    </w:p>
    <w:p w14:paraId="5E6E5981" w14:textId="77777777" w:rsidR="0034566F" w:rsidRDefault="00C15805">
      <w:pPr>
        <w:spacing w:after="180" w:line="320" w:lineRule="auto"/>
        <w:jc w:val="both"/>
      </w:pPr>
      <w:r>
        <w:rPr>
          <w:color w:val="222222"/>
        </w:rPr>
        <w:t xml:space="preserve">The implications for enterprise AI strategy extend well beyond healthcare. The federated learning paradigm demonstrates that edge AI need not sacrifice model quality for privacy. It resolves what had been presented as a fundamental tradeoff — between learning from rich, diverse, distributed data and maintaining the regulatory and ethical obligations attached to that data — through a structural architectural innovation rather than through legal compromise or technical approximation. </w:t>
      </w:r>
      <w:proofErr w:type="spellStart"/>
      <w:r>
        <w:rPr>
          <w:color w:val="222222"/>
        </w:rPr>
        <w:t>Organisations</w:t>
      </w:r>
      <w:proofErr w:type="spellEnd"/>
      <w:r>
        <w:rPr>
          <w:color w:val="222222"/>
        </w:rPr>
        <w:t xml:space="preserve"> in financial services, telecommunications, and insurance — all of which possess valuable distributed datasets that regulatory obligations prevent from </w:t>
      </w:r>
      <w:proofErr w:type="spellStart"/>
      <w:r>
        <w:rPr>
          <w:color w:val="222222"/>
        </w:rPr>
        <w:t>centralising</w:t>
      </w:r>
      <w:proofErr w:type="spellEnd"/>
      <w:r>
        <w:rPr>
          <w:color w:val="222222"/>
        </w:rPr>
        <w:t xml:space="preserve"> — have begun </w:t>
      </w:r>
      <w:proofErr w:type="spellStart"/>
      <w:r>
        <w:rPr>
          <w:color w:val="222222"/>
        </w:rPr>
        <w:t>operationalising</w:t>
      </w:r>
      <w:proofErr w:type="spellEnd"/>
      <w:r>
        <w:rPr>
          <w:color w:val="222222"/>
        </w:rPr>
        <w:t xml:space="preserve"> federated learning frameworks, with Google, Apple, and specialist AI firms including Flower and </w:t>
      </w:r>
      <w:proofErr w:type="spellStart"/>
      <w:r>
        <w:rPr>
          <w:color w:val="222222"/>
        </w:rPr>
        <w:t>PySyft</w:t>
      </w:r>
      <w:proofErr w:type="spellEnd"/>
      <w:r>
        <w:rPr>
          <w:color w:val="222222"/>
        </w:rPr>
        <w:t xml:space="preserve"> providing production-ready infrastructure.</w:t>
      </w:r>
    </w:p>
    <w:p w14:paraId="4A6C91A3" w14:textId="77777777" w:rsidR="0034566F" w:rsidRDefault="00C15805">
      <w:pPr>
        <w:spacing w:after="180" w:line="320" w:lineRule="auto"/>
        <w:jc w:val="both"/>
      </w:pPr>
      <w:r>
        <w:rPr>
          <w:color w:val="222222"/>
        </w:rPr>
        <w:t xml:space="preserve">Google's own infrastructure provides a relevant reference point outside healthcare. DeepMind's work on data </w:t>
      </w:r>
      <w:proofErr w:type="spellStart"/>
      <w:r>
        <w:rPr>
          <w:color w:val="222222"/>
        </w:rPr>
        <w:t>centre</w:t>
      </w:r>
      <w:proofErr w:type="spellEnd"/>
      <w:r>
        <w:rPr>
          <w:color w:val="222222"/>
        </w:rPr>
        <w:t xml:space="preserve"> cooling </w:t>
      </w:r>
      <w:proofErr w:type="spellStart"/>
      <w:r>
        <w:rPr>
          <w:color w:val="222222"/>
        </w:rPr>
        <w:t>optimisation</w:t>
      </w:r>
      <w:proofErr w:type="spellEnd"/>
      <w:r>
        <w:rPr>
          <w:color w:val="222222"/>
        </w:rPr>
        <w:t xml:space="preserve"> — in which reinforcement learning agents control cooling systems across Google's global data </w:t>
      </w:r>
      <w:proofErr w:type="spellStart"/>
      <w:r>
        <w:rPr>
          <w:color w:val="222222"/>
        </w:rPr>
        <w:t>centre</w:t>
      </w:r>
      <w:proofErr w:type="spellEnd"/>
      <w:r>
        <w:rPr>
          <w:color w:val="222222"/>
        </w:rPr>
        <w:t xml:space="preserve"> fleet — began as a </w:t>
      </w:r>
      <w:proofErr w:type="spellStart"/>
      <w:r>
        <w:rPr>
          <w:color w:val="222222"/>
        </w:rPr>
        <w:t>centralised</w:t>
      </w:r>
      <w:proofErr w:type="spellEnd"/>
      <w:r>
        <w:rPr>
          <w:color w:val="222222"/>
        </w:rPr>
        <w:t xml:space="preserve"> cloud AI application. Over successive iterations, the architecture evolved toward distributed, locally autonomous control loops, with each facility's AI agent operating on local sensor data and shared insights aggregated centrally, rather than all control decisions routed through a single inference point. Google reported cooling energy reductions of approximately 40 percent, attributing a material portion of the additional improvement, beyond the initial </w:t>
      </w:r>
      <w:proofErr w:type="spellStart"/>
      <w:r>
        <w:rPr>
          <w:color w:val="222222"/>
        </w:rPr>
        <w:t>centralised</w:t>
      </w:r>
      <w:proofErr w:type="spellEnd"/>
      <w:r>
        <w:rPr>
          <w:color w:val="222222"/>
        </w:rPr>
        <w:t xml:space="preserve"> implementation, to the reduced latency and higher update frequency enabled by local inference. The case is instructive because it comes from an </w:t>
      </w:r>
      <w:proofErr w:type="spellStart"/>
      <w:r>
        <w:rPr>
          <w:color w:val="222222"/>
        </w:rPr>
        <w:t>organisation</w:t>
      </w:r>
      <w:proofErr w:type="spellEnd"/>
      <w:r>
        <w:rPr>
          <w:color w:val="222222"/>
        </w:rPr>
        <w:t xml:space="preserve"> with both the technical resources to sustain cloud-only infrastructure indefinitely and the data to measure the marginal performance improvement from architectural distribution.</w:t>
      </w:r>
    </w:p>
    <w:p w14:paraId="421C0A02" w14:textId="77777777" w:rsidR="0034566F" w:rsidRDefault="0034566F">
      <w:pPr>
        <w:spacing w:after="80"/>
      </w:pPr>
    </w:p>
    <w:p w14:paraId="48B8C8DD" w14:textId="77777777" w:rsidR="0034566F" w:rsidRDefault="00C15805">
      <w:pPr>
        <w:pBdr>
          <w:bottom w:val="single" w:sz="6" w:space="4" w:color="2E6DA4"/>
        </w:pBdr>
        <w:spacing w:before="400" w:after="160"/>
      </w:pPr>
      <w:r>
        <w:rPr>
          <w:rFonts w:ascii="Arial" w:eastAsia="Arial" w:hAnsi="Arial" w:cs="Arial"/>
          <w:b/>
          <w:bCs/>
          <w:color w:val="1B3A6B"/>
          <w:sz w:val="30"/>
          <w:szCs w:val="30"/>
        </w:rPr>
        <w:t>5. Limitations and Honest Constraints</w:t>
      </w:r>
    </w:p>
    <w:p w14:paraId="73FEB3D4" w14:textId="77777777" w:rsidR="0034566F" w:rsidRDefault="0034566F">
      <w:pPr>
        <w:spacing w:after="80"/>
      </w:pPr>
    </w:p>
    <w:p w14:paraId="0D45BB4A" w14:textId="77777777" w:rsidR="0034566F" w:rsidRDefault="00C15805">
      <w:pPr>
        <w:spacing w:after="180" w:line="320" w:lineRule="auto"/>
        <w:jc w:val="both"/>
      </w:pPr>
      <w:r>
        <w:rPr>
          <w:color w:val="222222"/>
        </w:rPr>
        <w:t xml:space="preserve">No credible strategic analysis of edge AI should overstate its advantages. Three categories of genuine constraint warrant executive attention. First, the upfront capital investment required to deploy inference-capable hardware across a distributed device fleet is substantially higher than the operational expenditure model of cloud AI consumption, </w:t>
      </w:r>
      <w:r>
        <w:rPr>
          <w:color w:val="222222"/>
        </w:rPr>
        <w:lastRenderedPageBreak/>
        <w:t xml:space="preserve">and the business case requires careful modelling of </w:t>
      </w:r>
      <w:proofErr w:type="spellStart"/>
      <w:r>
        <w:rPr>
          <w:color w:val="222222"/>
        </w:rPr>
        <w:t>utilisation</w:t>
      </w:r>
      <w:proofErr w:type="spellEnd"/>
      <w:r>
        <w:rPr>
          <w:color w:val="222222"/>
        </w:rPr>
        <w:t xml:space="preserve"> rates, model refresh cycles, and hardware obsolescence timelines — typically three to five years for edge compute nodes — before a </w:t>
      </w:r>
      <w:proofErr w:type="spellStart"/>
      <w:r>
        <w:rPr>
          <w:color w:val="222222"/>
        </w:rPr>
        <w:t>favourable</w:t>
      </w:r>
      <w:proofErr w:type="spellEnd"/>
      <w:r>
        <w:rPr>
          <w:color w:val="222222"/>
        </w:rPr>
        <w:t xml:space="preserve"> return on investment can be demonstrated with confidence. Second, maintaining interpretability and audit trails across thousands of distributed inference nodes is meaningfully harder than in </w:t>
      </w:r>
      <w:proofErr w:type="spellStart"/>
      <w:r>
        <w:rPr>
          <w:color w:val="222222"/>
        </w:rPr>
        <w:t>centralised</w:t>
      </w:r>
      <w:proofErr w:type="spellEnd"/>
      <w:r>
        <w:rPr>
          <w:color w:val="222222"/>
        </w:rPr>
        <w:t xml:space="preserve"> architectures; regulated industries will need to invest in edge-native logging, monitoring, and explainability tooling, which remains less mature than its cloud counterpart. Third, the technical talent required to implement, operate, and evolve edge AI systems — combining expertise in embedded systems, machine-learning operations, network engineering, and hardware selection — is scarce and commands a premium that </w:t>
      </w:r>
      <w:proofErr w:type="spellStart"/>
      <w:r>
        <w:rPr>
          <w:color w:val="222222"/>
        </w:rPr>
        <w:t>organisations</w:t>
      </w:r>
      <w:proofErr w:type="spellEnd"/>
      <w:r>
        <w:rPr>
          <w:color w:val="222222"/>
        </w:rPr>
        <w:t xml:space="preserve"> entering this space from a pure cloud background should price into their planning. Edge AI is the right architecture for a growing class of critical applications; it is not, for most </w:t>
      </w:r>
      <w:proofErr w:type="spellStart"/>
      <w:r>
        <w:rPr>
          <w:color w:val="222222"/>
        </w:rPr>
        <w:t>organisations</w:t>
      </w:r>
      <w:proofErr w:type="spellEnd"/>
      <w:r>
        <w:rPr>
          <w:color w:val="222222"/>
        </w:rPr>
        <w:t>, a wholesale replacement for cloud AI, and a hybrid strategy that assigns workloads to the appropriate architectural tier based on their latency, privacy, and connectivity requirements is, in the majority of enterprise contexts, the practically optimal approach.</w:t>
      </w:r>
    </w:p>
    <w:p w14:paraId="472EAF51" w14:textId="77777777" w:rsidR="0034566F" w:rsidRDefault="0034566F">
      <w:pPr>
        <w:spacing w:after="80"/>
      </w:pPr>
    </w:p>
    <w:p w14:paraId="6508A16C" w14:textId="77777777" w:rsidR="0034566F" w:rsidRDefault="00C15805">
      <w:pPr>
        <w:pBdr>
          <w:bottom w:val="single" w:sz="6" w:space="4" w:color="2E6DA4"/>
        </w:pBdr>
        <w:spacing w:before="400" w:after="160"/>
      </w:pPr>
      <w:r>
        <w:rPr>
          <w:rFonts w:ascii="Arial" w:eastAsia="Arial" w:hAnsi="Arial" w:cs="Arial"/>
          <w:b/>
          <w:bCs/>
          <w:color w:val="1B3A6B"/>
          <w:sz w:val="30"/>
          <w:szCs w:val="30"/>
        </w:rPr>
        <w:t>6. Strategic Implications for Technology Executives</w:t>
      </w:r>
    </w:p>
    <w:p w14:paraId="172594C3" w14:textId="77777777" w:rsidR="0034566F" w:rsidRDefault="0034566F">
      <w:pPr>
        <w:spacing w:after="80"/>
      </w:pPr>
    </w:p>
    <w:p w14:paraId="17C8BF3B" w14:textId="77777777" w:rsidR="0034566F" w:rsidRDefault="00C15805">
      <w:pPr>
        <w:spacing w:after="180" w:line="320" w:lineRule="auto"/>
        <w:jc w:val="both"/>
      </w:pPr>
      <w:r>
        <w:rPr>
          <w:color w:val="222222"/>
        </w:rPr>
        <w:t>The argument assembled across this paper resolves to a practical strategic question: given the structural limitations of cloud AI for time-critical, bandwidth-constrained, privacy-sensitive, and connectivity-challenged applications, what decisions should technology executives be making now? The answer is not a wholesale architectural migration. It is a deliberate, workload-by-workload evaluation that applies a consistent analytical framework: if an application requires sub-100-millisecond response times, cannot tolerate sustained connectivity dependency, generates more data than it is economical or legal to transmit, or operates in a regulatory environment that constrains data movement, it belongs on an edge AI architecture. If none of those conditions apply, cloud AI remains the appropriate, cost-effective, and operationally simpler choice.</w:t>
      </w:r>
    </w:p>
    <w:p w14:paraId="0B5CEB5E" w14:textId="77777777" w:rsidR="0034566F" w:rsidRDefault="00C15805">
      <w:pPr>
        <w:spacing w:after="180" w:line="320" w:lineRule="auto"/>
        <w:jc w:val="both"/>
      </w:pPr>
      <w:r>
        <w:rPr>
          <w:color w:val="222222"/>
        </w:rPr>
        <w:t xml:space="preserve">For </w:t>
      </w:r>
      <w:proofErr w:type="spellStart"/>
      <w:r>
        <w:rPr>
          <w:color w:val="222222"/>
        </w:rPr>
        <w:t>organisations</w:t>
      </w:r>
      <w:proofErr w:type="spellEnd"/>
      <w:r>
        <w:rPr>
          <w:color w:val="222222"/>
        </w:rPr>
        <w:t xml:space="preserve"> in industrial sectors — manufacturing, energy, logistics, utilities — the immediate priority is identifying the production and operational processes where AI could deliver measurable value but where cloud latency or connectivity gaps have previously made deployment impractical. The hardware and software infrastructure for edge AI deployment is now sufficiently mature that the primary constraint is </w:t>
      </w:r>
      <w:proofErr w:type="spellStart"/>
      <w:r>
        <w:rPr>
          <w:color w:val="222222"/>
        </w:rPr>
        <w:lastRenderedPageBreak/>
        <w:t>organisational</w:t>
      </w:r>
      <w:proofErr w:type="spellEnd"/>
      <w:r>
        <w:rPr>
          <w:color w:val="222222"/>
        </w:rPr>
        <w:t xml:space="preserve">: defining the use case, securing the capital investment, and building or acquiring the operational capability to manage distributed AI infrastructure. </w:t>
      </w:r>
      <w:proofErr w:type="spellStart"/>
      <w:r>
        <w:rPr>
          <w:color w:val="222222"/>
        </w:rPr>
        <w:t>Organisations</w:t>
      </w:r>
      <w:proofErr w:type="spellEnd"/>
      <w:r>
        <w:rPr>
          <w:color w:val="222222"/>
        </w:rPr>
        <w:t xml:space="preserve"> that defer this investment while waiting for the technology to mature further will find that the competitive advantage has been captured by early movers.</w:t>
      </w:r>
    </w:p>
    <w:p w14:paraId="06BE19B8" w14:textId="77777777" w:rsidR="0034566F" w:rsidRDefault="00C15805">
      <w:pPr>
        <w:spacing w:after="180" w:line="320" w:lineRule="auto"/>
        <w:jc w:val="both"/>
      </w:pPr>
      <w:r>
        <w:rPr>
          <w:color w:val="222222"/>
        </w:rPr>
        <w:t xml:space="preserve">For </w:t>
      </w:r>
      <w:proofErr w:type="spellStart"/>
      <w:r>
        <w:rPr>
          <w:color w:val="222222"/>
        </w:rPr>
        <w:t>organisations</w:t>
      </w:r>
      <w:proofErr w:type="spellEnd"/>
      <w:r>
        <w:rPr>
          <w:color w:val="222222"/>
        </w:rPr>
        <w:t xml:space="preserve"> in regulated industries — financial services, healthcare, telecommunications, government — the regulatory dimension deserves primary attention. AI governance frameworks are tightening globally, and the compliance cost of cloud-centric AI architectures is rising. Building edge AI capability is, in part, a proactive response to regulatory trajectory: it positions the </w:t>
      </w:r>
      <w:proofErr w:type="spellStart"/>
      <w:r>
        <w:rPr>
          <w:color w:val="222222"/>
        </w:rPr>
        <w:t>organisation</w:t>
      </w:r>
      <w:proofErr w:type="spellEnd"/>
      <w:r>
        <w:rPr>
          <w:color w:val="222222"/>
        </w:rPr>
        <w:t xml:space="preserve"> to comply with data-sovereignty and algorithmic-accountability requirements that are likely to become more stringent over the next three to five years, rather than requiring expensive architectural retrofitting when legislation mandates change.</w:t>
      </w:r>
    </w:p>
    <w:p w14:paraId="45ED4D88" w14:textId="77777777" w:rsidR="0034566F" w:rsidRDefault="00C15805">
      <w:pPr>
        <w:spacing w:after="180" w:line="320" w:lineRule="auto"/>
        <w:jc w:val="both"/>
      </w:pPr>
      <w:r>
        <w:rPr>
          <w:color w:val="222222"/>
        </w:rPr>
        <w:t>For technology leadership teams broadly, the strategic implication is to resist the gravitational pull of incumbency. Cloud AI infrastructure represents significant existing investment, established vendor relationships, and familiar operational processes. These are real switching costs, and they should be taken seriously in any business case analysis. But the question is not whether edge AI is worth the disruption in the abstract; the question is whether specific, high-value applications — those where the failure modes of cloud AI are real operational constraints rather than theoretical concerns — justify the investment in a materially superior architecture. In those applications, the answer is increasingly clear.</w:t>
      </w:r>
    </w:p>
    <w:p w14:paraId="3BC44242" w14:textId="77777777" w:rsidR="0034566F" w:rsidRDefault="00C15805">
      <w:pPr>
        <w:spacing w:after="180" w:line="320" w:lineRule="auto"/>
        <w:jc w:val="both"/>
      </w:pPr>
      <w:r>
        <w:rPr>
          <w:color w:val="222222"/>
        </w:rPr>
        <w:t xml:space="preserve">The trajectory of hardware capability, software tooling, and regulatory context all point in the same direction: edge AI will account for a progressively larger share of enterprise AI inference over the next decade. Gartner projected in late 2024 that by 2028, more than 50 percent of new enterprise AI deployments would incorporate edge inference components, up from approximately 15 percent at that time. The </w:t>
      </w:r>
      <w:proofErr w:type="spellStart"/>
      <w:r>
        <w:rPr>
          <w:color w:val="222222"/>
        </w:rPr>
        <w:t>organisations</w:t>
      </w:r>
      <w:proofErr w:type="spellEnd"/>
      <w:r>
        <w:rPr>
          <w:color w:val="222222"/>
        </w:rPr>
        <w:t xml:space="preserve"> best positioned to capture the value of that shift are not those that have declared edge AI a strategic priority in their annual reports, but those that have begun the methodical, engineering-led work of identifying appropriate use cases, piloting at small scale, measuring results with discipline, and building the operational capability to manage distributed AI infrastructure as a core competency.</w:t>
      </w:r>
    </w:p>
    <w:p w14:paraId="732EAE5F" w14:textId="77777777" w:rsidR="0034566F" w:rsidRDefault="00C15805">
      <w:pPr>
        <w:pBdr>
          <w:left w:val="single" w:sz="18" w:space="12" w:color="4A90C4"/>
        </w:pBdr>
        <w:shd w:val="clear" w:color="auto" w:fill="D9E4F0"/>
        <w:spacing w:before="280" w:after="280"/>
        <w:ind w:left="720" w:right="720"/>
      </w:pPr>
      <w:r>
        <w:rPr>
          <w:i/>
          <w:iCs/>
          <w:color w:val="1B3A6B"/>
        </w:rPr>
        <w:t xml:space="preserve">"The strategic question is not whether to adopt edge AI. It is whether your </w:t>
      </w:r>
      <w:proofErr w:type="spellStart"/>
      <w:r>
        <w:rPr>
          <w:i/>
          <w:iCs/>
          <w:color w:val="1B3A6B"/>
        </w:rPr>
        <w:t>organisation</w:t>
      </w:r>
      <w:proofErr w:type="spellEnd"/>
      <w:r>
        <w:rPr>
          <w:i/>
          <w:iCs/>
          <w:color w:val="1B3A6B"/>
        </w:rPr>
        <w:t xml:space="preserve"> will lead that transition in your sector or follow competitors who chose to move earlier."</w:t>
      </w:r>
    </w:p>
    <w:p w14:paraId="60E46EE4" w14:textId="77777777" w:rsidR="0034566F" w:rsidRDefault="00C15805">
      <w:pPr>
        <w:spacing w:after="180" w:line="320" w:lineRule="auto"/>
        <w:jc w:val="both"/>
      </w:pPr>
      <w:r>
        <w:rPr>
          <w:color w:val="222222"/>
        </w:rPr>
        <w:lastRenderedPageBreak/>
        <w:t xml:space="preserve">The competitive dynamics of AI deployment are entering a new phase. The first phase was defined by access: which </w:t>
      </w:r>
      <w:proofErr w:type="spellStart"/>
      <w:r>
        <w:rPr>
          <w:color w:val="222222"/>
        </w:rPr>
        <w:t>organisations</w:t>
      </w:r>
      <w:proofErr w:type="spellEnd"/>
      <w:r>
        <w:rPr>
          <w:color w:val="222222"/>
        </w:rPr>
        <w:t xml:space="preserve"> could afford cloud AI infrastructure and the talent to deploy it. That advantage has eroded as cloud AI has </w:t>
      </w:r>
      <w:proofErr w:type="spellStart"/>
      <w:r>
        <w:rPr>
          <w:color w:val="222222"/>
        </w:rPr>
        <w:t>commoditised</w:t>
      </w:r>
      <w:proofErr w:type="spellEnd"/>
      <w:r>
        <w:rPr>
          <w:color w:val="222222"/>
        </w:rPr>
        <w:t xml:space="preserve">. The emerging phase will be defined by architecture: which </w:t>
      </w:r>
      <w:proofErr w:type="spellStart"/>
      <w:r>
        <w:rPr>
          <w:color w:val="222222"/>
        </w:rPr>
        <w:t>organisations</w:t>
      </w:r>
      <w:proofErr w:type="spellEnd"/>
      <w:r>
        <w:rPr>
          <w:color w:val="222222"/>
        </w:rPr>
        <w:t xml:space="preserve"> have built the right infrastructure, in the right locations, to execute AI inference with the latency, privacy, and resilience that their most demanding applications require. Edge AI is not a niche technology for specialists; it is the architectural answer to the next generation of enterprise AI requirements. Executives who understand its structural advantages — and its genuine limitations — will be better positioned to make the capital allocation and </w:t>
      </w:r>
      <w:proofErr w:type="spellStart"/>
      <w:r>
        <w:rPr>
          <w:color w:val="222222"/>
        </w:rPr>
        <w:t>organisational</w:t>
      </w:r>
      <w:proofErr w:type="spellEnd"/>
      <w:r>
        <w:rPr>
          <w:color w:val="222222"/>
        </w:rPr>
        <w:t xml:space="preserve"> investment decisions that determine competitive standing over the next decade.</w:t>
      </w:r>
    </w:p>
    <w:p w14:paraId="367F0EC0" w14:textId="77777777" w:rsidR="0034566F" w:rsidRDefault="0034566F">
      <w:pPr>
        <w:spacing w:after="80"/>
      </w:pPr>
    </w:p>
    <w:p w14:paraId="4365A122" w14:textId="77777777" w:rsidR="0034566F" w:rsidRDefault="00C15805">
      <w:pPr>
        <w:pBdr>
          <w:bottom w:val="single" w:sz="6" w:space="4" w:color="2E6DA4"/>
        </w:pBdr>
        <w:spacing w:before="400" w:after="160"/>
      </w:pPr>
      <w:r>
        <w:rPr>
          <w:rFonts w:ascii="Arial" w:eastAsia="Arial" w:hAnsi="Arial" w:cs="Arial"/>
          <w:b/>
          <w:bCs/>
          <w:color w:val="1B3A6B"/>
          <w:sz w:val="30"/>
          <w:szCs w:val="30"/>
        </w:rPr>
        <w:t>Conclusion</w:t>
      </w:r>
    </w:p>
    <w:p w14:paraId="2CE376D6" w14:textId="77777777" w:rsidR="0034566F" w:rsidRDefault="0034566F">
      <w:pPr>
        <w:spacing w:after="80"/>
      </w:pPr>
    </w:p>
    <w:p w14:paraId="2D52AF48" w14:textId="77777777" w:rsidR="0034566F" w:rsidRDefault="00C15805">
      <w:pPr>
        <w:spacing w:after="180" w:line="320" w:lineRule="auto"/>
        <w:jc w:val="both"/>
      </w:pPr>
      <w:r>
        <w:rPr>
          <w:color w:val="222222"/>
        </w:rPr>
        <w:t>Cloud AI and edge AI are not competing products. They are complementary architectural tiers, each appropriate to a specific class of problem. Cloud AI excels at training, batch analytics, and applications tolerant of network latency. Edge AI is structurally superior for any application where inference must be fast, private, continuously available, or economically constrained by bandwidth. The evidence from industrial manufacturing, cybersecurity, and healthcare diagnostics confirms that edge AI is not a theoretical improvement but a practically demonstrated capability delivering material operational outcomes. The limitations are real — higher initial capital cost, greater operational complexity, and a requirement for specialist talent — but they are tractable. What is not tractable is asking a cloud AI architecture to deliver 10-millisecond response times, operate without network connectivity, or process sensitive data it is legally prohibited from receiving.</w:t>
      </w:r>
    </w:p>
    <w:p w14:paraId="581B3831" w14:textId="77777777" w:rsidR="0034566F" w:rsidRDefault="00C15805">
      <w:pPr>
        <w:spacing w:after="180" w:line="320" w:lineRule="auto"/>
        <w:jc w:val="both"/>
      </w:pPr>
      <w:r>
        <w:rPr>
          <w:color w:val="222222"/>
        </w:rPr>
        <w:t xml:space="preserve">The </w:t>
      </w:r>
      <w:proofErr w:type="spellStart"/>
      <w:r>
        <w:rPr>
          <w:color w:val="222222"/>
        </w:rPr>
        <w:t>organisations</w:t>
      </w:r>
      <w:proofErr w:type="spellEnd"/>
      <w:r>
        <w:rPr>
          <w:color w:val="222222"/>
        </w:rPr>
        <w:t xml:space="preserve"> that will extract the most value from AI over the next decade are those that treat architecture as a strategic decision, not an infrastructure default. That means maintaining cloud AI where it is the right tool, and building edge AI capability where the physics, economics, or regulatory landscape demand it. The boundary between the two is not fixed; it will shift as hardware becomes more capable, software tooling matures, and regulatory requirements evolve. Navigating that boundary with precision — rather than </w:t>
      </w:r>
      <w:r>
        <w:rPr>
          <w:color w:val="222222"/>
        </w:rPr>
        <w:lastRenderedPageBreak/>
        <w:t>defaulting to the familiar comfort of a single architectural paradigm — is the defining AI infrastructure challenge of the current decade.</w:t>
      </w:r>
    </w:p>
    <w:p w14:paraId="2747A43E" w14:textId="77777777" w:rsidR="0034566F" w:rsidRDefault="0034566F">
      <w:pPr>
        <w:spacing w:after="200"/>
      </w:pPr>
    </w:p>
    <w:p w14:paraId="02749C58" w14:textId="77777777" w:rsidR="0034566F" w:rsidRDefault="00C15805">
      <w:pPr>
        <w:pBdr>
          <w:top w:val="single" w:sz="4" w:space="8" w:color="CCCCCC"/>
        </w:pBdr>
        <w:spacing w:after="80"/>
      </w:pPr>
      <w:r>
        <w:rPr>
          <w:rFonts w:ascii="Arial" w:eastAsia="Arial" w:hAnsi="Arial" w:cs="Arial"/>
          <w:b/>
          <w:bCs/>
          <w:color w:val="1B3A6B"/>
          <w:sz w:val="22"/>
          <w:szCs w:val="22"/>
        </w:rPr>
        <w:t>About This Paper</w:t>
      </w:r>
    </w:p>
    <w:p w14:paraId="4E9E89D3" w14:textId="72B9D694" w:rsidR="0034566F" w:rsidRDefault="00C15805">
      <w:pPr>
        <w:spacing w:after="180" w:line="320" w:lineRule="auto"/>
        <w:jc w:val="both"/>
        <w:rPr>
          <w:color w:val="555555"/>
          <w:sz w:val="20"/>
          <w:szCs w:val="20"/>
        </w:rPr>
      </w:pPr>
      <w:r>
        <w:rPr>
          <w:color w:val="555555"/>
          <w:sz w:val="20"/>
          <w:szCs w:val="20"/>
        </w:rPr>
        <w:t xml:space="preserve">This white paper was prepared by the AI Strategy Practice for executive distribution. The analysis draws on published academic literature, publicly available vendor case studies, regulatory documentation, and industry research reports current to March 2026. It does not constitute financial, legal, or procurement advice. </w:t>
      </w:r>
      <w:r w:rsidR="001F652C">
        <w:rPr>
          <w:color w:val="555555"/>
          <w:sz w:val="20"/>
          <w:szCs w:val="20"/>
        </w:rPr>
        <w:t>Organizations</w:t>
      </w:r>
      <w:r>
        <w:rPr>
          <w:color w:val="555555"/>
          <w:sz w:val="20"/>
          <w:szCs w:val="20"/>
        </w:rPr>
        <w:t xml:space="preserve"> should conduct independent due diligence appropriate to their specific operational context before making material architectural investments.</w:t>
      </w:r>
    </w:p>
    <w:sectPr w:rsidR="0034566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97418" w14:textId="77777777" w:rsidR="00496F4B" w:rsidRDefault="00496F4B">
      <w:r>
        <w:separator/>
      </w:r>
    </w:p>
  </w:endnote>
  <w:endnote w:type="continuationSeparator" w:id="0">
    <w:p w14:paraId="635CE607" w14:textId="77777777" w:rsidR="00496F4B" w:rsidRDefault="0049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9C1A" w14:textId="52FBCFD1" w:rsidR="0034566F" w:rsidRDefault="00C15805">
    <w:pPr>
      <w:pBdr>
        <w:top w:val="single" w:sz="4" w:space="4" w:color="CCCCCC"/>
      </w:pBdr>
      <w:tabs>
        <w:tab w:val="right" w:pos="9360"/>
      </w:tabs>
    </w:pPr>
    <w:r>
      <w:rPr>
        <w:rFonts w:ascii="Arial" w:eastAsia="Arial" w:hAnsi="Arial" w:cs="Arial"/>
        <w:color w:val="999999"/>
        <w:sz w:val="16"/>
        <w:szCs w:val="16"/>
      </w:rPr>
      <w:t>Confidential — For Executive Distribution Only</w:t>
    </w:r>
    <w:r>
      <w:rPr>
        <w:rFonts w:ascii="Arial" w:eastAsia="Arial" w:hAnsi="Arial" w:cs="Arial"/>
        <w:sz w:val="16"/>
        <w:szCs w:val="16"/>
      </w:rPr>
      <w:tab/>
    </w:r>
    <w:r>
      <w:rPr>
        <w:rFonts w:ascii="Arial" w:eastAsia="Arial" w:hAnsi="Arial" w:cs="Arial"/>
        <w:color w:val="999999"/>
        <w:sz w:val="16"/>
        <w:szCs w:val="16"/>
      </w:rPr>
      <w:t xml:space="preserve">Page </w:t>
    </w:r>
    <w:r>
      <w:rPr>
        <w:rFonts w:ascii="Arial" w:eastAsia="Arial" w:hAnsi="Arial" w:cs="Arial"/>
        <w:color w:val="999999"/>
        <w:sz w:val="16"/>
        <w:szCs w:val="16"/>
      </w:rPr>
      <w:fldChar w:fldCharType="begin"/>
    </w:r>
    <w:r>
      <w:rPr>
        <w:rFonts w:ascii="Arial" w:eastAsia="Arial" w:hAnsi="Arial" w:cs="Arial"/>
        <w:color w:val="999999"/>
        <w:sz w:val="16"/>
        <w:szCs w:val="16"/>
      </w:rPr>
      <w:instrText>PAGE</w:instrText>
    </w:r>
    <w:r>
      <w:rPr>
        <w:rFonts w:ascii="Arial" w:eastAsia="Arial" w:hAnsi="Arial" w:cs="Arial"/>
        <w:color w:val="999999"/>
        <w:sz w:val="16"/>
        <w:szCs w:val="16"/>
      </w:rPr>
      <w:fldChar w:fldCharType="separate"/>
    </w:r>
    <w:r w:rsidR="001F652C">
      <w:rPr>
        <w:rFonts w:ascii="Arial" w:eastAsia="Arial" w:hAnsi="Arial" w:cs="Arial"/>
        <w:noProof/>
        <w:color w:val="999999"/>
        <w:sz w:val="16"/>
        <w:szCs w:val="16"/>
      </w:rPr>
      <w:t>3</w:t>
    </w:r>
    <w:r>
      <w:rPr>
        <w:rFonts w:ascii="Arial" w:eastAsia="Arial" w:hAnsi="Arial" w:cs="Arial"/>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6B1A8" w14:textId="77777777" w:rsidR="00496F4B" w:rsidRDefault="00496F4B">
      <w:r>
        <w:separator/>
      </w:r>
    </w:p>
  </w:footnote>
  <w:footnote w:type="continuationSeparator" w:id="0">
    <w:p w14:paraId="6D84C32A" w14:textId="77777777" w:rsidR="00496F4B" w:rsidRDefault="00496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D712" w14:textId="77777777" w:rsidR="0034566F" w:rsidRDefault="00C15805">
    <w:pPr>
      <w:pBdr>
        <w:bottom w:val="single" w:sz="4" w:space="6" w:color="2E6DA4"/>
      </w:pBdr>
    </w:pPr>
    <w:r>
      <w:rPr>
        <w:rFonts w:ascii="Arial" w:eastAsia="Arial" w:hAnsi="Arial" w:cs="Arial"/>
        <w:color w:val="777777"/>
        <w:sz w:val="18"/>
        <w:szCs w:val="18"/>
      </w:rPr>
      <w:t>CLOUD AI vs. EDGE AI  |  Technology Strategy White Paper</w:t>
    </w:r>
    <w:r>
      <w:rPr>
        <w:rFonts w:ascii="Arial" w:eastAsia="Arial" w:hAnsi="Arial" w:cs="Arial"/>
        <w:color w:val="999999"/>
        <w:sz w:val="18"/>
        <w:szCs w:val="18"/>
      </w:rPr>
      <w:t xml:space="preserve">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61328"/>
    <w:multiLevelType w:val="hybridMultilevel"/>
    <w:tmpl w:val="FFFFFFFF"/>
    <w:lvl w:ilvl="0" w:tplc="2A4AC07A">
      <w:start w:val="1"/>
      <w:numFmt w:val="bullet"/>
      <w:lvlText w:val="●"/>
      <w:lvlJc w:val="left"/>
      <w:pPr>
        <w:ind w:left="720" w:hanging="360"/>
      </w:pPr>
    </w:lvl>
    <w:lvl w:ilvl="1" w:tplc="B9F0B138">
      <w:start w:val="1"/>
      <w:numFmt w:val="bullet"/>
      <w:lvlText w:val="○"/>
      <w:lvlJc w:val="left"/>
      <w:pPr>
        <w:ind w:left="1440" w:hanging="360"/>
      </w:pPr>
    </w:lvl>
    <w:lvl w:ilvl="2" w:tplc="4F1C4F12">
      <w:start w:val="1"/>
      <w:numFmt w:val="bullet"/>
      <w:lvlText w:val="■"/>
      <w:lvlJc w:val="left"/>
      <w:pPr>
        <w:ind w:left="2160" w:hanging="360"/>
      </w:pPr>
    </w:lvl>
    <w:lvl w:ilvl="3" w:tplc="BF5E15AE">
      <w:start w:val="1"/>
      <w:numFmt w:val="bullet"/>
      <w:lvlText w:val="●"/>
      <w:lvlJc w:val="left"/>
      <w:pPr>
        <w:ind w:left="2880" w:hanging="360"/>
      </w:pPr>
    </w:lvl>
    <w:lvl w:ilvl="4" w:tplc="03CA9D3C">
      <w:start w:val="1"/>
      <w:numFmt w:val="bullet"/>
      <w:lvlText w:val="○"/>
      <w:lvlJc w:val="left"/>
      <w:pPr>
        <w:ind w:left="3600" w:hanging="360"/>
      </w:pPr>
    </w:lvl>
    <w:lvl w:ilvl="5" w:tplc="6EC86980">
      <w:start w:val="1"/>
      <w:numFmt w:val="bullet"/>
      <w:lvlText w:val="■"/>
      <w:lvlJc w:val="left"/>
      <w:pPr>
        <w:ind w:left="4320" w:hanging="360"/>
      </w:pPr>
    </w:lvl>
    <w:lvl w:ilvl="6" w:tplc="E3D4D5DE">
      <w:start w:val="1"/>
      <w:numFmt w:val="bullet"/>
      <w:lvlText w:val="●"/>
      <w:lvlJc w:val="left"/>
      <w:pPr>
        <w:ind w:left="5040" w:hanging="360"/>
      </w:pPr>
    </w:lvl>
    <w:lvl w:ilvl="7" w:tplc="39A6F132">
      <w:start w:val="1"/>
      <w:numFmt w:val="bullet"/>
      <w:lvlText w:val="●"/>
      <w:lvlJc w:val="left"/>
      <w:pPr>
        <w:ind w:left="5760" w:hanging="360"/>
      </w:pPr>
    </w:lvl>
    <w:lvl w:ilvl="8" w:tplc="8FECBCD8">
      <w:start w:val="1"/>
      <w:numFmt w:val="bullet"/>
      <w:lvlText w:val="●"/>
      <w:lvlJc w:val="left"/>
      <w:pPr>
        <w:ind w:left="6480" w:hanging="360"/>
      </w:pPr>
    </w:lvl>
  </w:abstractNum>
  <w:num w:numId="1" w16cid:durableId="1923447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66F"/>
    <w:rsid w:val="001F652C"/>
    <w:rsid w:val="0034566F"/>
    <w:rsid w:val="00496F4B"/>
    <w:rsid w:val="00601D20"/>
    <w:rsid w:val="00BE4608"/>
    <w:rsid w:val="00C1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D255"/>
  <w15:docId w15:val="{9E0FFF44-83F5-D947-8B9E-75A9FA1F8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Arial" w:eastAsia="Arial" w:hAnsi="Arial" w:cs="Arial"/>
      <w:b/>
      <w:bCs/>
      <w:color w:val="1B3A6B"/>
      <w:sz w:val="36"/>
      <w:szCs w:val="36"/>
    </w:rPr>
  </w:style>
  <w:style w:type="paragraph" w:styleId="Heading2">
    <w:name w:val="heading 2"/>
    <w:uiPriority w:val="9"/>
    <w:semiHidden/>
    <w:unhideWhenUsed/>
    <w:qFormat/>
    <w:pPr>
      <w:spacing w:before="320" w:after="160"/>
      <w:outlineLvl w:val="1"/>
    </w:pPr>
    <w:rPr>
      <w:rFonts w:ascii="Arial" w:eastAsia="Arial" w:hAnsi="Arial" w:cs="Arial"/>
      <w:b/>
      <w:bCs/>
      <w:color w:val="2E6DA4"/>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4966</Words>
  <Characters>28309</Characters>
  <Application>Microsoft Office Word</Application>
  <DocSecurity>0</DocSecurity>
  <Lines>235</Lines>
  <Paragraphs>66</Paragraphs>
  <ScaleCrop>false</ScaleCrop>
  <Company/>
  <LinksUpToDate>false</LinksUpToDate>
  <CharactersWithSpaces>33209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Umar Rashid</cp:lastModifiedBy>
  <cp:revision>3</cp:revision>
  <dcterms:created xsi:type="dcterms:W3CDTF">2026-03-29T19:30:00Z</dcterms:created>
  <dcterms:modified xsi:type="dcterms:W3CDTF">2026-08-03T09:12:00Z</dcterms:modified>
</cp:coreProperties>
</file>