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7E325" w14:textId="77777777" w:rsidR="0026306B" w:rsidRPr="0026306B" w:rsidRDefault="0026306B" w:rsidP="0026306B">
      <w:pPr>
        <w:shd w:val="clear" w:color="auto" w:fill="FFFFFF"/>
        <w:spacing w:after="360" w:line="720" w:lineRule="atLeast"/>
        <w:outlineLvl w:val="0"/>
        <w:rPr>
          <w:rFonts w:ascii="Helvetica" w:eastAsia="Times New Roman" w:hAnsi="Helvetica" w:cs="Helvetica"/>
          <w:color w:val="313030"/>
          <w:kern w:val="36"/>
          <w:sz w:val="54"/>
          <w:szCs w:val="54"/>
          <w:lang w:val="en-PK" w:eastAsia="en-PK"/>
        </w:rPr>
      </w:pPr>
      <w:r w:rsidRPr="0026306B">
        <w:rPr>
          <w:rFonts w:ascii="Helvetica" w:eastAsia="Times New Roman" w:hAnsi="Helvetica" w:cs="Helvetica"/>
          <w:color w:val="313030"/>
          <w:kern w:val="36"/>
          <w:sz w:val="54"/>
          <w:szCs w:val="54"/>
          <w:lang w:val="en-PK" w:eastAsia="en-PK"/>
        </w:rPr>
        <w:t>Write Concern for Replica Sets</w:t>
      </w:r>
    </w:p>
    <w:p w14:paraId="2341E01B" w14:textId="77777777" w:rsidR="0026306B" w:rsidRPr="0026306B" w:rsidRDefault="0026306B" w:rsidP="0026306B">
      <w:pPr>
        <w:shd w:val="clear" w:color="auto" w:fill="FFFFFF"/>
        <w:spacing w:before="360" w:after="360" w:line="240" w:lineRule="auto"/>
        <w:rPr>
          <w:rFonts w:ascii="Helvetica" w:eastAsia="Times New Roman" w:hAnsi="Helvetica" w:cs="Helvetica"/>
          <w:b/>
          <w:bCs/>
          <w:color w:val="494747"/>
          <w:sz w:val="26"/>
          <w:szCs w:val="26"/>
          <w:lang w:val="en-PK" w:eastAsia="en-PK"/>
        </w:rPr>
      </w:pPr>
      <w:r w:rsidRPr="0026306B">
        <w:rPr>
          <w:rFonts w:ascii="Helvetica" w:eastAsia="Times New Roman" w:hAnsi="Helvetica" w:cs="Helvetica"/>
          <w:b/>
          <w:bCs/>
          <w:color w:val="494747"/>
          <w:sz w:val="26"/>
          <w:szCs w:val="26"/>
          <w:lang w:val="en-PK" w:eastAsia="en-PK"/>
        </w:rPr>
        <w:t>On this page</w:t>
      </w:r>
    </w:p>
    <w:p w14:paraId="313F213C" w14:textId="77777777" w:rsidR="0026306B" w:rsidRPr="0026306B" w:rsidRDefault="0026306B" w:rsidP="0026306B">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 w:anchor="verify-write-operations-to-replica-sets" w:history="1">
        <w:r w:rsidRPr="0026306B">
          <w:rPr>
            <w:rFonts w:ascii="Helvetica" w:eastAsia="Times New Roman" w:hAnsi="Helvetica" w:cs="Helvetica"/>
            <w:color w:val="006CBC"/>
            <w:sz w:val="24"/>
            <w:szCs w:val="24"/>
            <w:lang w:val="en-PK" w:eastAsia="en-PK"/>
          </w:rPr>
          <w:t>Verify Write Operations to Replica Sets</w:t>
        </w:r>
      </w:hyperlink>
    </w:p>
    <w:p w14:paraId="5DEAC1D4" w14:textId="77777777" w:rsidR="0026306B" w:rsidRPr="0026306B" w:rsidRDefault="0026306B" w:rsidP="0026306B">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6" w:anchor="modify-default-write-concern" w:history="1">
        <w:r w:rsidRPr="0026306B">
          <w:rPr>
            <w:rFonts w:ascii="Helvetica" w:eastAsia="Times New Roman" w:hAnsi="Helvetica" w:cs="Helvetica"/>
            <w:color w:val="006CBC"/>
            <w:sz w:val="24"/>
            <w:szCs w:val="24"/>
            <w:lang w:val="en-PK" w:eastAsia="en-PK"/>
          </w:rPr>
          <w:t>Modify Default Write Concern</w:t>
        </w:r>
      </w:hyperlink>
    </w:p>
    <w:p w14:paraId="121AC35A" w14:textId="77777777" w:rsidR="0026306B" w:rsidRPr="0026306B" w:rsidRDefault="0026306B" w:rsidP="0026306B">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7" w:anchor="custom-write-concerns" w:history="1">
        <w:r w:rsidRPr="0026306B">
          <w:rPr>
            <w:rFonts w:ascii="Helvetica" w:eastAsia="Times New Roman" w:hAnsi="Helvetica" w:cs="Helvetica"/>
            <w:color w:val="006CBC"/>
            <w:sz w:val="24"/>
            <w:szCs w:val="24"/>
            <w:lang w:val="en-PK" w:eastAsia="en-PK"/>
          </w:rPr>
          <w:t>Custom Write Concerns</w:t>
        </w:r>
      </w:hyperlink>
    </w:p>
    <w:p w14:paraId="27C5054D"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hyperlink r:id="rId8" w:anchor="write-concern" w:history="1">
        <w:r w:rsidRPr="0026306B">
          <w:rPr>
            <w:rFonts w:ascii="Helvetica" w:eastAsia="Times New Roman" w:hAnsi="Helvetica" w:cs="Helvetica"/>
            <w:color w:val="006CBC"/>
            <w:sz w:val="24"/>
            <w:szCs w:val="24"/>
            <w:lang w:val="en-PK" w:eastAsia="en-PK"/>
          </w:rPr>
          <w:t>Write concern</w:t>
        </w:r>
      </w:hyperlink>
      <w:r w:rsidRPr="0026306B">
        <w:rPr>
          <w:rFonts w:ascii="Helvetica" w:eastAsia="Times New Roman" w:hAnsi="Helvetica" w:cs="Helvetica"/>
          <w:color w:val="494747"/>
          <w:sz w:val="24"/>
          <w:szCs w:val="24"/>
          <w:lang w:val="en-PK" w:eastAsia="en-PK"/>
        </w:rPr>
        <w:t> for replica sets describe the number of data-bearing members (i.e. the primary and secondaries, but not arbiters) that must acknowledge a write operation before the operation returns as successful. A member can only acknowledge a write operation after it has received and applied the write successfully.</w:t>
      </w:r>
    </w:p>
    <w:p w14:paraId="4C6917E4"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For replica sets, the default write concern of </w:t>
      </w:r>
      <w:r w:rsidRPr="0026306B">
        <w:rPr>
          <w:rFonts w:ascii="Courier New" w:eastAsia="Times New Roman" w:hAnsi="Courier New" w:cs="Courier New"/>
          <w:color w:val="000000"/>
          <w:sz w:val="24"/>
          <w:szCs w:val="24"/>
          <w:lang w:val="en-PK" w:eastAsia="en-PK"/>
        </w:rPr>
        <w:t>w:</w:t>
      </w:r>
      <w:r w:rsidRPr="0026306B">
        <w:rPr>
          <w:rFonts w:ascii="Courier New" w:eastAsia="Times New Roman" w:hAnsi="Courier New" w:cs="Courier New"/>
          <w:color w:val="000000"/>
          <w:sz w:val="20"/>
          <w:szCs w:val="20"/>
          <w:lang w:val="en-PK" w:eastAsia="en-PK"/>
        </w:rPr>
        <w:t> </w:t>
      </w:r>
      <w:r w:rsidRPr="0026306B">
        <w:rPr>
          <w:rFonts w:ascii="Courier New" w:eastAsia="Times New Roman" w:hAnsi="Courier New" w:cs="Courier New"/>
          <w:color w:val="000000"/>
          <w:sz w:val="24"/>
          <w:szCs w:val="24"/>
          <w:lang w:val="en-PK" w:eastAsia="en-PK"/>
        </w:rPr>
        <w:t>1</w:t>
      </w:r>
      <w:r w:rsidRPr="0026306B">
        <w:rPr>
          <w:rFonts w:ascii="Helvetica" w:eastAsia="Times New Roman" w:hAnsi="Helvetica" w:cs="Helvetica"/>
          <w:color w:val="494747"/>
          <w:sz w:val="24"/>
          <w:szCs w:val="24"/>
          <w:lang w:val="en-PK" w:eastAsia="en-PK"/>
        </w:rPr>
        <w:t> requires that only the primary replica set member acknowledge the write before returning write concern acknowledgment. You can specify an integer value greater than </w:t>
      </w:r>
      <w:r w:rsidRPr="0026306B">
        <w:rPr>
          <w:rFonts w:ascii="Courier New" w:eastAsia="Times New Roman" w:hAnsi="Courier New" w:cs="Courier New"/>
          <w:color w:val="000000"/>
          <w:sz w:val="24"/>
          <w:szCs w:val="24"/>
          <w:lang w:val="en-PK" w:eastAsia="en-PK"/>
        </w:rPr>
        <w:t>1</w:t>
      </w:r>
      <w:r w:rsidRPr="0026306B">
        <w:rPr>
          <w:rFonts w:ascii="Helvetica" w:eastAsia="Times New Roman" w:hAnsi="Helvetica" w:cs="Helvetica"/>
          <w:color w:val="494747"/>
          <w:sz w:val="24"/>
          <w:szCs w:val="24"/>
          <w:lang w:val="en-PK" w:eastAsia="en-PK"/>
        </w:rPr>
        <w:t> to require acknowledgment from the primary and as many secondaries as needed to meet the specified value, up to the total number of data-bearing members in the replica set.</w:t>
      </w:r>
    </w:p>
    <w:p w14:paraId="76C65327"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Write operations with a write concern of </w:t>
      </w:r>
      <w:hyperlink r:id="rId9" w:anchor="writeconcern.%22majority%22" w:tooltip="&quot;majority&quot;" w:history="1">
        <w:r w:rsidRPr="0026306B">
          <w:rPr>
            <w:rFonts w:ascii="Courier New" w:eastAsia="Times New Roman" w:hAnsi="Courier New" w:cs="Courier New"/>
            <w:color w:val="006CBC"/>
            <w:sz w:val="24"/>
            <w:szCs w:val="24"/>
            <w:lang w:val="en-PK" w:eastAsia="en-PK"/>
          </w:rPr>
          <w:t>"majority"</w:t>
        </w:r>
      </w:hyperlink>
      <w:r w:rsidRPr="0026306B">
        <w:rPr>
          <w:rFonts w:ascii="Helvetica" w:eastAsia="Times New Roman" w:hAnsi="Helvetica" w:cs="Helvetica"/>
          <w:color w:val="494747"/>
          <w:sz w:val="24"/>
          <w:szCs w:val="24"/>
          <w:lang w:val="en-PK" w:eastAsia="en-PK"/>
        </w:rPr>
        <w:t> require acknowledgement that the write operations have propagated to a </w:t>
      </w:r>
      <w:hyperlink r:id="rId10" w:anchor="calculating-majority-count" w:history="1">
        <w:r w:rsidRPr="0026306B">
          <w:rPr>
            <w:rFonts w:ascii="Helvetica" w:eastAsia="Times New Roman" w:hAnsi="Helvetica" w:cs="Helvetica"/>
            <w:color w:val="006CBC"/>
            <w:sz w:val="24"/>
            <w:szCs w:val="24"/>
            <w:lang w:val="en-PK" w:eastAsia="en-PK"/>
          </w:rPr>
          <w:t>calculated majority</w:t>
        </w:r>
      </w:hyperlink>
      <w:r w:rsidRPr="0026306B">
        <w:rPr>
          <w:rFonts w:ascii="Helvetica" w:eastAsia="Times New Roman" w:hAnsi="Helvetica" w:cs="Helvetica"/>
          <w:color w:val="494747"/>
          <w:sz w:val="24"/>
          <w:szCs w:val="24"/>
          <w:lang w:val="en-PK" w:eastAsia="en-PK"/>
        </w:rPr>
        <w:t> of the data-bearing voting members. For clusters where members have </w:t>
      </w:r>
      <w:hyperlink r:id="rId11" w:anchor="journaling-internals" w:history="1">
        <w:r w:rsidRPr="0026306B">
          <w:rPr>
            <w:rFonts w:ascii="Helvetica" w:eastAsia="Times New Roman" w:hAnsi="Helvetica" w:cs="Helvetica"/>
            <w:color w:val="006CBC"/>
            <w:sz w:val="24"/>
            <w:szCs w:val="24"/>
            <w:lang w:val="en-PK" w:eastAsia="en-PK"/>
          </w:rPr>
          <w:t>journaling</w:t>
        </w:r>
      </w:hyperlink>
      <w:r w:rsidRPr="0026306B">
        <w:rPr>
          <w:rFonts w:ascii="Helvetica" w:eastAsia="Times New Roman" w:hAnsi="Helvetica" w:cs="Helvetica"/>
          <w:color w:val="494747"/>
          <w:sz w:val="24"/>
          <w:szCs w:val="24"/>
          <w:lang w:val="en-PK" w:eastAsia="en-PK"/>
        </w:rPr>
        <w:t> enabled, combining </w:t>
      </w:r>
      <w:r w:rsidRPr="0026306B">
        <w:rPr>
          <w:rFonts w:ascii="Courier New" w:eastAsia="Times New Roman" w:hAnsi="Courier New" w:cs="Courier New"/>
          <w:color w:val="000000"/>
          <w:sz w:val="24"/>
          <w:szCs w:val="24"/>
          <w:lang w:val="en-PK" w:eastAsia="en-PK"/>
        </w:rPr>
        <w:t>"majority"</w:t>
      </w:r>
      <w:r w:rsidRPr="0026306B">
        <w:rPr>
          <w:rFonts w:ascii="Helvetica" w:eastAsia="Times New Roman" w:hAnsi="Helvetica" w:cs="Helvetica"/>
          <w:color w:val="494747"/>
          <w:sz w:val="24"/>
          <w:szCs w:val="24"/>
          <w:lang w:val="en-PK" w:eastAsia="en-PK"/>
        </w:rPr>
        <w:t> write concern with </w:t>
      </w:r>
      <w:hyperlink r:id="rId12" w:anchor="writeconcern.j" w:tooltip="j" w:history="1">
        <w:r w:rsidRPr="0026306B">
          <w:rPr>
            <w:rFonts w:ascii="Courier New" w:eastAsia="Times New Roman" w:hAnsi="Courier New" w:cs="Courier New"/>
            <w:color w:val="006CBC"/>
            <w:sz w:val="24"/>
            <w:szCs w:val="24"/>
            <w:lang w:val="en-PK" w:eastAsia="en-PK"/>
          </w:rPr>
          <w:t>j</w:t>
        </w:r>
        <w:r w:rsidRPr="0026306B">
          <w:rPr>
            <w:rFonts w:ascii="Courier New" w:eastAsia="Times New Roman" w:hAnsi="Courier New" w:cs="Courier New"/>
            <w:color w:val="006CBC"/>
            <w:sz w:val="20"/>
            <w:szCs w:val="20"/>
            <w:lang w:val="en-PK" w:eastAsia="en-PK"/>
          </w:rPr>
          <w:t> </w:t>
        </w:r>
        <w:r w:rsidRPr="0026306B">
          <w:rPr>
            <w:rFonts w:ascii="Courier New" w:eastAsia="Times New Roman" w:hAnsi="Courier New" w:cs="Courier New"/>
            <w:color w:val="006CBC"/>
            <w:sz w:val="24"/>
            <w:szCs w:val="24"/>
            <w:lang w:val="en-PK" w:eastAsia="en-PK"/>
          </w:rPr>
          <w:t>:</w:t>
        </w:r>
        <w:r w:rsidRPr="0026306B">
          <w:rPr>
            <w:rFonts w:ascii="Courier New" w:eastAsia="Times New Roman" w:hAnsi="Courier New" w:cs="Courier New"/>
            <w:color w:val="006CBC"/>
            <w:sz w:val="20"/>
            <w:szCs w:val="20"/>
            <w:lang w:val="en-PK" w:eastAsia="en-PK"/>
          </w:rPr>
          <w:t> </w:t>
        </w:r>
        <w:r w:rsidRPr="0026306B">
          <w:rPr>
            <w:rFonts w:ascii="Courier New" w:eastAsia="Times New Roman" w:hAnsi="Courier New" w:cs="Courier New"/>
            <w:color w:val="006CBC"/>
            <w:sz w:val="24"/>
            <w:szCs w:val="24"/>
            <w:lang w:val="en-PK" w:eastAsia="en-PK"/>
          </w:rPr>
          <w:t>true</w:t>
        </w:r>
      </w:hyperlink>
      <w:r w:rsidRPr="0026306B">
        <w:rPr>
          <w:rFonts w:ascii="Helvetica" w:eastAsia="Times New Roman" w:hAnsi="Helvetica" w:cs="Helvetica"/>
          <w:color w:val="494747"/>
          <w:sz w:val="24"/>
          <w:szCs w:val="24"/>
          <w:lang w:val="en-PK" w:eastAsia="en-PK"/>
        </w:rPr>
        <w:t> can prevent </w:t>
      </w:r>
      <w:hyperlink r:id="rId13" w:anchor="replica-set-rollbacks" w:history="1">
        <w:r w:rsidRPr="0026306B">
          <w:rPr>
            <w:rFonts w:ascii="Helvetica" w:eastAsia="Times New Roman" w:hAnsi="Helvetica" w:cs="Helvetica"/>
            <w:color w:val="006CBC"/>
            <w:sz w:val="24"/>
            <w:szCs w:val="24"/>
            <w:lang w:val="en-PK" w:eastAsia="en-PK"/>
          </w:rPr>
          <w:t>rollback</w:t>
        </w:r>
      </w:hyperlink>
      <w:r w:rsidRPr="0026306B">
        <w:rPr>
          <w:rFonts w:ascii="Helvetica" w:eastAsia="Times New Roman" w:hAnsi="Helvetica" w:cs="Helvetica"/>
          <w:color w:val="494747"/>
          <w:sz w:val="24"/>
          <w:szCs w:val="24"/>
          <w:lang w:val="en-PK" w:eastAsia="en-PK"/>
        </w:rPr>
        <w:t> of write concern acknowledged data.</w:t>
      </w:r>
    </w:p>
    <w:p w14:paraId="3170EA64"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For complete documentation on write acknowledgment behavior, see </w:t>
      </w:r>
      <w:hyperlink r:id="rId14" w:anchor="wc-ack-behavior" w:history="1">
        <w:r w:rsidRPr="0026306B">
          <w:rPr>
            <w:rFonts w:ascii="Helvetica" w:eastAsia="Times New Roman" w:hAnsi="Helvetica" w:cs="Helvetica"/>
            <w:color w:val="006CBC"/>
            <w:sz w:val="24"/>
            <w:szCs w:val="24"/>
            <w:lang w:val="en-PK" w:eastAsia="en-PK"/>
          </w:rPr>
          <w:t>Acknowledgment Behavior</w:t>
        </w:r>
      </w:hyperlink>
      <w:r w:rsidRPr="0026306B">
        <w:rPr>
          <w:rFonts w:ascii="Helvetica" w:eastAsia="Times New Roman" w:hAnsi="Helvetica" w:cs="Helvetica"/>
          <w:color w:val="494747"/>
          <w:sz w:val="24"/>
          <w:szCs w:val="24"/>
          <w:lang w:val="en-PK" w:eastAsia="en-PK"/>
        </w:rPr>
        <w:t>.</w:t>
      </w:r>
    </w:p>
    <w:p w14:paraId="53DCD578" w14:textId="77777777" w:rsidR="0026306B" w:rsidRPr="0026306B" w:rsidRDefault="0026306B" w:rsidP="0026306B">
      <w:pPr>
        <w:shd w:val="clear" w:color="auto" w:fill="FFFFFF"/>
        <w:spacing w:after="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noProof/>
          <w:color w:val="494747"/>
          <w:sz w:val="24"/>
          <w:szCs w:val="24"/>
          <w:lang w:val="en-PK" w:eastAsia="en-PK"/>
        </w:rPr>
        <mc:AlternateContent>
          <mc:Choice Requires="wps">
            <w:drawing>
              <wp:inline distT="0" distB="0" distL="0" distR="0" wp14:anchorId="378AE2C5" wp14:editId="662A6087">
                <wp:extent cx="304800" cy="304800"/>
                <wp:effectExtent l="0" t="0" r="0" b="0"/>
                <wp:docPr id="1" name="AutoShape 1" descr="Write operation to a replica set with write concern level of ``w: &quot;majority&quot;`` or write to the primary and at least one second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F55D8" id="AutoShape 1" o:spid="_x0000_s1026" alt="Write operation to a replica set with write concern level of ``w: &quot;majority&quot;`` or write to the primary and at least one second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IM7+EQCAABZBAAADgAA&#10;AAAAAAAAAAAAAAAuAgAAZHJzL2Uyb0RvYy54bWxQSwECLQAUAAYACAAAACEATKDpLNgAAAADAQAA&#10;DwAAAAAAAAAAAAAAAACeBAAAZHJzL2Rvd25yZXYueG1sUEsFBgAAAAAEAAQA8wAAAKMFAAAAAA==&#10;" filled="f" stroked="f">
                <o:lock v:ext="edit" aspectratio="t"/>
                <w10:anchorlock/>
              </v:rect>
            </w:pict>
          </mc:Fallback>
        </mc:AlternateContent>
      </w:r>
    </w:p>
    <w:p w14:paraId="59F63FF3"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An application that issues a write operation that requires write concern acknowledgment waits until the primary receives acknowledgment from the required number of members for the specified write concern. For write concern of </w:t>
      </w:r>
      <w:r w:rsidRPr="0026306B">
        <w:rPr>
          <w:rFonts w:ascii="Courier New" w:eastAsia="Times New Roman" w:hAnsi="Courier New" w:cs="Courier New"/>
          <w:color w:val="000000"/>
          <w:sz w:val="24"/>
          <w:szCs w:val="24"/>
          <w:lang w:val="en-PK" w:eastAsia="en-PK"/>
        </w:rPr>
        <w:t>w</w:t>
      </w:r>
      <w:r w:rsidRPr="0026306B">
        <w:rPr>
          <w:rFonts w:ascii="Helvetica" w:eastAsia="Times New Roman" w:hAnsi="Helvetica" w:cs="Helvetica"/>
          <w:color w:val="494747"/>
          <w:sz w:val="24"/>
          <w:szCs w:val="24"/>
          <w:lang w:val="en-PK" w:eastAsia="en-PK"/>
        </w:rPr>
        <w:t> greater than 1 or </w:t>
      </w:r>
      <w:r w:rsidRPr="0026306B">
        <w:rPr>
          <w:rFonts w:ascii="Courier New" w:eastAsia="Times New Roman" w:hAnsi="Courier New" w:cs="Courier New"/>
          <w:color w:val="000000"/>
          <w:sz w:val="24"/>
          <w:szCs w:val="24"/>
          <w:lang w:val="en-PK" w:eastAsia="en-PK"/>
        </w:rPr>
        <w:t>w</w:t>
      </w:r>
      <w:r w:rsidRPr="0026306B">
        <w:rPr>
          <w:rFonts w:ascii="Courier New" w:eastAsia="Times New Roman" w:hAnsi="Courier New" w:cs="Courier New"/>
          <w:color w:val="000000"/>
          <w:sz w:val="20"/>
          <w:szCs w:val="20"/>
          <w:lang w:val="en-PK" w:eastAsia="en-PK"/>
        </w:rPr>
        <w:t> </w:t>
      </w:r>
      <w:r w:rsidRPr="0026306B">
        <w:rPr>
          <w:rFonts w:ascii="Courier New" w:eastAsia="Times New Roman" w:hAnsi="Courier New" w:cs="Courier New"/>
          <w:color w:val="000000"/>
          <w:sz w:val="24"/>
          <w:szCs w:val="24"/>
          <w:lang w:val="en-PK" w:eastAsia="en-PK"/>
        </w:rPr>
        <w:t>:</w:t>
      </w:r>
      <w:r w:rsidRPr="0026306B">
        <w:rPr>
          <w:rFonts w:ascii="Courier New" w:eastAsia="Times New Roman" w:hAnsi="Courier New" w:cs="Courier New"/>
          <w:color w:val="000000"/>
          <w:sz w:val="20"/>
          <w:szCs w:val="20"/>
          <w:lang w:val="en-PK" w:eastAsia="en-PK"/>
        </w:rPr>
        <w:t> </w:t>
      </w:r>
      <w:r w:rsidRPr="0026306B">
        <w:rPr>
          <w:rFonts w:ascii="Courier New" w:eastAsia="Times New Roman" w:hAnsi="Courier New" w:cs="Courier New"/>
          <w:color w:val="000000"/>
          <w:sz w:val="24"/>
          <w:szCs w:val="24"/>
          <w:lang w:val="en-PK" w:eastAsia="en-PK"/>
        </w:rPr>
        <w:t>"majority"</w:t>
      </w:r>
      <w:r w:rsidRPr="0026306B">
        <w:rPr>
          <w:rFonts w:ascii="Helvetica" w:eastAsia="Times New Roman" w:hAnsi="Helvetica" w:cs="Helvetica"/>
          <w:color w:val="494747"/>
          <w:sz w:val="24"/>
          <w:szCs w:val="24"/>
          <w:lang w:val="en-PK" w:eastAsia="en-PK"/>
        </w:rPr>
        <w:t>, the primary waits until the required number of secondaries acknowledge the write before returning write concern acknowledgment. For write concern of </w:t>
      </w:r>
      <w:r w:rsidRPr="0026306B">
        <w:rPr>
          <w:rFonts w:ascii="Courier New" w:eastAsia="Times New Roman" w:hAnsi="Courier New" w:cs="Courier New"/>
          <w:color w:val="000000"/>
          <w:sz w:val="24"/>
          <w:szCs w:val="24"/>
          <w:lang w:val="en-PK" w:eastAsia="en-PK"/>
        </w:rPr>
        <w:t>w:</w:t>
      </w:r>
      <w:r w:rsidRPr="0026306B">
        <w:rPr>
          <w:rFonts w:ascii="Courier New" w:eastAsia="Times New Roman" w:hAnsi="Courier New" w:cs="Courier New"/>
          <w:color w:val="000000"/>
          <w:sz w:val="20"/>
          <w:szCs w:val="20"/>
          <w:lang w:val="en-PK" w:eastAsia="en-PK"/>
        </w:rPr>
        <w:t> </w:t>
      </w:r>
      <w:r w:rsidRPr="0026306B">
        <w:rPr>
          <w:rFonts w:ascii="Courier New" w:eastAsia="Times New Roman" w:hAnsi="Courier New" w:cs="Courier New"/>
          <w:color w:val="000000"/>
          <w:sz w:val="24"/>
          <w:szCs w:val="24"/>
          <w:lang w:val="en-PK" w:eastAsia="en-PK"/>
        </w:rPr>
        <w:t>1</w:t>
      </w:r>
      <w:r w:rsidRPr="0026306B">
        <w:rPr>
          <w:rFonts w:ascii="Helvetica" w:eastAsia="Times New Roman" w:hAnsi="Helvetica" w:cs="Helvetica"/>
          <w:color w:val="494747"/>
          <w:sz w:val="24"/>
          <w:szCs w:val="24"/>
          <w:lang w:val="en-PK" w:eastAsia="en-PK"/>
        </w:rPr>
        <w:t>, the primary can return write concern acknowledgment as soon as it locally applies the write since it is eligible for contributing to the requested write concern.</w:t>
      </w:r>
    </w:p>
    <w:p w14:paraId="57002192"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The more members that acknowledge a write, the less likely the written data could roll back if the </w:t>
      </w:r>
      <w:hyperlink r:id="rId15" w:anchor="replication-auto-failover" w:history="1">
        <w:r w:rsidRPr="0026306B">
          <w:rPr>
            <w:rFonts w:ascii="Helvetica" w:eastAsia="Times New Roman" w:hAnsi="Helvetica" w:cs="Helvetica"/>
            <w:color w:val="006CBC"/>
            <w:sz w:val="24"/>
            <w:szCs w:val="24"/>
            <w:lang w:val="en-PK" w:eastAsia="en-PK"/>
          </w:rPr>
          <w:t>primary fails</w:t>
        </w:r>
      </w:hyperlink>
      <w:r w:rsidRPr="0026306B">
        <w:rPr>
          <w:rFonts w:ascii="Helvetica" w:eastAsia="Times New Roman" w:hAnsi="Helvetica" w:cs="Helvetica"/>
          <w:color w:val="494747"/>
          <w:sz w:val="24"/>
          <w:szCs w:val="24"/>
          <w:lang w:val="en-PK" w:eastAsia="en-PK"/>
        </w:rPr>
        <w:t xml:space="preserve">. However, specifying a high write concern can increase latency </w:t>
      </w:r>
      <w:r w:rsidRPr="0026306B">
        <w:rPr>
          <w:rFonts w:ascii="Helvetica" w:eastAsia="Times New Roman" w:hAnsi="Helvetica" w:cs="Helvetica"/>
          <w:color w:val="494747"/>
          <w:sz w:val="24"/>
          <w:szCs w:val="24"/>
          <w:lang w:val="en-PK" w:eastAsia="en-PK"/>
        </w:rPr>
        <w:lastRenderedPageBreak/>
        <w:t>as the client must wait until it receives the requested level of write concern acknowledgment.</w:t>
      </w:r>
    </w:p>
    <w:p w14:paraId="3B14C524"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Selecting the ideal write concern for any given write operation depends on your application’s performance goals and data durability requirements. For more guidance on configuring write concern to prevent rollbacks, see </w:t>
      </w:r>
      <w:hyperlink r:id="rId16" w:anchor="rollback-avoid" w:history="1">
        <w:r w:rsidRPr="0026306B">
          <w:rPr>
            <w:rFonts w:ascii="Helvetica" w:eastAsia="Times New Roman" w:hAnsi="Helvetica" w:cs="Helvetica"/>
            <w:color w:val="006CBC"/>
            <w:sz w:val="24"/>
            <w:szCs w:val="24"/>
            <w:lang w:val="en-PK" w:eastAsia="en-PK"/>
          </w:rPr>
          <w:t>Avoid Replica Set Rollbacks</w:t>
        </w:r>
      </w:hyperlink>
      <w:r w:rsidRPr="0026306B">
        <w:rPr>
          <w:rFonts w:ascii="Helvetica" w:eastAsia="Times New Roman" w:hAnsi="Helvetica" w:cs="Helvetica"/>
          <w:color w:val="494747"/>
          <w:sz w:val="24"/>
          <w:szCs w:val="24"/>
          <w:lang w:val="en-PK" w:eastAsia="en-PK"/>
        </w:rPr>
        <w:t>.</w:t>
      </w:r>
    </w:p>
    <w:p w14:paraId="26DBCD85" w14:textId="77777777" w:rsidR="0026306B" w:rsidRPr="0026306B" w:rsidRDefault="0026306B" w:rsidP="0026306B">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6306B">
        <w:rPr>
          <w:rFonts w:ascii="Helvetica" w:eastAsia="Times New Roman" w:hAnsi="Helvetica" w:cs="Helvetica"/>
          <w:color w:val="313030"/>
          <w:sz w:val="36"/>
          <w:szCs w:val="36"/>
          <w:lang w:val="en-PK" w:eastAsia="en-PK"/>
        </w:rPr>
        <w:t>Verify Write Operations to Replica Sets</w:t>
      </w:r>
    </w:p>
    <w:p w14:paraId="5968402E"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The following operation includes the </w:t>
      </w:r>
      <w:r w:rsidRPr="0026306B">
        <w:rPr>
          <w:rFonts w:ascii="Courier New" w:eastAsia="Times New Roman" w:hAnsi="Courier New" w:cs="Courier New"/>
          <w:color w:val="000000"/>
          <w:sz w:val="24"/>
          <w:szCs w:val="24"/>
          <w:lang w:val="en-PK" w:eastAsia="en-PK"/>
        </w:rPr>
        <w:t>writeConcern</w:t>
      </w:r>
      <w:r w:rsidRPr="0026306B">
        <w:rPr>
          <w:rFonts w:ascii="Helvetica" w:eastAsia="Times New Roman" w:hAnsi="Helvetica" w:cs="Helvetica"/>
          <w:color w:val="494747"/>
          <w:sz w:val="24"/>
          <w:szCs w:val="24"/>
          <w:lang w:val="en-PK" w:eastAsia="en-PK"/>
        </w:rPr>
        <w:t> option to the </w:t>
      </w:r>
      <w:hyperlink r:id="rId17" w:anchor="db.collection.insert" w:tooltip="db.collection.insert()" w:history="1">
        <w:r w:rsidRPr="0026306B">
          <w:rPr>
            <w:rFonts w:ascii="Courier New" w:eastAsia="Times New Roman" w:hAnsi="Courier New" w:cs="Courier New"/>
            <w:color w:val="006CBC"/>
            <w:sz w:val="24"/>
            <w:szCs w:val="24"/>
            <w:lang w:val="en-PK" w:eastAsia="en-PK"/>
          </w:rPr>
          <w:t>insert()</w:t>
        </w:r>
      </w:hyperlink>
      <w:r w:rsidRPr="0026306B">
        <w:rPr>
          <w:rFonts w:ascii="Helvetica" w:eastAsia="Times New Roman" w:hAnsi="Helvetica" w:cs="Helvetica"/>
          <w:color w:val="494747"/>
          <w:sz w:val="24"/>
          <w:szCs w:val="24"/>
          <w:lang w:val="en-PK" w:eastAsia="en-PK"/>
        </w:rPr>
        <w:t> method. The operation specifies </w:t>
      </w:r>
      <w:hyperlink r:id="rId18" w:anchor="writeconcern.%22majority%22" w:tooltip="&quot;majority&quot;" w:history="1">
        <w:r w:rsidRPr="0026306B">
          <w:rPr>
            <w:rFonts w:ascii="Courier New" w:eastAsia="Times New Roman" w:hAnsi="Courier New" w:cs="Courier New"/>
            <w:color w:val="006CBC"/>
            <w:sz w:val="24"/>
            <w:szCs w:val="24"/>
            <w:lang w:val="en-PK" w:eastAsia="en-PK"/>
          </w:rPr>
          <w:t>"majority"</w:t>
        </w:r>
      </w:hyperlink>
      <w:r w:rsidRPr="0026306B">
        <w:rPr>
          <w:rFonts w:ascii="Helvetica" w:eastAsia="Times New Roman" w:hAnsi="Helvetica" w:cs="Helvetica"/>
          <w:color w:val="494747"/>
          <w:sz w:val="24"/>
          <w:szCs w:val="24"/>
          <w:lang w:val="en-PK" w:eastAsia="en-PK"/>
        </w:rPr>
        <w:t> write concern and a 5 second timeout using the </w:t>
      </w:r>
      <w:hyperlink r:id="rId19" w:anchor="wc-wtimeout" w:history="1">
        <w:r w:rsidRPr="0026306B">
          <w:rPr>
            <w:rFonts w:ascii="Helvetica" w:eastAsia="Times New Roman" w:hAnsi="Helvetica" w:cs="Helvetica"/>
            <w:color w:val="006CBC"/>
            <w:sz w:val="24"/>
            <w:szCs w:val="24"/>
            <w:lang w:val="en-PK" w:eastAsia="en-PK"/>
          </w:rPr>
          <w:t>wtimeout</w:t>
        </w:r>
      </w:hyperlink>
      <w:r w:rsidRPr="0026306B">
        <w:rPr>
          <w:rFonts w:ascii="Helvetica" w:eastAsia="Times New Roman" w:hAnsi="Helvetica" w:cs="Helvetica"/>
          <w:color w:val="494747"/>
          <w:sz w:val="24"/>
          <w:szCs w:val="24"/>
          <w:lang w:val="en-PK" w:eastAsia="en-PK"/>
        </w:rPr>
        <w:t> write concern parameter so that the operation does not block indefinitely.</w:t>
      </w:r>
    </w:p>
    <w:p w14:paraId="0F730EE3" w14:textId="77777777" w:rsidR="0026306B" w:rsidRPr="0026306B" w:rsidRDefault="0026306B" w:rsidP="0026306B">
      <w:pPr>
        <w:shd w:val="clear" w:color="auto" w:fill="FFFFFF"/>
        <w:spacing w:after="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copy</w:t>
      </w:r>
    </w:p>
    <w:p w14:paraId="4C0EDCB3" w14:textId="77777777" w:rsidR="0026306B" w:rsidRPr="0026306B" w:rsidRDefault="0026306B" w:rsidP="0026306B">
      <w:pPr>
        <w:shd w:val="clear" w:color="auto" w:fill="FFFFFF"/>
        <w:spacing w:after="0" w:line="240" w:lineRule="auto"/>
        <w:rPr>
          <w:rFonts w:ascii="Helvetica" w:eastAsia="Times New Roman" w:hAnsi="Helvetica" w:cs="Helvetica"/>
          <w:color w:val="494747"/>
          <w:sz w:val="20"/>
          <w:szCs w:val="20"/>
          <w:lang w:val="en-PK" w:eastAsia="en-PK"/>
        </w:rPr>
      </w:pPr>
      <w:r w:rsidRPr="0026306B">
        <w:rPr>
          <w:rFonts w:ascii="Helvetica" w:eastAsia="Times New Roman" w:hAnsi="Helvetica" w:cs="Helvetica"/>
          <w:color w:val="494747"/>
          <w:sz w:val="20"/>
          <w:szCs w:val="20"/>
          <w:lang w:val="en-PK" w:eastAsia="en-PK"/>
        </w:rPr>
        <w:t>copied</w:t>
      </w:r>
    </w:p>
    <w:p w14:paraId="7135AEBE" w14:textId="77777777" w:rsidR="0026306B" w:rsidRPr="0026306B" w:rsidRDefault="0026306B" w:rsidP="0026306B">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tLeast"/>
        <w:rPr>
          <w:rFonts w:ascii="Courier New" w:eastAsia="Times New Roman" w:hAnsi="Courier New" w:cs="Courier New"/>
          <w:color w:val="222222"/>
          <w:sz w:val="21"/>
          <w:szCs w:val="21"/>
          <w:lang w:val="en-PK" w:eastAsia="en-PK"/>
        </w:rPr>
      </w:pPr>
      <w:r w:rsidRPr="0026306B">
        <w:rPr>
          <w:rFonts w:ascii="Courier New" w:eastAsia="Times New Roman" w:hAnsi="Courier New" w:cs="Courier New"/>
          <w:color w:val="222222"/>
          <w:sz w:val="21"/>
          <w:szCs w:val="21"/>
          <w:lang w:val="en-PK" w:eastAsia="en-PK"/>
        </w:rPr>
        <w:t>db.products.insert(</w:t>
      </w:r>
    </w:p>
    <w:p w14:paraId="337DA88F" w14:textId="77777777" w:rsidR="0026306B" w:rsidRPr="0026306B" w:rsidRDefault="0026306B" w:rsidP="0026306B">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tLeast"/>
        <w:rPr>
          <w:rFonts w:ascii="Courier New" w:eastAsia="Times New Roman" w:hAnsi="Courier New" w:cs="Courier New"/>
          <w:color w:val="222222"/>
          <w:sz w:val="21"/>
          <w:szCs w:val="21"/>
          <w:lang w:val="en-PK" w:eastAsia="en-PK"/>
        </w:rPr>
      </w:pPr>
      <w:r w:rsidRPr="0026306B">
        <w:rPr>
          <w:rFonts w:ascii="Courier New" w:eastAsia="Times New Roman" w:hAnsi="Courier New" w:cs="Courier New"/>
          <w:color w:val="222222"/>
          <w:sz w:val="21"/>
          <w:szCs w:val="21"/>
          <w:lang w:val="en-PK" w:eastAsia="en-PK"/>
        </w:rPr>
        <w:t xml:space="preserve">   { item</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w:t>
      </w:r>
      <w:r w:rsidRPr="0026306B">
        <w:rPr>
          <w:rFonts w:ascii="Courier New" w:eastAsia="Times New Roman" w:hAnsi="Courier New" w:cs="Courier New"/>
          <w:color w:val="4070A0"/>
          <w:sz w:val="21"/>
          <w:szCs w:val="21"/>
          <w:lang w:val="en-PK" w:eastAsia="en-PK"/>
        </w:rPr>
        <w:t>"envelopes"</w:t>
      </w:r>
      <w:r w:rsidRPr="0026306B">
        <w:rPr>
          <w:rFonts w:ascii="Courier New" w:eastAsia="Times New Roman" w:hAnsi="Courier New" w:cs="Courier New"/>
          <w:color w:val="222222"/>
          <w:sz w:val="21"/>
          <w:szCs w:val="21"/>
          <w:lang w:val="en-PK" w:eastAsia="en-PK"/>
        </w:rPr>
        <w:t xml:space="preserve">, qty </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w:t>
      </w:r>
      <w:r w:rsidRPr="0026306B">
        <w:rPr>
          <w:rFonts w:ascii="Courier New" w:eastAsia="Times New Roman" w:hAnsi="Courier New" w:cs="Courier New"/>
          <w:color w:val="208050"/>
          <w:sz w:val="21"/>
          <w:szCs w:val="21"/>
          <w:lang w:val="en-PK" w:eastAsia="en-PK"/>
        </w:rPr>
        <w:t>100</w:t>
      </w:r>
      <w:r w:rsidRPr="0026306B">
        <w:rPr>
          <w:rFonts w:ascii="Courier New" w:eastAsia="Times New Roman" w:hAnsi="Courier New" w:cs="Courier New"/>
          <w:color w:val="222222"/>
          <w:sz w:val="21"/>
          <w:szCs w:val="21"/>
          <w:lang w:val="en-PK" w:eastAsia="en-PK"/>
        </w:rPr>
        <w:t>, type</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w:t>
      </w:r>
      <w:r w:rsidRPr="0026306B">
        <w:rPr>
          <w:rFonts w:ascii="Courier New" w:eastAsia="Times New Roman" w:hAnsi="Courier New" w:cs="Courier New"/>
          <w:color w:val="4070A0"/>
          <w:sz w:val="21"/>
          <w:szCs w:val="21"/>
          <w:lang w:val="en-PK" w:eastAsia="en-PK"/>
        </w:rPr>
        <w:t>"Clasp"</w:t>
      </w:r>
      <w:r w:rsidRPr="0026306B">
        <w:rPr>
          <w:rFonts w:ascii="Courier New" w:eastAsia="Times New Roman" w:hAnsi="Courier New" w:cs="Courier New"/>
          <w:color w:val="222222"/>
          <w:sz w:val="21"/>
          <w:szCs w:val="21"/>
          <w:lang w:val="en-PK" w:eastAsia="en-PK"/>
        </w:rPr>
        <w:t xml:space="preserve"> },</w:t>
      </w:r>
    </w:p>
    <w:p w14:paraId="76B84166" w14:textId="77777777" w:rsidR="0026306B" w:rsidRPr="0026306B" w:rsidRDefault="0026306B" w:rsidP="0026306B">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tLeast"/>
        <w:rPr>
          <w:rFonts w:ascii="Courier New" w:eastAsia="Times New Roman" w:hAnsi="Courier New" w:cs="Courier New"/>
          <w:color w:val="222222"/>
          <w:sz w:val="21"/>
          <w:szCs w:val="21"/>
          <w:lang w:val="en-PK" w:eastAsia="en-PK"/>
        </w:rPr>
      </w:pPr>
      <w:r w:rsidRPr="0026306B">
        <w:rPr>
          <w:rFonts w:ascii="Courier New" w:eastAsia="Times New Roman" w:hAnsi="Courier New" w:cs="Courier New"/>
          <w:color w:val="222222"/>
          <w:sz w:val="21"/>
          <w:szCs w:val="21"/>
          <w:lang w:val="en-PK" w:eastAsia="en-PK"/>
        </w:rPr>
        <w:t xml:space="preserve">   { writeConcern</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 w</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w:t>
      </w:r>
      <w:r w:rsidRPr="0026306B">
        <w:rPr>
          <w:rFonts w:ascii="Courier New" w:eastAsia="Times New Roman" w:hAnsi="Courier New" w:cs="Courier New"/>
          <w:color w:val="4070A0"/>
          <w:sz w:val="21"/>
          <w:szCs w:val="21"/>
          <w:lang w:val="en-PK" w:eastAsia="en-PK"/>
        </w:rPr>
        <w:t>"majority"</w:t>
      </w:r>
      <w:r w:rsidRPr="0026306B">
        <w:rPr>
          <w:rFonts w:ascii="Courier New" w:eastAsia="Times New Roman" w:hAnsi="Courier New" w:cs="Courier New"/>
          <w:color w:val="222222"/>
          <w:sz w:val="21"/>
          <w:szCs w:val="21"/>
          <w:lang w:val="en-PK" w:eastAsia="en-PK"/>
        </w:rPr>
        <w:t xml:space="preserve"> , wtimeout</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w:t>
      </w:r>
      <w:r w:rsidRPr="0026306B">
        <w:rPr>
          <w:rFonts w:ascii="Courier New" w:eastAsia="Times New Roman" w:hAnsi="Courier New" w:cs="Courier New"/>
          <w:color w:val="208050"/>
          <w:sz w:val="21"/>
          <w:szCs w:val="21"/>
          <w:lang w:val="en-PK" w:eastAsia="en-PK"/>
        </w:rPr>
        <w:t>5000</w:t>
      </w:r>
      <w:r w:rsidRPr="0026306B">
        <w:rPr>
          <w:rFonts w:ascii="Courier New" w:eastAsia="Times New Roman" w:hAnsi="Courier New" w:cs="Courier New"/>
          <w:color w:val="222222"/>
          <w:sz w:val="21"/>
          <w:szCs w:val="21"/>
          <w:lang w:val="en-PK" w:eastAsia="en-PK"/>
        </w:rPr>
        <w:t xml:space="preserve"> } }</w:t>
      </w:r>
    </w:p>
    <w:p w14:paraId="15B1E2E3" w14:textId="77777777" w:rsidR="0026306B" w:rsidRPr="0026306B" w:rsidRDefault="0026306B" w:rsidP="0026306B">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rPr>
          <w:rFonts w:ascii="Courier New" w:eastAsia="Times New Roman" w:hAnsi="Courier New" w:cs="Courier New"/>
          <w:color w:val="222222"/>
          <w:sz w:val="21"/>
          <w:szCs w:val="21"/>
          <w:lang w:val="en-PK" w:eastAsia="en-PK"/>
        </w:rPr>
      </w:pPr>
      <w:r w:rsidRPr="0026306B">
        <w:rPr>
          <w:rFonts w:ascii="Courier New" w:eastAsia="Times New Roman" w:hAnsi="Courier New" w:cs="Courier New"/>
          <w:color w:val="222222"/>
          <w:sz w:val="21"/>
          <w:szCs w:val="21"/>
          <w:lang w:val="en-PK" w:eastAsia="en-PK"/>
        </w:rPr>
        <w:t>)</w:t>
      </w:r>
    </w:p>
    <w:p w14:paraId="6459E99E"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The application waits until the primary returns write concern acknowledgment, indicating that a </w:t>
      </w:r>
      <w:hyperlink r:id="rId20" w:anchor="calculating-majority-count" w:history="1">
        <w:r w:rsidRPr="0026306B">
          <w:rPr>
            <w:rFonts w:ascii="Helvetica" w:eastAsia="Times New Roman" w:hAnsi="Helvetica" w:cs="Helvetica"/>
            <w:color w:val="006CBC"/>
            <w:sz w:val="24"/>
            <w:szCs w:val="24"/>
            <w:lang w:val="en-PK" w:eastAsia="en-PK"/>
          </w:rPr>
          <w:t>calculated majority</w:t>
        </w:r>
      </w:hyperlink>
      <w:r w:rsidRPr="0026306B">
        <w:rPr>
          <w:rFonts w:ascii="Helvetica" w:eastAsia="Times New Roman" w:hAnsi="Helvetica" w:cs="Helvetica"/>
          <w:color w:val="494747"/>
          <w:sz w:val="24"/>
          <w:szCs w:val="24"/>
          <w:lang w:val="en-PK" w:eastAsia="en-PK"/>
        </w:rPr>
        <w:t> of the data-bearing voting members acknowledged the write operation. For example, in a 3-member replica set (P-S-S), the operation would require acknowledgment from 2 out of the 3 members. If the replica set was later scaled to include two additional voting secondary members, the same operation would require acknowledgment from 3 out of the 5 replica set members. If the primary does not return write concern acknowledgment within the </w:t>
      </w:r>
      <w:r w:rsidRPr="0026306B">
        <w:rPr>
          <w:rFonts w:ascii="Courier New" w:eastAsia="Times New Roman" w:hAnsi="Courier New" w:cs="Courier New"/>
          <w:color w:val="000000"/>
          <w:sz w:val="24"/>
          <w:szCs w:val="24"/>
          <w:lang w:val="en-PK" w:eastAsia="en-PK"/>
        </w:rPr>
        <w:t>wtimeout</w:t>
      </w:r>
      <w:r w:rsidRPr="0026306B">
        <w:rPr>
          <w:rFonts w:ascii="Helvetica" w:eastAsia="Times New Roman" w:hAnsi="Helvetica" w:cs="Helvetica"/>
          <w:color w:val="494747"/>
          <w:sz w:val="24"/>
          <w:szCs w:val="24"/>
          <w:lang w:val="en-PK" w:eastAsia="en-PK"/>
        </w:rPr>
        <w:t> limit, the write operation fails with a write concern error.</w:t>
      </w:r>
    </w:p>
    <w:p w14:paraId="6864335A"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A write operation that times out waiting for the specified write concern only indicates that the required number of replica set members did not acknowledge the write operation within the </w:t>
      </w:r>
      <w:r w:rsidRPr="0026306B">
        <w:rPr>
          <w:rFonts w:ascii="Courier New" w:eastAsia="Times New Roman" w:hAnsi="Courier New" w:cs="Courier New"/>
          <w:color w:val="000000"/>
          <w:sz w:val="24"/>
          <w:szCs w:val="24"/>
          <w:lang w:val="en-PK" w:eastAsia="en-PK"/>
        </w:rPr>
        <w:t>wtimeout</w:t>
      </w:r>
      <w:r w:rsidRPr="0026306B">
        <w:rPr>
          <w:rFonts w:ascii="Helvetica" w:eastAsia="Times New Roman" w:hAnsi="Helvetica" w:cs="Helvetica"/>
          <w:color w:val="494747"/>
          <w:sz w:val="24"/>
          <w:szCs w:val="24"/>
          <w:lang w:val="en-PK" w:eastAsia="en-PK"/>
        </w:rPr>
        <w:t> time period. It does not necessarily indicate that the primary failed to apply the write. The data may exist on a subset of replica set nodes at the time of the write concern error, and can continue replicating until all nodes in the cluster have that data. Applications should take into account the potential availability of written data regardless of the state of write concern acknowledgment.</w:t>
      </w:r>
    </w:p>
    <w:p w14:paraId="6713058B"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The exact syntax for specifying write concern depends on the write operation. Refer to the documentation for the write operation for instructions on write concern support and syntax. For complete documentation on write concern, see </w:t>
      </w:r>
      <w:hyperlink r:id="rId21" w:anchor="write-concern" w:history="1">
        <w:r w:rsidRPr="0026306B">
          <w:rPr>
            <w:rFonts w:ascii="Helvetica" w:eastAsia="Times New Roman" w:hAnsi="Helvetica" w:cs="Helvetica"/>
            <w:color w:val="006CBC"/>
            <w:sz w:val="24"/>
            <w:szCs w:val="24"/>
            <w:lang w:val="en-PK" w:eastAsia="en-PK"/>
          </w:rPr>
          <w:t>Write Concern</w:t>
        </w:r>
      </w:hyperlink>
      <w:r w:rsidRPr="0026306B">
        <w:rPr>
          <w:rFonts w:ascii="Helvetica" w:eastAsia="Times New Roman" w:hAnsi="Helvetica" w:cs="Helvetica"/>
          <w:color w:val="494747"/>
          <w:sz w:val="24"/>
          <w:szCs w:val="24"/>
          <w:lang w:val="en-PK" w:eastAsia="en-PK"/>
        </w:rPr>
        <w:t>.</w:t>
      </w:r>
    </w:p>
    <w:p w14:paraId="5FC89D61" w14:textId="77777777" w:rsidR="0026306B" w:rsidRPr="0026306B" w:rsidRDefault="0026306B" w:rsidP="0026306B">
      <w:pPr>
        <w:shd w:val="clear" w:color="auto" w:fill="FFFFFF"/>
        <w:spacing w:after="0" w:line="360" w:lineRule="atLeast"/>
        <w:rPr>
          <w:rFonts w:ascii="Helvetica" w:eastAsia="Times New Roman" w:hAnsi="Helvetica" w:cs="Helvetica"/>
          <w:b/>
          <w:bCs/>
          <w:caps/>
          <w:color w:val="494747"/>
          <w:sz w:val="18"/>
          <w:szCs w:val="18"/>
          <w:lang w:val="en-PK" w:eastAsia="en-PK"/>
        </w:rPr>
      </w:pPr>
      <w:r w:rsidRPr="0026306B">
        <w:rPr>
          <w:rFonts w:ascii="Helvetica" w:eastAsia="Times New Roman" w:hAnsi="Helvetica" w:cs="Helvetica"/>
          <w:b/>
          <w:bCs/>
          <w:caps/>
          <w:color w:val="494747"/>
          <w:sz w:val="18"/>
          <w:szCs w:val="18"/>
          <w:lang w:val="en-PK" w:eastAsia="en-PK"/>
        </w:rPr>
        <w:t>SEE ALSO</w:t>
      </w:r>
    </w:p>
    <w:p w14:paraId="2E4A840E" w14:textId="77777777" w:rsidR="0026306B" w:rsidRPr="0026306B" w:rsidRDefault="0026306B" w:rsidP="0026306B">
      <w:pPr>
        <w:shd w:val="clear" w:color="auto" w:fill="FFFFFF"/>
        <w:spacing w:line="240" w:lineRule="auto"/>
        <w:rPr>
          <w:rFonts w:ascii="Helvetica" w:eastAsia="Times New Roman" w:hAnsi="Helvetica" w:cs="Helvetica"/>
          <w:color w:val="494747"/>
          <w:sz w:val="24"/>
          <w:szCs w:val="24"/>
          <w:lang w:val="en-PK" w:eastAsia="en-PK"/>
        </w:rPr>
      </w:pPr>
      <w:hyperlink r:id="rId22" w:anchor="write-methods-incompatibility" w:history="1">
        <w:r w:rsidRPr="0026306B">
          <w:rPr>
            <w:rFonts w:ascii="Helvetica" w:eastAsia="Times New Roman" w:hAnsi="Helvetica" w:cs="Helvetica"/>
            <w:color w:val="006CBC"/>
            <w:sz w:val="24"/>
            <w:szCs w:val="24"/>
            <w:lang w:val="en-PK" w:eastAsia="en-PK"/>
          </w:rPr>
          <w:t>Write Method Acknowledgements</w:t>
        </w:r>
      </w:hyperlink>
    </w:p>
    <w:p w14:paraId="7BB8E38D" w14:textId="77777777" w:rsidR="0026306B" w:rsidRPr="0026306B" w:rsidRDefault="0026306B" w:rsidP="0026306B">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6306B">
        <w:rPr>
          <w:rFonts w:ascii="Helvetica" w:eastAsia="Times New Roman" w:hAnsi="Helvetica" w:cs="Helvetica"/>
          <w:color w:val="313030"/>
          <w:sz w:val="36"/>
          <w:szCs w:val="36"/>
          <w:lang w:val="en-PK" w:eastAsia="en-PK"/>
        </w:rPr>
        <w:t>Modify Default Write Concern</w:t>
      </w:r>
    </w:p>
    <w:p w14:paraId="7EFE8996"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You can modify the default write concern for a replica set by setting the </w:t>
      </w:r>
      <w:hyperlink r:id="rId23" w:anchor="rsconf.settings.getLastErrorDefaults" w:tooltip="settings.getLastErrorDefaults" w:history="1">
        <w:r w:rsidRPr="0026306B">
          <w:rPr>
            <w:rFonts w:ascii="Courier New" w:eastAsia="Times New Roman" w:hAnsi="Courier New" w:cs="Courier New"/>
            <w:color w:val="006CBC"/>
            <w:sz w:val="24"/>
            <w:szCs w:val="24"/>
            <w:lang w:val="en-PK" w:eastAsia="en-PK"/>
          </w:rPr>
          <w:t>settings.getLastErrorDefaults</w:t>
        </w:r>
      </w:hyperlink>
      <w:r w:rsidRPr="0026306B">
        <w:rPr>
          <w:rFonts w:ascii="Helvetica" w:eastAsia="Times New Roman" w:hAnsi="Helvetica" w:cs="Helvetica"/>
          <w:color w:val="494747"/>
          <w:sz w:val="24"/>
          <w:szCs w:val="24"/>
          <w:lang w:val="en-PK" w:eastAsia="en-PK"/>
        </w:rPr>
        <w:t> setting in the </w:t>
      </w:r>
      <w:hyperlink r:id="rId24" w:history="1">
        <w:r w:rsidRPr="0026306B">
          <w:rPr>
            <w:rFonts w:ascii="Helvetica" w:eastAsia="Times New Roman" w:hAnsi="Helvetica" w:cs="Helvetica"/>
            <w:color w:val="006CBC"/>
            <w:sz w:val="24"/>
            <w:szCs w:val="24"/>
            <w:lang w:val="en-PK" w:eastAsia="en-PK"/>
          </w:rPr>
          <w:t>replica set configuration</w:t>
        </w:r>
      </w:hyperlink>
      <w:r w:rsidRPr="0026306B">
        <w:rPr>
          <w:rFonts w:ascii="Helvetica" w:eastAsia="Times New Roman" w:hAnsi="Helvetica" w:cs="Helvetica"/>
          <w:color w:val="494747"/>
          <w:sz w:val="24"/>
          <w:szCs w:val="24"/>
          <w:lang w:val="en-PK" w:eastAsia="en-PK"/>
        </w:rPr>
        <w:t>. The following sequence of commands creates a configuration that waits for the write operation to complete on a majority of the voting members before returning:</w:t>
      </w:r>
    </w:p>
    <w:p w14:paraId="05F138F4" w14:textId="77777777" w:rsidR="0026306B" w:rsidRPr="0026306B" w:rsidRDefault="0026306B" w:rsidP="0026306B">
      <w:pPr>
        <w:shd w:val="clear" w:color="auto" w:fill="FFFFFF"/>
        <w:spacing w:after="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copy</w:t>
      </w:r>
    </w:p>
    <w:p w14:paraId="1222AD0E" w14:textId="77777777" w:rsidR="0026306B" w:rsidRPr="0026306B" w:rsidRDefault="0026306B" w:rsidP="0026306B">
      <w:pPr>
        <w:shd w:val="clear" w:color="auto" w:fill="FFFFFF"/>
        <w:spacing w:after="0" w:line="240" w:lineRule="auto"/>
        <w:rPr>
          <w:rFonts w:ascii="Helvetica" w:eastAsia="Times New Roman" w:hAnsi="Helvetica" w:cs="Helvetica"/>
          <w:color w:val="494747"/>
          <w:sz w:val="20"/>
          <w:szCs w:val="20"/>
          <w:lang w:val="en-PK" w:eastAsia="en-PK"/>
        </w:rPr>
      </w:pPr>
      <w:r w:rsidRPr="0026306B">
        <w:rPr>
          <w:rFonts w:ascii="Helvetica" w:eastAsia="Times New Roman" w:hAnsi="Helvetica" w:cs="Helvetica"/>
          <w:color w:val="494747"/>
          <w:sz w:val="20"/>
          <w:szCs w:val="20"/>
          <w:lang w:val="en-PK" w:eastAsia="en-PK"/>
        </w:rPr>
        <w:t>copied</w:t>
      </w:r>
    </w:p>
    <w:p w14:paraId="57559F57" w14:textId="77777777" w:rsidR="0026306B" w:rsidRPr="0026306B" w:rsidRDefault="0026306B" w:rsidP="0026306B">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tLeast"/>
        <w:rPr>
          <w:rFonts w:ascii="Courier New" w:eastAsia="Times New Roman" w:hAnsi="Courier New" w:cs="Courier New"/>
          <w:color w:val="222222"/>
          <w:sz w:val="21"/>
          <w:szCs w:val="21"/>
          <w:lang w:val="en-PK" w:eastAsia="en-PK"/>
        </w:rPr>
      </w:pPr>
      <w:r w:rsidRPr="0026306B">
        <w:rPr>
          <w:rFonts w:ascii="Courier New" w:eastAsia="Times New Roman" w:hAnsi="Courier New" w:cs="Courier New"/>
          <w:color w:val="222222"/>
          <w:sz w:val="21"/>
          <w:szCs w:val="21"/>
          <w:lang w:val="en-PK" w:eastAsia="en-PK"/>
        </w:rPr>
        <w:t xml:space="preserve">cfg </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rs.conf()</w:t>
      </w:r>
    </w:p>
    <w:p w14:paraId="0ACEC1B9" w14:textId="77777777" w:rsidR="0026306B" w:rsidRPr="0026306B" w:rsidRDefault="0026306B" w:rsidP="0026306B">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tLeast"/>
        <w:rPr>
          <w:rFonts w:ascii="Courier New" w:eastAsia="Times New Roman" w:hAnsi="Courier New" w:cs="Courier New"/>
          <w:color w:val="222222"/>
          <w:sz w:val="21"/>
          <w:szCs w:val="21"/>
          <w:lang w:val="en-PK" w:eastAsia="en-PK"/>
        </w:rPr>
      </w:pPr>
      <w:r w:rsidRPr="0026306B">
        <w:rPr>
          <w:rFonts w:ascii="Courier New" w:eastAsia="Times New Roman" w:hAnsi="Courier New" w:cs="Courier New"/>
          <w:color w:val="222222"/>
          <w:sz w:val="21"/>
          <w:szCs w:val="21"/>
          <w:lang w:val="en-PK" w:eastAsia="en-PK"/>
        </w:rPr>
        <w:t xml:space="preserve">cfg.settings.getLastErrorDefaults </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 w</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w:t>
      </w:r>
      <w:r w:rsidRPr="0026306B">
        <w:rPr>
          <w:rFonts w:ascii="Courier New" w:eastAsia="Times New Roman" w:hAnsi="Courier New" w:cs="Courier New"/>
          <w:color w:val="4070A0"/>
          <w:sz w:val="21"/>
          <w:szCs w:val="21"/>
          <w:lang w:val="en-PK" w:eastAsia="en-PK"/>
        </w:rPr>
        <w:t>"majority"</w:t>
      </w:r>
      <w:r w:rsidRPr="0026306B">
        <w:rPr>
          <w:rFonts w:ascii="Courier New" w:eastAsia="Times New Roman" w:hAnsi="Courier New" w:cs="Courier New"/>
          <w:color w:val="222222"/>
          <w:sz w:val="21"/>
          <w:szCs w:val="21"/>
          <w:lang w:val="en-PK" w:eastAsia="en-PK"/>
        </w:rPr>
        <w:t>, wtimeout</w:t>
      </w:r>
      <w:r w:rsidRPr="0026306B">
        <w:rPr>
          <w:rFonts w:ascii="Courier New" w:eastAsia="Times New Roman" w:hAnsi="Courier New" w:cs="Courier New"/>
          <w:color w:val="666666"/>
          <w:sz w:val="21"/>
          <w:szCs w:val="21"/>
          <w:lang w:val="en-PK" w:eastAsia="en-PK"/>
        </w:rPr>
        <w:t>:</w:t>
      </w:r>
      <w:r w:rsidRPr="0026306B">
        <w:rPr>
          <w:rFonts w:ascii="Courier New" w:eastAsia="Times New Roman" w:hAnsi="Courier New" w:cs="Courier New"/>
          <w:color w:val="222222"/>
          <w:sz w:val="21"/>
          <w:szCs w:val="21"/>
          <w:lang w:val="en-PK" w:eastAsia="en-PK"/>
        </w:rPr>
        <w:t xml:space="preserve"> </w:t>
      </w:r>
      <w:r w:rsidRPr="0026306B">
        <w:rPr>
          <w:rFonts w:ascii="Courier New" w:eastAsia="Times New Roman" w:hAnsi="Courier New" w:cs="Courier New"/>
          <w:color w:val="208050"/>
          <w:sz w:val="21"/>
          <w:szCs w:val="21"/>
          <w:lang w:val="en-PK" w:eastAsia="en-PK"/>
        </w:rPr>
        <w:t>5000</w:t>
      </w:r>
      <w:r w:rsidRPr="0026306B">
        <w:rPr>
          <w:rFonts w:ascii="Courier New" w:eastAsia="Times New Roman" w:hAnsi="Courier New" w:cs="Courier New"/>
          <w:color w:val="222222"/>
          <w:sz w:val="21"/>
          <w:szCs w:val="21"/>
          <w:lang w:val="en-PK" w:eastAsia="en-PK"/>
        </w:rPr>
        <w:t xml:space="preserve"> }</w:t>
      </w:r>
    </w:p>
    <w:p w14:paraId="38EA8603" w14:textId="77777777" w:rsidR="0026306B" w:rsidRPr="0026306B" w:rsidRDefault="0026306B" w:rsidP="0026306B">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rPr>
          <w:rFonts w:ascii="Courier New" w:eastAsia="Times New Roman" w:hAnsi="Courier New" w:cs="Courier New"/>
          <w:color w:val="222222"/>
          <w:sz w:val="21"/>
          <w:szCs w:val="21"/>
          <w:lang w:val="en-PK" w:eastAsia="en-PK"/>
        </w:rPr>
      </w:pPr>
      <w:r w:rsidRPr="0026306B">
        <w:rPr>
          <w:rFonts w:ascii="Courier New" w:eastAsia="Times New Roman" w:hAnsi="Courier New" w:cs="Courier New"/>
          <w:color w:val="222222"/>
          <w:sz w:val="21"/>
          <w:szCs w:val="21"/>
          <w:lang w:val="en-PK" w:eastAsia="en-PK"/>
        </w:rPr>
        <w:t>rs.reconfig(cfg)</w:t>
      </w:r>
    </w:p>
    <w:p w14:paraId="1823F696"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If you issue a write operation with a specific write concern, the write operation uses its own write concern instead of the default.</w:t>
      </w:r>
    </w:p>
    <w:p w14:paraId="36B795A2" w14:textId="77777777" w:rsidR="0026306B" w:rsidRPr="0026306B" w:rsidRDefault="0026306B" w:rsidP="0026306B">
      <w:pPr>
        <w:shd w:val="clear" w:color="auto" w:fill="FFFFFF"/>
        <w:spacing w:after="0" w:line="360" w:lineRule="atLeast"/>
        <w:rPr>
          <w:rFonts w:ascii="Helvetica" w:eastAsia="Times New Roman" w:hAnsi="Helvetica" w:cs="Helvetica"/>
          <w:b/>
          <w:bCs/>
          <w:caps/>
          <w:color w:val="494747"/>
          <w:sz w:val="18"/>
          <w:szCs w:val="18"/>
          <w:lang w:val="en-PK" w:eastAsia="en-PK"/>
        </w:rPr>
      </w:pPr>
      <w:r w:rsidRPr="0026306B">
        <w:rPr>
          <w:rFonts w:ascii="Helvetica" w:eastAsia="Times New Roman" w:hAnsi="Helvetica" w:cs="Helvetica"/>
          <w:b/>
          <w:bCs/>
          <w:caps/>
          <w:color w:val="494747"/>
          <w:sz w:val="18"/>
          <w:szCs w:val="18"/>
          <w:lang w:val="en-PK" w:eastAsia="en-PK"/>
        </w:rPr>
        <w:t>SEE ALSO</w:t>
      </w:r>
    </w:p>
    <w:p w14:paraId="3BF44A15" w14:textId="77777777" w:rsidR="0026306B" w:rsidRPr="0026306B" w:rsidRDefault="0026306B" w:rsidP="0026306B">
      <w:pPr>
        <w:shd w:val="clear" w:color="auto" w:fill="FFFFFF"/>
        <w:spacing w:line="240" w:lineRule="auto"/>
        <w:rPr>
          <w:rFonts w:ascii="Helvetica" w:eastAsia="Times New Roman" w:hAnsi="Helvetica" w:cs="Helvetica"/>
          <w:color w:val="494747"/>
          <w:sz w:val="24"/>
          <w:szCs w:val="24"/>
          <w:lang w:val="en-PK" w:eastAsia="en-PK"/>
        </w:rPr>
      </w:pPr>
      <w:hyperlink r:id="rId25" w:history="1">
        <w:r w:rsidRPr="0026306B">
          <w:rPr>
            <w:rFonts w:ascii="Helvetica" w:eastAsia="Times New Roman" w:hAnsi="Helvetica" w:cs="Helvetica"/>
            <w:color w:val="006CBC"/>
            <w:sz w:val="24"/>
            <w:szCs w:val="24"/>
            <w:lang w:val="en-PK" w:eastAsia="en-PK"/>
          </w:rPr>
          <w:t>Write Concern</w:t>
        </w:r>
      </w:hyperlink>
    </w:p>
    <w:p w14:paraId="25CAE67D" w14:textId="77777777" w:rsidR="0026306B" w:rsidRPr="0026306B" w:rsidRDefault="0026306B" w:rsidP="0026306B">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6306B">
        <w:rPr>
          <w:rFonts w:ascii="Helvetica" w:eastAsia="Times New Roman" w:hAnsi="Helvetica" w:cs="Helvetica"/>
          <w:color w:val="313030"/>
          <w:sz w:val="36"/>
          <w:szCs w:val="36"/>
          <w:lang w:val="en-PK" w:eastAsia="en-PK"/>
        </w:rPr>
        <w:t>Custom Write Concerns</w:t>
      </w:r>
    </w:p>
    <w:p w14:paraId="73F92199" w14:textId="77777777" w:rsidR="0026306B" w:rsidRPr="0026306B" w:rsidRDefault="0026306B" w:rsidP="0026306B">
      <w:pPr>
        <w:shd w:val="clear" w:color="auto" w:fill="FFFFFF"/>
        <w:spacing w:before="360" w:after="360" w:line="240" w:lineRule="auto"/>
        <w:rPr>
          <w:rFonts w:ascii="Helvetica" w:eastAsia="Times New Roman" w:hAnsi="Helvetica" w:cs="Helvetica"/>
          <w:color w:val="494747"/>
          <w:sz w:val="24"/>
          <w:szCs w:val="24"/>
          <w:lang w:val="en-PK" w:eastAsia="en-PK"/>
        </w:rPr>
      </w:pPr>
      <w:r w:rsidRPr="0026306B">
        <w:rPr>
          <w:rFonts w:ascii="Helvetica" w:eastAsia="Times New Roman" w:hAnsi="Helvetica" w:cs="Helvetica"/>
          <w:color w:val="494747"/>
          <w:sz w:val="24"/>
          <w:szCs w:val="24"/>
          <w:lang w:val="en-PK" w:eastAsia="en-PK"/>
        </w:rPr>
        <w:t>You can </w:t>
      </w:r>
      <w:hyperlink r:id="rId26" w:history="1">
        <w:r w:rsidRPr="0026306B">
          <w:rPr>
            <w:rFonts w:ascii="Helvetica" w:eastAsia="Times New Roman" w:hAnsi="Helvetica" w:cs="Helvetica"/>
            <w:color w:val="006CBC"/>
            <w:sz w:val="24"/>
            <w:szCs w:val="24"/>
            <w:lang w:val="en-PK" w:eastAsia="en-PK"/>
          </w:rPr>
          <w:t>tag</w:t>
        </w:r>
      </w:hyperlink>
      <w:r w:rsidRPr="0026306B">
        <w:rPr>
          <w:rFonts w:ascii="Helvetica" w:eastAsia="Times New Roman" w:hAnsi="Helvetica" w:cs="Helvetica"/>
          <w:color w:val="494747"/>
          <w:sz w:val="24"/>
          <w:szCs w:val="24"/>
          <w:lang w:val="en-PK" w:eastAsia="en-PK"/>
        </w:rPr>
        <w:t> the members of replica sets and use the resulting tag sets to create custom write concerns. See </w:t>
      </w:r>
      <w:hyperlink r:id="rId27" w:history="1">
        <w:r w:rsidRPr="0026306B">
          <w:rPr>
            <w:rFonts w:ascii="Helvetica" w:eastAsia="Times New Roman" w:hAnsi="Helvetica" w:cs="Helvetica"/>
            <w:color w:val="006CBC"/>
            <w:sz w:val="24"/>
            <w:szCs w:val="24"/>
            <w:lang w:val="en-PK" w:eastAsia="en-PK"/>
          </w:rPr>
          <w:t>Configure Replica Set Tag Sets</w:t>
        </w:r>
      </w:hyperlink>
      <w:r w:rsidRPr="0026306B">
        <w:rPr>
          <w:rFonts w:ascii="Helvetica" w:eastAsia="Times New Roman" w:hAnsi="Helvetica" w:cs="Helvetica"/>
          <w:color w:val="494747"/>
          <w:sz w:val="24"/>
          <w:szCs w:val="24"/>
          <w:lang w:val="en-PK" w:eastAsia="en-PK"/>
        </w:rPr>
        <w:t> for information on configuring custom write concerns using tag sets.</w:t>
      </w:r>
    </w:p>
    <w:p w14:paraId="464C0799"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E395895"/>
    <w:multiLevelType w:val="multilevel"/>
    <w:tmpl w:val="1E84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B6"/>
    <w:rsid w:val="0026306B"/>
    <w:rsid w:val="00A06BD3"/>
    <w:rsid w:val="00CB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2D36EF-C261-4E78-99AA-534D07C01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2585658">
      <w:bodyDiv w:val="1"/>
      <w:marLeft w:val="0"/>
      <w:marRight w:val="0"/>
      <w:marTop w:val="0"/>
      <w:marBottom w:val="0"/>
      <w:divBdr>
        <w:top w:val="none" w:sz="0" w:space="0" w:color="auto"/>
        <w:left w:val="none" w:sz="0" w:space="0" w:color="auto"/>
        <w:bottom w:val="none" w:sz="0" w:space="0" w:color="auto"/>
        <w:right w:val="none" w:sz="0" w:space="0" w:color="auto"/>
      </w:divBdr>
      <w:divsChild>
        <w:div w:id="105346732">
          <w:marLeft w:val="0"/>
          <w:marRight w:val="0"/>
          <w:marTop w:val="150"/>
          <w:marBottom w:val="150"/>
          <w:divBdr>
            <w:top w:val="single" w:sz="6" w:space="0" w:color="CCCCCC"/>
            <w:left w:val="single" w:sz="6" w:space="6" w:color="CCCCCC"/>
            <w:bottom w:val="single" w:sz="6" w:space="6" w:color="CCCCCC"/>
            <w:right w:val="single" w:sz="6" w:space="6" w:color="CCCCCC"/>
          </w:divBdr>
        </w:div>
        <w:div w:id="1521973564">
          <w:marLeft w:val="0"/>
          <w:marRight w:val="0"/>
          <w:marTop w:val="0"/>
          <w:marBottom w:val="0"/>
          <w:divBdr>
            <w:top w:val="none" w:sz="0" w:space="0" w:color="auto"/>
            <w:left w:val="none" w:sz="0" w:space="0" w:color="auto"/>
            <w:bottom w:val="none" w:sz="0" w:space="0" w:color="auto"/>
            <w:right w:val="none" w:sz="0" w:space="0" w:color="auto"/>
          </w:divBdr>
        </w:div>
        <w:div w:id="390080684">
          <w:marLeft w:val="0"/>
          <w:marRight w:val="0"/>
          <w:marTop w:val="0"/>
          <w:marBottom w:val="0"/>
          <w:divBdr>
            <w:top w:val="none" w:sz="0" w:space="0" w:color="auto"/>
            <w:left w:val="none" w:sz="0" w:space="0" w:color="auto"/>
            <w:bottom w:val="none" w:sz="0" w:space="0" w:color="auto"/>
            <w:right w:val="none" w:sz="0" w:space="0" w:color="auto"/>
          </w:divBdr>
          <w:divsChild>
            <w:div w:id="1682272623">
              <w:marLeft w:val="0"/>
              <w:marRight w:val="0"/>
              <w:marTop w:val="300"/>
              <w:marBottom w:val="300"/>
              <w:divBdr>
                <w:top w:val="none" w:sz="0" w:space="0" w:color="auto"/>
                <w:left w:val="none" w:sz="0" w:space="0" w:color="auto"/>
                <w:bottom w:val="none" w:sz="0" w:space="0" w:color="auto"/>
                <w:right w:val="none" w:sz="0" w:space="0" w:color="auto"/>
              </w:divBdr>
              <w:divsChild>
                <w:div w:id="1027485226">
                  <w:marLeft w:val="0"/>
                  <w:marRight w:val="0"/>
                  <w:marTop w:val="0"/>
                  <w:marBottom w:val="0"/>
                  <w:divBdr>
                    <w:top w:val="none" w:sz="0" w:space="0" w:color="auto"/>
                    <w:left w:val="single" w:sz="36" w:space="0" w:color="494747"/>
                    <w:bottom w:val="none" w:sz="0" w:space="0" w:color="auto"/>
                    <w:right w:val="none" w:sz="0" w:space="0" w:color="auto"/>
                  </w:divBdr>
                  <w:divsChild>
                    <w:div w:id="407121518">
                      <w:marLeft w:val="0"/>
                      <w:marRight w:val="0"/>
                      <w:marTop w:val="0"/>
                      <w:marBottom w:val="0"/>
                      <w:divBdr>
                        <w:top w:val="none" w:sz="0" w:space="0" w:color="auto"/>
                        <w:left w:val="none" w:sz="0" w:space="0" w:color="auto"/>
                        <w:bottom w:val="none" w:sz="0" w:space="0" w:color="auto"/>
                        <w:right w:val="none" w:sz="0" w:space="0" w:color="auto"/>
                      </w:divBdr>
                    </w:div>
                  </w:divsChild>
                </w:div>
                <w:div w:id="1888294693">
                  <w:marLeft w:val="0"/>
                  <w:marRight w:val="0"/>
                  <w:marTop w:val="0"/>
                  <w:marBottom w:val="0"/>
                  <w:divBdr>
                    <w:top w:val="none" w:sz="0" w:space="0" w:color="auto"/>
                    <w:left w:val="none" w:sz="0" w:space="0" w:color="auto"/>
                    <w:bottom w:val="none" w:sz="0" w:space="0" w:color="auto"/>
                    <w:right w:val="none" w:sz="0" w:space="0" w:color="auto"/>
                  </w:divBdr>
                  <w:divsChild>
                    <w:div w:id="2559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10256">
              <w:marLeft w:val="0"/>
              <w:marRight w:val="0"/>
              <w:marTop w:val="360"/>
              <w:marBottom w:val="360"/>
              <w:divBdr>
                <w:top w:val="none" w:sz="0" w:space="0" w:color="auto"/>
                <w:left w:val="none" w:sz="0" w:space="0" w:color="auto"/>
                <w:bottom w:val="none" w:sz="0" w:space="0" w:color="auto"/>
                <w:right w:val="none" w:sz="0" w:space="0" w:color="auto"/>
              </w:divBdr>
            </w:div>
          </w:divsChild>
        </w:div>
        <w:div w:id="1517381993">
          <w:marLeft w:val="0"/>
          <w:marRight w:val="0"/>
          <w:marTop w:val="0"/>
          <w:marBottom w:val="0"/>
          <w:divBdr>
            <w:top w:val="none" w:sz="0" w:space="0" w:color="auto"/>
            <w:left w:val="none" w:sz="0" w:space="0" w:color="auto"/>
            <w:bottom w:val="none" w:sz="0" w:space="0" w:color="auto"/>
            <w:right w:val="none" w:sz="0" w:space="0" w:color="auto"/>
          </w:divBdr>
          <w:divsChild>
            <w:div w:id="385494564">
              <w:marLeft w:val="0"/>
              <w:marRight w:val="0"/>
              <w:marTop w:val="300"/>
              <w:marBottom w:val="300"/>
              <w:divBdr>
                <w:top w:val="none" w:sz="0" w:space="0" w:color="auto"/>
                <w:left w:val="none" w:sz="0" w:space="0" w:color="auto"/>
                <w:bottom w:val="none" w:sz="0" w:space="0" w:color="auto"/>
                <w:right w:val="none" w:sz="0" w:space="0" w:color="auto"/>
              </w:divBdr>
              <w:divsChild>
                <w:div w:id="271666148">
                  <w:marLeft w:val="0"/>
                  <w:marRight w:val="0"/>
                  <w:marTop w:val="0"/>
                  <w:marBottom w:val="0"/>
                  <w:divBdr>
                    <w:top w:val="none" w:sz="0" w:space="0" w:color="auto"/>
                    <w:left w:val="single" w:sz="36" w:space="0" w:color="494747"/>
                    <w:bottom w:val="none" w:sz="0" w:space="0" w:color="auto"/>
                    <w:right w:val="none" w:sz="0" w:space="0" w:color="auto"/>
                  </w:divBdr>
                  <w:divsChild>
                    <w:div w:id="1937788547">
                      <w:marLeft w:val="0"/>
                      <w:marRight w:val="0"/>
                      <w:marTop w:val="0"/>
                      <w:marBottom w:val="0"/>
                      <w:divBdr>
                        <w:top w:val="none" w:sz="0" w:space="0" w:color="auto"/>
                        <w:left w:val="none" w:sz="0" w:space="0" w:color="auto"/>
                        <w:bottom w:val="none" w:sz="0" w:space="0" w:color="auto"/>
                        <w:right w:val="none" w:sz="0" w:space="0" w:color="auto"/>
                      </w:divBdr>
                    </w:div>
                  </w:divsChild>
                </w:div>
                <w:div w:id="416287755">
                  <w:marLeft w:val="0"/>
                  <w:marRight w:val="0"/>
                  <w:marTop w:val="0"/>
                  <w:marBottom w:val="0"/>
                  <w:divBdr>
                    <w:top w:val="none" w:sz="0" w:space="0" w:color="auto"/>
                    <w:left w:val="none" w:sz="0" w:space="0" w:color="auto"/>
                    <w:bottom w:val="none" w:sz="0" w:space="0" w:color="auto"/>
                    <w:right w:val="none" w:sz="0" w:space="0" w:color="auto"/>
                  </w:divBdr>
                  <w:divsChild>
                    <w:div w:id="1817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4810">
              <w:marLeft w:val="0"/>
              <w:marRight w:val="0"/>
              <w:marTop w:val="360"/>
              <w:marBottom w:val="360"/>
              <w:divBdr>
                <w:top w:val="none" w:sz="0" w:space="0" w:color="auto"/>
                <w:left w:val="none" w:sz="0" w:space="0" w:color="auto"/>
                <w:bottom w:val="none" w:sz="0" w:space="0" w:color="auto"/>
                <w:right w:val="none" w:sz="0" w:space="0" w:color="auto"/>
              </w:divBdr>
            </w:div>
          </w:divsChild>
        </w:div>
        <w:div w:id="460267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manual/reference/write-concern/" TargetMode="External"/><Relationship Id="rId13" Type="http://schemas.openxmlformats.org/officeDocument/2006/relationships/hyperlink" Target="https://docs.mongodb.com/manual/core/replica-set-rollbacks/" TargetMode="External"/><Relationship Id="rId18" Type="http://schemas.openxmlformats.org/officeDocument/2006/relationships/hyperlink" Target="https://docs.mongodb.com/manual/reference/write-concern/" TargetMode="External"/><Relationship Id="rId26" Type="http://schemas.openxmlformats.org/officeDocument/2006/relationships/hyperlink" Target="https://docs.mongodb.com/manual/tutorial/configure-replica-set-tag-sets/" TargetMode="External"/><Relationship Id="rId3" Type="http://schemas.openxmlformats.org/officeDocument/2006/relationships/settings" Target="settings.xml"/><Relationship Id="rId21" Type="http://schemas.openxmlformats.org/officeDocument/2006/relationships/hyperlink" Target="https://docs.mongodb.com/manual/reference/write-concern/" TargetMode="External"/><Relationship Id="rId7" Type="http://schemas.openxmlformats.org/officeDocument/2006/relationships/hyperlink" Target="https://docs.mongodb.com/manual/core/replica-set-write-concern/" TargetMode="External"/><Relationship Id="rId12" Type="http://schemas.openxmlformats.org/officeDocument/2006/relationships/hyperlink" Target="https://docs.mongodb.com/manual/reference/write-concern/" TargetMode="External"/><Relationship Id="rId17" Type="http://schemas.openxmlformats.org/officeDocument/2006/relationships/hyperlink" Target="https://docs.mongodb.com/manual/reference/method/db.collection.insert/" TargetMode="External"/><Relationship Id="rId25" Type="http://schemas.openxmlformats.org/officeDocument/2006/relationships/hyperlink" Target="https://docs.mongodb.com/manual/reference/write-concern/" TargetMode="External"/><Relationship Id="rId2" Type="http://schemas.openxmlformats.org/officeDocument/2006/relationships/styles" Target="styles.xml"/><Relationship Id="rId16" Type="http://schemas.openxmlformats.org/officeDocument/2006/relationships/hyperlink" Target="https://docs.mongodb.com/manual/core/replica-set-rollbacks/" TargetMode="External"/><Relationship Id="rId20" Type="http://schemas.openxmlformats.org/officeDocument/2006/relationships/hyperlink" Target="https://docs.mongodb.com/manual/reference/write-concer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mongodb.com/manual/core/replica-set-write-concern/" TargetMode="External"/><Relationship Id="rId11" Type="http://schemas.openxmlformats.org/officeDocument/2006/relationships/hyperlink" Target="https://docs.mongodb.com/manual/core/journaling/" TargetMode="External"/><Relationship Id="rId24" Type="http://schemas.openxmlformats.org/officeDocument/2006/relationships/hyperlink" Target="https://docs.mongodb.com/manual/reference/replica-configuration/" TargetMode="External"/><Relationship Id="rId5" Type="http://schemas.openxmlformats.org/officeDocument/2006/relationships/hyperlink" Target="https://docs.mongodb.com/manual/core/replica-set-write-concern/" TargetMode="External"/><Relationship Id="rId15" Type="http://schemas.openxmlformats.org/officeDocument/2006/relationships/hyperlink" Target="https://docs.mongodb.com/manual/replication/" TargetMode="External"/><Relationship Id="rId23" Type="http://schemas.openxmlformats.org/officeDocument/2006/relationships/hyperlink" Target="https://docs.mongodb.com/manual/reference/replica-configuration/" TargetMode="External"/><Relationship Id="rId28" Type="http://schemas.openxmlformats.org/officeDocument/2006/relationships/fontTable" Target="fontTable.xml"/><Relationship Id="rId10" Type="http://schemas.openxmlformats.org/officeDocument/2006/relationships/hyperlink" Target="https://docs.mongodb.com/manual/reference/write-concern/" TargetMode="External"/><Relationship Id="rId19" Type="http://schemas.openxmlformats.org/officeDocument/2006/relationships/hyperlink" Target="https://docs.mongodb.com/manual/reference/write-concern/" TargetMode="External"/><Relationship Id="rId4" Type="http://schemas.openxmlformats.org/officeDocument/2006/relationships/webSettings" Target="webSettings.xml"/><Relationship Id="rId9" Type="http://schemas.openxmlformats.org/officeDocument/2006/relationships/hyperlink" Target="https://docs.mongodb.com/manual/reference/write-concern/" TargetMode="External"/><Relationship Id="rId14" Type="http://schemas.openxmlformats.org/officeDocument/2006/relationships/hyperlink" Target="https://docs.mongodb.com/manual/reference/write-concern/" TargetMode="External"/><Relationship Id="rId22" Type="http://schemas.openxmlformats.org/officeDocument/2006/relationships/hyperlink" Target="https://docs.mongodb.com/manual/release-notes/2.6-compatibility/" TargetMode="External"/><Relationship Id="rId27" Type="http://schemas.openxmlformats.org/officeDocument/2006/relationships/hyperlink" Target="https://docs.mongodb.com/manual/tutorial/configure-replica-set-tag-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1125</Words>
  <Characters>6415</Characters>
  <Application>Microsoft Office Word</Application>
  <DocSecurity>0</DocSecurity>
  <Lines>53</Lines>
  <Paragraphs>15</Paragraphs>
  <ScaleCrop>false</ScaleCrop>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2020-11-14T05:46:00Z</dcterms:created>
  <dcterms:modified xsi:type="dcterms:W3CDTF">2020-11-14T05:46:00Z</dcterms:modified>
</cp:coreProperties>
</file>