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1AD0A">
      <w:pPr>
        <w:pStyle w:val="172"/>
        <w:spacing w:before="700"/>
      </w:pPr>
      <w:r>
        <w:t>客户沟通版  /  评审修订</w:t>
      </w:r>
    </w:p>
    <w:p w14:paraId="38DC56D9">
      <w:pPr>
        <w:pStyle w:val="171"/>
        <w:pBdr>
          <w:bottom w:val="single" w:color="245A64" w:sz="10" w:space="12"/>
        </w:pBdr>
      </w:pPr>
      <w:r>
        <w:t>Wellbeing AI</w:t>
      </w:r>
      <w:r>
        <w:br w:type="textWrapping"/>
      </w:r>
      <w:r>
        <w:t>教育内容平台功能清单</w:t>
      </w:r>
    </w:p>
    <w:p w14:paraId="00763C0B">
      <w:pPr>
        <w:pStyle w:val="170"/>
        <w:spacing w:before="220"/>
      </w:pPr>
      <w:r>
        <w:t>版本  V2026.09.20-R2     更新日期  2026 年 9 月 20 日</w:t>
      </w:r>
    </w:p>
    <w:p w14:paraId="0868CB0D">
      <w:pPr>
        <w:pStyle w:val="164"/>
      </w:pPr>
      <w:r>
        <w:t>本文件以客户使用场景为主线，说明平台在教学内容创作与互动、课程组织与授课、教学资源与知识资产、质量发布、组织权限、AI 平台支撑及平台体验方面的能力。</w:t>
      </w:r>
    </w:p>
    <w:p w14:paraId="2827EB13">
      <w:pPr>
        <w:pStyle w:val="173"/>
      </w:pPr>
      <w:r>
        <w:t>文档使用说明</w:t>
      </w:r>
    </w:p>
    <w:p w14:paraId="37FFB53F">
      <w:r>
        <w:t>本文用于汇总平台功能与当前需求沟通结果，作为功能范围沟通和后续细化的参考，不直接替代开发排期、交付清单或验收标准。</w:t>
      </w:r>
    </w:p>
    <w:p w14:paraId="476491CA">
      <w:r>
        <w:t>文中“支持”“提供”等为功能说明，不代表所列能力均已上线或均在本期交付。现有能力、本期新增或优化内容及后续建设范围需分别确认；需求已确认与本期交付不是同一状态。</w:t>
      </w:r>
    </w:p>
    <w:p w14:paraId="3EBBFCC0">
      <w:r>
        <w:t>“需求待确认”仅表示记录了模块名称；“待确认事项”和“范围说明”用于提示尚未确定的业务规则或实施方式。未作状态标注的内容，也不因此视为已完成确认。</w:t>
      </w:r>
    </w:p>
    <w:p w14:paraId="68172A13">
      <w:pPr>
        <w:pStyle w:val="173"/>
      </w:pPr>
      <w:r>
        <w:t>范围与阅读提示</w:t>
      </w:r>
    </w:p>
    <w:p w14:paraId="21880E1D">
      <w:r>
        <w:t>本版保留七个能力领域及 1–18 的功能编号，功能概览兼作阅读目录。各章节按平台能力分类，不等同于首页菜单或产品入口结构。</w:t>
      </w:r>
    </w:p>
    <w:p w14:paraId="1C026D72">
      <w:r>
        <w:t>客户原始架构中的“我的作品”“灵感广场”“经典案例直接使用／生成同款”等，尚未在本清单逐项展开，是否纳入后续范围需另行核对；本次不据此自动新增功能。</w:t>
      </w:r>
    </w:p>
    <w:p w14:paraId="5ADA4B5C">
      <w:pPr>
        <w:pStyle w:val="173"/>
      </w:pPr>
      <w:r>
        <w:t>本版修订重点</w:t>
      </w:r>
    </w:p>
    <w:p w14:paraId="73CACC77">
      <w:pPr>
        <w:pStyle w:val="170"/>
      </w:pPr>
      <w:r>
        <w:t>根据项目当前实现更新 AI 绘本制作、星光录音棚和歌曲编唱屋的功能点，统一模块名称与实际制作流程；能力训练、趣味练习、主题活动继续仅保留名称和待确认说明。</w:t>
      </w:r>
    </w:p>
    <w:p w14:paraId="7E360657">
      <w:pPr>
        <w:pStyle w:val="3"/>
        <w:pageBreakBefore/>
      </w:pPr>
      <w:bookmarkStart w:id="0" w:name="overview"/>
      <w:r>
        <w:t>平台功能概览与目录</w:t>
      </w:r>
      <w:bookmarkEnd w:id="0"/>
    </w:p>
    <w:p w14:paraId="436A6008">
      <w:pPr>
        <w:pStyle w:val="164"/>
      </w:pPr>
      <w:r>
        <w:t>Wellbeing 围绕教师备课、内容创作、课程组织和课堂授课建立完整工具链，并通过知识资产沉淀、质量审核、组织权限管理和场景化平台体验形成持续复用、易于使用的教学能力。</w:t>
      </w:r>
    </w:p>
    <w:p w14:paraId="4D9702EB">
      <w:pPr>
        <w:pStyle w:val="170"/>
      </w:pPr>
      <w:r>
        <w:t>点击功能名称可跳转至正文；第 6–8 项仅记录名称，具体需求待客户确认。</w:t>
      </w:r>
    </w:p>
    <w:tbl>
      <w:tblPr>
        <w:tblStyle w:val="32"/>
        <w:tblW w:w="0" w:type="auto"/>
        <w:jc w:val="center"/>
        <w:tblBorders>
          <w:top w:val="single" w:color="D9E5E6" w:sz="4" w:space="0"/>
          <w:left w:val="single" w:color="D9E5E6" w:sz="4" w:space="0"/>
          <w:bottom w:val="single" w:color="D9E5E6" w:sz="4" w:space="0"/>
          <w:right w:val="single" w:color="D9E5E6" w:sz="4" w:space="0"/>
          <w:insideH w:val="single" w:color="D9E5E6" w:sz="4" w:space="0"/>
          <w:insideV w:val="single" w:color="D9E5E6" w:sz="4" w:space="0"/>
        </w:tblBorders>
        <w:tblLayout w:type="fixed"/>
        <w:tblCellMar>
          <w:top w:w="0" w:type="dxa"/>
          <w:left w:w="108" w:type="dxa"/>
          <w:bottom w:w="0" w:type="dxa"/>
          <w:right w:w="108" w:type="dxa"/>
        </w:tblCellMar>
      </w:tblPr>
      <w:tblGrid>
        <w:gridCol w:w="2268"/>
        <w:gridCol w:w="6520"/>
        <w:gridCol w:w="737"/>
      </w:tblGrid>
      <w:tr w14:paraId="62A869F0">
        <w:trPr>
          <w:cantSplit/>
          <w:tblHeader/>
          <w:jc w:val="center"/>
        </w:trPr>
        <w:tc>
          <w:tcPr>
            <w:tcW w:w="2268" w:type="dxa"/>
            <w:shd w:val="clear" w:color="auto" w:fill="245A64"/>
            <w:tcMar>
              <w:top w:w="75" w:type="dxa"/>
              <w:left w:w="120" w:type="dxa"/>
              <w:bottom w:w="75" w:type="dxa"/>
              <w:right w:w="120" w:type="dxa"/>
            </w:tcMar>
            <w:vAlign w:val="center"/>
          </w:tcPr>
          <w:p w14:paraId="59D97B02">
            <w:pPr>
              <w:pStyle w:val="168"/>
              <w:keepNext w:val="0"/>
            </w:pPr>
            <w:r>
              <w:rPr>
                <w:b/>
                <w:color w:val="FFFFFF"/>
              </w:rPr>
              <w:t>能力领域</w:t>
            </w:r>
          </w:p>
        </w:tc>
        <w:tc>
          <w:tcPr>
            <w:tcW w:w="6520" w:type="dxa"/>
            <w:shd w:val="clear" w:color="auto" w:fill="245A64"/>
            <w:tcMar>
              <w:top w:w="75" w:type="dxa"/>
              <w:left w:w="120" w:type="dxa"/>
              <w:bottom w:w="75" w:type="dxa"/>
              <w:right w:w="120" w:type="dxa"/>
            </w:tcMar>
            <w:vAlign w:val="center"/>
          </w:tcPr>
          <w:p w14:paraId="7BF59709">
            <w:pPr>
              <w:pStyle w:val="168"/>
              <w:keepNext w:val="0"/>
            </w:pPr>
            <w:r>
              <w:rPr>
                <w:b/>
                <w:color w:val="FFFFFF"/>
              </w:rPr>
              <w:t>功能条目</w:t>
            </w:r>
          </w:p>
        </w:tc>
        <w:tc>
          <w:tcPr>
            <w:tcW w:w="737" w:type="dxa"/>
            <w:shd w:val="clear" w:color="auto" w:fill="245A64"/>
            <w:tcMar>
              <w:top w:w="75" w:type="dxa"/>
              <w:left w:w="120" w:type="dxa"/>
              <w:bottom w:w="75" w:type="dxa"/>
              <w:right w:w="120" w:type="dxa"/>
            </w:tcMar>
            <w:vAlign w:val="center"/>
          </w:tcPr>
          <w:p w14:paraId="7706B873">
            <w:pPr>
              <w:pStyle w:val="168"/>
              <w:keepNext w:val="0"/>
            </w:pPr>
            <w:r>
              <w:rPr>
                <w:b/>
                <w:color w:val="FFFFFF"/>
              </w:rPr>
              <w:t>页码</w:t>
            </w:r>
          </w:p>
        </w:tc>
      </w:tr>
      <w:tr w14:paraId="58CE4E19">
        <w:trPr>
          <w:cantSplit/>
          <w:jc w:val="center"/>
        </w:trPr>
        <w:tc>
          <w:tcPr>
            <w:tcW w:w="2268" w:type="dxa"/>
            <w:vMerge w:val="restart"/>
            <w:shd w:val="clear" w:color="auto" w:fill="EFF5F5"/>
            <w:tcMar>
              <w:top w:w="75" w:type="dxa"/>
              <w:left w:w="120" w:type="dxa"/>
              <w:bottom w:w="75" w:type="dxa"/>
              <w:right w:w="120" w:type="dxa"/>
            </w:tcMar>
            <w:vAlign w:val="center"/>
          </w:tcPr>
          <w:p w14:paraId="7AE3223E">
            <w:pPr>
              <w:pStyle w:val="168"/>
            </w:pPr>
            <w:r>
              <w:rPr>
                <w:b/>
                <w:color w:val="245A64"/>
              </w:rPr>
              <w:t>一</w:t>
            </w:r>
            <w:r>
              <w:rPr>
                <w:b/>
                <w:color w:val="245A64"/>
              </w:rPr>
              <w:br w:type="textWrapping"/>
            </w:r>
            <w:r>
              <w:rPr>
                <w:b/>
                <w:color w:val="245A64"/>
              </w:rPr>
              <w:t>教学内容创作与互动</w:t>
            </w:r>
          </w:p>
        </w:tc>
        <w:tc>
          <w:tcPr>
            <w:tcW w:w="6520" w:type="dxa"/>
            <w:tcMar>
              <w:top w:w="75" w:type="dxa"/>
              <w:left w:w="120" w:type="dxa"/>
              <w:bottom w:w="75" w:type="dxa"/>
              <w:right w:w="120" w:type="dxa"/>
            </w:tcMar>
            <w:vAlign w:val="center"/>
          </w:tcPr>
          <w:p w14:paraId="72678150">
            <w:pPr>
              <w:pStyle w:val="168"/>
              <w:keepNext w:val="0"/>
            </w:pPr>
            <w:r>
              <w:fldChar w:fldCharType="begin"/>
            </w:r>
            <w:r>
              <w:instrText xml:space="preserve"> HYPERLINK \l "func_1" </w:instrText>
            </w:r>
            <w:r>
              <w:fldChar w:fldCharType="separate"/>
            </w:r>
            <w:r>
              <w:rPr>
                <w:rFonts w:ascii="Noto Sans CJK SC" w:hAnsi="Noto Sans CJK SC" w:eastAsia="Noto Sans CJK SC"/>
                <w:color w:val="245A64"/>
                <w:sz w:val="20"/>
              </w:rPr>
              <w:t>1  AI 绘本制作（已实现）</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67B475A1">
            <w:pPr>
              <w:pStyle w:val="168"/>
              <w:keepNext w:val="0"/>
              <w:jc w:val="center"/>
            </w:pPr>
            <w:r>
              <w:fldChar w:fldCharType="begin"/>
            </w:r>
            <w:r>
              <w:instrText xml:space="preserve"> PAGEREF func_1 \h </w:instrText>
            </w:r>
            <w:r>
              <w:fldChar w:fldCharType="separate"/>
            </w:r>
            <w:r>
              <w:t>3</w:t>
            </w:r>
            <w:r>
              <w:fldChar w:fldCharType="end"/>
            </w:r>
          </w:p>
        </w:tc>
      </w:tr>
      <w:tr w14:paraId="018DDED0">
        <w:trPr>
          <w:cantSplit/>
          <w:jc w:val="center"/>
        </w:trPr>
        <w:tc>
          <w:tcPr>
            <w:tcW w:w="2268" w:type="dxa"/>
            <w:vMerge w:val="continue"/>
            <w:tcMar>
              <w:top w:w="75" w:type="dxa"/>
              <w:left w:w="120" w:type="dxa"/>
              <w:bottom w:w="75" w:type="dxa"/>
              <w:right w:w="120" w:type="dxa"/>
            </w:tcMar>
            <w:vAlign w:val="center"/>
          </w:tcPr>
          <w:p w14:paraId="6036B2C2">
            <w:pPr>
              <w:pStyle w:val="168"/>
              <w:keepNext w:val="0"/>
            </w:pPr>
          </w:p>
        </w:tc>
        <w:tc>
          <w:tcPr>
            <w:tcW w:w="6520" w:type="dxa"/>
            <w:tcMar>
              <w:top w:w="75" w:type="dxa"/>
              <w:left w:w="120" w:type="dxa"/>
              <w:bottom w:w="75" w:type="dxa"/>
              <w:right w:w="120" w:type="dxa"/>
            </w:tcMar>
            <w:vAlign w:val="center"/>
          </w:tcPr>
          <w:p w14:paraId="3131EE4D">
            <w:pPr>
              <w:pStyle w:val="168"/>
              <w:keepNext w:val="0"/>
            </w:pPr>
            <w:r>
              <w:fldChar w:fldCharType="begin"/>
            </w:r>
            <w:r>
              <w:instrText xml:space="preserve"> HYPERLINK \l "func_2" </w:instrText>
            </w:r>
            <w:r>
              <w:fldChar w:fldCharType="separate"/>
            </w:r>
            <w:r>
              <w:rPr>
                <w:rFonts w:ascii="Noto Sans CJK SC" w:hAnsi="Noto Sans CJK SC" w:eastAsia="Noto Sans CJK SC"/>
                <w:color w:val="245A64"/>
                <w:sz w:val="20"/>
              </w:rPr>
              <w:t>2  星光录音棚（已实现）</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364E51B9">
            <w:pPr>
              <w:pStyle w:val="168"/>
              <w:keepNext w:val="0"/>
              <w:jc w:val="center"/>
            </w:pPr>
            <w:r>
              <w:fldChar w:fldCharType="begin"/>
            </w:r>
            <w:r>
              <w:instrText xml:space="preserve"> PAGEREF func_2 \h </w:instrText>
            </w:r>
            <w:r>
              <w:fldChar w:fldCharType="separate"/>
            </w:r>
            <w:r>
              <w:t>3</w:t>
            </w:r>
            <w:r>
              <w:fldChar w:fldCharType="end"/>
            </w:r>
          </w:p>
        </w:tc>
      </w:tr>
      <w:tr w14:paraId="34966FF6">
        <w:trPr>
          <w:cantSplit/>
          <w:jc w:val="center"/>
        </w:trPr>
        <w:tc>
          <w:tcPr>
            <w:tcW w:w="2268" w:type="dxa"/>
            <w:vMerge w:val="continue"/>
            <w:tcMar>
              <w:top w:w="75" w:type="dxa"/>
              <w:left w:w="120" w:type="dxa"/>
              <w:bottom w:w="75" w:type="dxa"/>
              <w:right w:w="120" w:type="dxa"/>
            </w:tcMar>
            <w:vAlign w:val="center"/>
          </w:tcPr>
          <w:p w14:paraId="08F4A0B0">
            <w:pPr>
              <w:pStyle w:val="168"/>
              <w:keepNext w:val="0"/>
            </w:pPr>
          </w:p>
        </w:tc>
        <w:tc>
          <w:tcPr>
            <w:tcW w:w="6520" w:type="dxa"/>
            <w:tcMar>
              <w:top w:w="75" w:type="dxa"/>
              <w:left w:w="120" w:type="dxa"/>
              <w:bottom w:w="75" w:type="dxa"/>
              <w:right w:w="120" w:type="dxa"/>
            </w:tcMar>
            <w:vAlign w:val="center"/>
          </w:tcPr>
          <w:p w14:paraId="1CE32BBA">
            <w:pPr>
              <w:pStyle w:val="168"/>
              <w:keepNext w:val="0"/>
            </w:pPr>
            <w:r>
              <w:fldChar w:fldCharType="begin"/>
            </w:r>
            <w:r>
              <w:instrText xml:space="preserve"> HYPERLINK \l "func_3" </w:instrText>
            </w:r>
            <w:r>
              <w:fldChar w:fldCharType="separate"/>
            </w:r>
            <w:r>
              <w:rPr>
                <w:rFonts w:ascii="Noto Sans CJK SC" w:hAnsi="Noto Sans CJK SC" w:eastAsia="Noto Sans CJK SC"/>
                <w:color w:val="245A64"/>
                <w:sz w:val="20"/>
              </w:rPr>
              <w:t>3  歌曲编唱屋（已实现）</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603D7D8F">
            <w:pPr>
              <w:pStyle w:val="168"/>
              <w:keepNext w:val="0"/>
              <w:jc w:val="center"/>
            </w:pPr>
            <w:r>
              <w:fldChar w:fldCharType="begin"/>
            </w:r>
            <w:r>
              <w:instrText xml:space="preserve"> PAGEREF func_3 \h </w:instrText>
            </w:r>
            <w:r>
              <w:fldChar w:fldCharType="separate"/>
            </w:r>
            <w:r>
              <w:t>4</w:t>
            </w:r>
            <w:r>
              <w:fldChar w:fldCharType="end"/>
            </w:r>
          </w:p>
        </w:tc>
      </w:tr>
      <w:tr w14:paraId="1BDCCAD3">
        <w:trPr>
          <w:cantSplit/>
          <w:jc w:val="center"/>
        </w:trPr>
        <w:tc>
          <w:tcPr>
            <w:tcW w:w="2268" w:type="dxa"/>
            <w:vMerge w:val="continue"/>
            <w:tcMar>
              <w:top w:w="75" w:type="dxa"/>
              <w:left w:w="120" w:type="dxa"/>
              <w:bottom w:w="75" w:type="dxa"/>
              <w:right w:w="120" w:type="dxa"/>
            </w:tcMar>
            <w:vAlign w:val="center"/>
          </w:tcPr>
          <w:p w14:paraId="1BA950BC">
            <w:pPr>
              <w:pStyle w:val="168"/>
              <w:keepNext w:val="0"/>
            </w:pPr>
          </w:p>
        </w:tc>
        <w:tc>
          <w:tcPr>
            <w:tcW w:w="6520" w:type="dxa"/>
            <w:tcMar>
              <w:top w:w="75" w:type="dxa"/>
              <w:left w:w="120" w:type="dxa"/>
              <w:bottom w:w="75" w:type="dxa"/>
              <w:right w:w="120" w:type="dxa"/>
            </w:tcMar>
            <w:vAlign w:val="center"/>
          </w:tcPr>
          <w:p w14:paraId="6E3B3D0B">
            <w:pPr>
              <w:pStyle w:val="168"/>
              <w:keepNext w:val="0"/>
            </w:pPr>
            <w:r>
              <w:fldChar w:fldCharType="begin"/>
            </w:r>
            <w:r>
              <w:instrText xml:space="preserve"> HYPERLINK \l "func_4" </w:instrText>
            </w:r>
            <w:r>
              <w:fldChar w:fldCharType="separate"/>
            </w:r>
            <w:r>
              <w:rPr>
                <w:rFonts w:ascii="Noto Sans CJK SC" w:hAnsi="Noto Sans CJK SC" w:eastAsia="Noto Sans CJK SC"/>
                <w:color w:val="245A64"/>
                <w:sz w:val="20"/>
              </w:rPr>
              <w:t>4  互动式情景瑜伽</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61EE6011">
            <w:pPr>
              <w:pStyle w:val="168"/>
              <w:keepNext w:val="0"/>
              <w:jc w:val="center"/>
            </w:pPr>
            <w:r>
              <w:fldChar w:fldCharType="begin"/>
            </w:r>
            <w:r>
              <w:instrText xml:space="preserve"> PAGEREF func_4 \h </w:instrText>
            </w:r>
            <w:r>
              <w:fldChar w:fldCharType="separate"/>
            </w:r>
            <w:r>
              <w:t>4</w:t>
            </w:r>
            <w:r>
              <w:fldChar w:fldCharType="end"/>
            </w:r>
          </w:p>
        </w:tc>
      </w:tr>
      <w:tr w14:paraId="67E95809">
        <w:trPr>
          <w:cantSplit/>
          <w:jc w:val="center"/>
        </w:trPr>
        <w:tc>
          <w:tcPr>
            <w:tcW w:w="2268" w:type="dxa"/>
            <w:vMerge w:val="continue"/>
            <w:tcMar>
              <w:top w:w="75" w:type="dxa"/>
              <w:left w:w="120" w:type="dxa"/>
              <w:bottom w:w="75" w:type="dxa"/>
              <w:right w:w="120" w:type="dxa"/>
            </w:tcMar>
            <w:vAlign w:val="center"/>
          </w:tcPr>
          <w:p w14:paraId="11D3C5A6">
            <w:pPr>
              <w:pStyle w:val="168"/>
              <w:keepNext w:val="0"/>
            </w:pPr>
          </w:p>
        </w:tc>
        <w:tc>
          <w:tcPr>
            <w:tcW w:w="6520" w:type="dxa"/>
            <w:tcMar>
              <w:top w:w="75" w:type="dxa"/>
              <w:left w:w="120" w:type="dxa"/>
              <w:bottom w:w="75" w:type="dxa"/>
              <w:right w:w="120" w:type="dxa"/>
            </w:tcMar>
            <w:vAlign w:val="center"/>
          </w:tcPr>
          <w:p w14:paraId="50C7F7ED">
            <w:pPr>
              <w:pStyle w:val="168"/>
              <w:keepNext w:val="0"/>
            </w:pPr>
            <w:r>
              <w:fldChar w:fldCharType="begin"/>
            </w:r>
            <w:r>
              <w:instrText xml:space="preserve"> HYPERLINK \l "func_5" </w:instrText>
            </w:r>
            <w:r>
              <w:fldChar w:fldCharType="separate"/>
            </w:r>
            <w:r>
              <w:rPr>
                <w:rFonts w:ascii="Noto Sans CJK SC" w:hAnsi="Noto Sans CJK SC" w:eastAsia="Noto Sans CJK SC"/>
                <w:color w:val="245A64"/>
                <w:sz w:val="20"/>
              </w:rPr>
              <w:t>5  其他情境教学</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5200B6CB">
            <w:pPr>
              <w:pStyle w:val="168"/>
              <w:keepNext w:val="0"/>
              <w:jc w:val="center"/>
            </w:pPr>
            <w:r>
              <w:fldChar w:fldCharType="begin"/>
            </w:r>
            <w:r>
              <w:instrText xml:space="preserve"> PAGEREF func_5 \h </w:instrText>
            </w:r>
            <w:r>
              <w:fldChar w:fldCharType="separate"/>
            </w:r>
            <w:r>
              <w:t>5</w:t>
            </w:r>
            <w:r>
              <w:fldChar w:fldCharType="end"/>
            </w:r>
          </w:p>
        </w:tc>
      </w:tr>
      <w:tr w14:paraId="29D74B14">
        <w:trPr>
          <w:cantSplit/>
          <w:jc w:val="center"/>
        </w:trPr>
        <w:tc>
          <w:tcPr>
            <w:tcW w:w="2268" w:type="dxa"/>
            <w:vMerge w:val="continue"/>
            <w:tcMar>
              <w:top w:w="75" w:type="dxa"/>
              <w:left w:w="120" w:type="dxa"/>
              <w:bottom w:w="75" w:type="dxa"/>
              <w:right w:w="120" w:type="dxa"/>
            </w:tcMar>
            <w:vAlign w:val="center"/>
          </w:tcPr>
          <w:p w14:paraId="0FED2159">
            <w:pPr>
              <w:pStyle w:val="168"/>
              <w:keepNext w:val="0"/>
            </w:pPr>
          </w:p>
        </w:tc>
        <w:tc>
          <w:tcPr>
            <w:tcW w:w="6520" w:type="dxa"/>
            <w:tcMar>
              <w:top w:w="75" w:type="dxa"/>
              <w:left w:w="120" w:type="dxa"/>
              <w:bottom w:w="75" w:type="dxa"/>
              <w:right w:w="120" w:type="dxa"/>
            </w:tcMar>
            <w:vAlign w:val="center"/>
          </w:tcPr>
          <w:p w14:paraId="6709F87B">
            <w:pPr>
              <w:pStyle w:val="168"/>
              <w:keepNext w:val="0"/>
            </w:pPr>
            <w:r>
              <w:fldChar w:fldCharType="begin"/>
            </w:r>
            <w:r>
              <w:instrText xml:space="preserve"> HYPERLINK \l "func_6" </w:instrText>
            </w:r>
            <w:r>
              <w:fldChar w:fldCharType="separate"/>
            </w:r>
            <w:r>
              <w:rPr>
                <w:rFonts w:ascii="Noto Sans CJK SC" w:hAnsi="Noto Sans CJK SC" w:eastAsia="Noto Sans CJK SC"/>
                <w:color w:val="245A64"/>
                <w:sz w:val="20"/>
              </w:rPr>
              <w:t>6  能力训练</w:t>
            </w:r>
            <w:r>
              <w:rPr>
                <w:rFonts w:ascii="Noto Sans CJK SC" w:hAnsi="Noto Sans CJK SC" w:eastAsia="Noto Sans CJK SC"/>
                <w:color w:val="245A64"/>
                <w:sz w:val="20"/>
              </w:rPr>
              <w:fldChar w:fldCharType="end"/>
            </w:r>
            <w:r>
              <w:rPr>
                <w:color w:val="59636A"/>
                <w:sz w:val="18"/>
              </w:rPr>
              <w:t xml:space="preserve">  ·  需求待确认</w:t>
            </w:r>
          </w:p>
        </w:tc>
        <w:tc>
          <w:tcPr>
            <w:tcW w:w="737" w:type="dxa"/>
            <w:tcMar>
              <w:top w:w="75" w:type="dxa"/>
              <w:left w:w="120" w:type="dxa"/>
              <w:bottom w:w="75" w:type="dxa"/>
              <w:right w:w="120" w:type="dxa"/>
            </w:tcMar>
            <w:vAlign w:val="center"/>
          </w:tcPr>
          <w:p w14:paraId="3EFB6BC3">
            <w:pPr>
              <w:pStyle w:val="168"/>
              <w:keepNext w:val="0"/>
              <w:jc w:val="center"/>
            </w:pPr>
            <w:r>
              <w:fldChar w:fldCharType="begin"/>
            </w:r>
            <w:r>
              <w:instrText xml:space="preserve"> PAGEREF func_6 \h </w:instrText>
            </w:r>
            <w:r>
              <w:fldChar w:fldCharType="separate"/>
            </w:r>
            <w:r>
              <w:t>6</w:t>
            </w:r>
            <w:r>
              <w:fldChar w:fldCharType="end"/>
            </w:r>
          </w:p>
        </w:tc>
      </w:tr>
      <w:tr w14:paraId="372552A8">
        <w:trPr>
          <w:cantSplit/>
          <w:jc w:val="center"/>
        </w:trPr>
        <w:tc>
          <w:tcPr>
            <w:tcW w:w="2268" w:type="dxa"/>
            <w:vMerge w:val="continue"/>
            <w:tcMar>
              <w:top w:w="75" w:type="dxa"/>
              <w:left w:w="120" w:type="dxa"/>
              <w:bottom w:w="75" w:type="dxa"/>
              <w:right w:w="120" w:type="dxa"/>
            </w:tcMar>
            <w:vAlign w:val="center"/>
          </w:tcPr>
          <w:p w14:paraId="451ECBAA">
            <w:pPr>
              <w:pStyle w:val="168"/>
              <w:keepNext w:val="0"/>
            </w:pPr>
          </w:p>
        </w:tc>
        <w:tc>
          <w:tcPr>
            <w:tcW w:w="6520" w:type="dxa"/>
            <w:tcMar>
              <w:top w:w="75" w:type="dxa"/>
              <w:left w:w="120" w:type="dxa"/>
              <w:bottom w:w="75" w:type="dxa"/>
              <w:right w:w="120" w:type="dxa"/>
            </w:tcMar>
            <w:vAlign w:val="center"/>
          </w:tcPr>
          <w:p w14:paraId="4EE793C6">
            <w:pPr>
              <w:pStyle w:val="168"/>
              <w:keepNext w:val="0"/>
            </w:pPr>
            <w:r>
              <w:fldChar w:fldCharType="begin"/>
            </w:r>
            <w:r>
              <w:instrText xml:space="preserve"> HYPERLINK \l "func_7" </w:instrText>
            </w:r>
            <w:r>
              <w:fldChar w:fldCharType="separate"/>
            </w:r>
            <w:r>
              <w:rPr>
                <w:rFonts w:ascii="Noto Sans CJK SC" w:hAnsi="Noto Sans CJK SC" w:eastAsia="Noto Sans CJK SC"/>
                <w:color w:val="245A64"/>
                <w:sz w:val="20"/>
              </w:rPr>
              <w:t>7  趣味练习</w:t>
            </w:r>
            <w:r>
              <w:rPr>
                <w:rFonts w:ascii="Noto Sans CJK SC" w:hAnsi="Noto Sans CJK SC" w:eastAsia="Noto Sans CJK SC"/>
                <w:color w:val="245A64"/>
                <w:sz w:val="20"/>
              </w:rPr>
              <w:fldChar w:fldCharType="end"/>
            </w:r>
            <w:r>
              <w:rPr>
                <w:color w:val="59636A"/>
                <w:sz w:val="18"/>
              </w:rPr>
              <w:t xml:space="preserve">  ·  需求待确认</w:t>
            </w:r>
          </w:p>
        </w:tc>
        <w:tc>
          <w:tcPr>
            <w:tcW w:w="737" w:type="dxa"/>
            <w:tcMar>
              <w:top w:w="75" w:type="dxa"/>
              <w:left w:w="120" w:type="dxa"/>
              <w:bottom w:w="75" w:type="dxa"/>
              <w:right w:w="120" w:type="dxa"/>
            </w:tcMar>
            <w:vAlign w:val="center"/>
          </w:tcPr>
          <w:p w14:paraId="0BFB5480">
            <w:pPr>
              <w:pStyle w:val="168"/>
              <w:keepNext w:val="0"/>
              <w:jc w:val="center"/>
            </w:pPr>
            <w:r>
              <w:fldChar w:fldCharType="begin"/>
            </w:r>
            <w:r>
              <w:instrText xml:space="preserve"> PAGEREF func_7 \h </w:instrText>
            </w:r>
            <w:r>
              <w:fldChar w:fldCharType="separate"/>
            </w:r>
            <w:r>
              <w:t>6</w:t>
            </w:r>
            <w:r>
              <w:fldChar w:fldCharType="end"/>
            </w:r>
          </w:p>
        </w:tc>
      </w:tr>
      <w:tr w14:paraId="275203F0">
        <w:trPr>
          <w:cantSplit/>
          <w:jc w:val="center"/>
        </w:trPr>
        <w:tc>
          <w:tcPr>
            <w:tcW w:w="2268" w:type="dxa"/>
            <w:vMerge w:val="continue"/>
            <w:tcMar>
              <w:top w:w="75" w:type="dxa"/>
              <w:left w:w="120" w:type="dxa"/>
              <w:bottom w:w="75" w:type="dxa"/>
              <w:right w:w="120" w:type="dxa"/>
            </w:tcMar>
            <w:vAlign w:val="center"/>
          </w:tcPr>
          <w:p w14:paraId="26229F8D">
            <w:pPr>
              <w:pStyle w:val="168"/>
              <w:keepNext w:val="0"/>
            </w:pPr>
          </w:p>
        </w:tc>
        <w:tc>
          <w:tcPr>
            <w:tcW w:w="6520" w:type="dxa"/>
            <w:tcMar>
              <w:top w:w="75" w:type="dxa"/>
              <w:left w:w="120" w:type="dxa"/>
              <w:bottom w:w="75" w:type="dxa"/>
              <w:right w:w="120" w:type="dxa"/>
            </w:tcMar>
            <w:vAlign w:val="center"/>
          </w:tcPr>
          <w:p w14:paraId="3E6DE3BF">
            <w:pPr>
              <w:pStyle w:val="168"/>
              <w:keepNext w:val="0"/>
            </w:pPr>
            <w:r>
              <w:fldChar w:fldCharType="begin"/>
            </w:r>
            <w:r>
              <w:instrText xml:space="preserve"> HYPERLINK \l "func_8" </w:instrText>
            </w:r>
            <w:r>
              <w:fldChar w:fldCharType="separate"/>
            </w:r>
            <w:r>
              <w:rPr>
                <w:rFonts w:ascii="Noto Sans CJK SC" w:hAnsi="Noto Sans CJK SC" w:eastAsia="Noto Sans CJK SC"/>
                <w:color w:val="245A64"/>
                <w:sz w:val="20"/>
              </w:rPr>
              <w:t>8  主题活动</w:t>
            </w:r>
            <w:r>
              <w:rPr>
                <w:rFonts w:ascii="Noto Sans CJK SC" w:hAnsi="Noto Sans CJK SC" w:eastAsia="Noto Sans CJK SC"/>
                <w:color w:val="245A64"/>
                <w:sz w:val="20"/>
              </w:rPr>
              <w:fldChar w:fldCharType="end"/>
            </w:r>
            <w:r>
              <w:rPr>
                <w:color w:val="59636A"/>
                <w:sz w:val="18"/>
              </w:rPr>
              <w:t xml:space="preserve">  ·  需求待确认</w:t>
            </w:r>
          </w:p>
        </w:tc>
        <w:tc>
          <w:tcPr>
            <w:tcW w:w="737" w:type="dxa"/>
            <w:tcMar>
              <w:top w:w="75" w:type="dxa"/>
              <w:left w:w="120" w:type="dxa"/>
              <w:bottom w:w="75" w:type="dxa"/>
              <w:right w:w="120" w:type="dxa"/>
            </w:tcMar>
            <w:vAlign w:val="center"/>
          </w:tcPr>
          <w:p w14:paraId="25A0F7FA">
            <w:pPr>
              <w:pStyle w:val="168"/>
              <w:keepNext w:val="0"/>
              <w:jc w:val="center"/>
            </w:pPr>
            <w:r>
              <w:fldChar w:fldCharType="begin"/>
            </w:r>
            <w:r>
              <w:instrText xml:space="preserve"> PAGEREF func_8 \h </w:instrText>
            </w:r>
            <w:r>
              <w:fldChar w:fldCharType="separate"/>
            </w:r>
            <w:r>
              <w:t>6</w:t>
            </w:r>
            <w:r>
              <w:fldChar w:fldCharType="end"/>
            </w:r>
          </w:p>
        </w:tc>
      </w:tr>
      <w:tr w14:paraId="7B862F38">
        <w:trPr>
          <w:cantSplit/>
          <w:jc w:val="center"/>
        </w:trPr>
        <w:tc>
          <w:tcPr>
            <w:tcW w:w="2268" w:type="dxa"/>
            <w:vMerge w:val="restart"/>
            <w:shd w:val="clear" w:color="auto" w:fill="EFF5F5"/>
            <w:tcMar>
              <w:top w:w="75" w:type="dxa"/>
              <w:left w:w="120" w:type="dxa"/>
              <w:bottom w:w="75" w:type="dxa"/>
              <w:right w:w="120" w:type="dxa"/>
            </w:tcMar>
            <w:vAlign w:val="center"/>
          </w:tcPr>
          <w:p w14:paraId="3A26EFBC">
            <w:pPr>
              <w:pStyle w:val="168"/>
            </w:pPr>
            <w:r>
              <w:rPr>
                <w:b/>
                <w:color w:val="245A64"/>
              </w:rPr>
              <w:t>二</w:t>
            </w:r>
            <w:r>
              <w:rPr>
                <w:b/>
                <w:color w:val="245A64"/>
              </w:rPr>
              <w:br w:type="textWrapping"/>
            </w:r>
            <w:r>
              <w:rPr>
                <w:b/>
                <w:color w:val="245A64"/>
              </w:rPr>
              <w:t>课程组织与课堂授课</w:t>
            </w:r>
          </w:p>
        </w:tc>
        <w:tc>
          <w:tcPr>
            <w:tcW w:w="6520" w:type="dxa"/>
            <w:tcMar>
              <w:top w:w="75" w:type="dxa"/>
              <w:left w:w="120" w:type="dxa"/>
              <w:bottom w:w="75" w:type="dxa"/>
              <w:right w:w="120" w:type="dxa"/>
            </w:tcMar>
            <w:vAlign w:val="center"/>
          </w:tcPr>
          <w:p w14:paraId="09D089E5">
            <w:pPr>
              <w:pStyle w:val="168"/>
              <w:keepNext w:val="0"/>
            </w:pPr>
            <w:r>
              <w:fldChar w:fldCharType="begin"/>
            </w:r>
            <w:r>
              <w:instrText xml:space="preserve"> HYPERLINK \l "func_9" </w:instrText>
            </w:r>
            <w:r>
              <w:fldChar w:fldCharType="separate"/>
            </w:r>
            <w:r>
              <w:rPr>
                <w:rFonts w:ascii="Noto Sans CJK SC" w:hAnsi="Noto Sans CJK SC" w:eastAsia="Noto Sans CJK SC"/>
                <w:color w:val="245A64"/>
                <w:sz w:val="20"/>
              </w:rPr>
              <w:t>9  一站式课程包</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1976E2D1">
            <w:pPr>
              <w:pStyle w:val="168"/>
              <w:keepNext w:val="0"/>
              <w:jc w:val="center"/>
            </w:pPr>
            <w:r>
              <w:fldChar w:fldCharType="begin"/>
            </w:r>
            <w:r>
              <w:instrText xml:space="preserve"> PAGEREF func_9 \h </w:instrText>
            </w:r>
            <w:r>
              <w:fldChar w:fldCharType="separate"/>
            </w:r>
            <w:r>
              <w:t>6</w:t>
            </w:r>
            <w:r>
              <w:fldChar w:fldCharType="end"/>
            </w:r>
          </w:p>
        </w:tc>
      </w:tr>
      <w:tr w14:paraId="0F0414D7">
        <w:trPr>
          <w:cantSplit/>
          <w:jc w:val="center"/>
        </w:trPr>
        <w:tc>
          <w:tcPr>
            <w:tcW w:w="2268" w:type="dxa"/>
            <w:vMerge w:val="continue"/>
            <w:tcMar>
              <w:top w:w="75" w:type="dxa"/>
              <w:left w:w="120" w:type="dxa"/>
              <w:bottom w:w="75" w:type="dxa"/>
              <w:right w:w="120" w:type="dxa"/>
            </w:tcMar>
            <w:vAlign w:val="center"/>
          </w:tcPr>
          <w:p w14:paraId="5AAB8C95">
            <w:pPr>
              <w:pStyle w:val="168"/>
              <w:keepNext w:val="0"/>
            </w:pPr>
          </w:p>
        </w:tc>
        <w:tc>
          <w:tcPr>
            <w:tcW w:w="6520" w:type="dxa"/>
            <w:tcMar>
              <w:top w:w="75" w:type="dxa"/>
              <w:left w:w="120" w:type="dxa"/>
              <w:bottom w:w="75" w:type="dxa"/>
              <w:right w:w="120" w:type="dxa"/>
            </w:tcMar>
            <w:vAlign w:val="center"/>
          </w:tcPr>
          <w:p w14:paraId="282C0486">
            <w:pPr>
              <w:pStyle w:val="168"/>
              <w:keepNext w:val="0"/>
            </w:pPr>
            <w:r>
              <w:fldChar w:fldCharType="begin"/>
            </w:r>
            <w:r>
              <w:instrText xml:space="preserve"> HYPERLINK \l "func_10" </w:instrText>
            </w:r>
            <w:r>
              <w:fldChar w:fldCharType="separate"/>
            </w:r>
            <w:r>
              <w:rPr>
                <w:rFonts w:ascii="Noto Sans CJK SC" w:hAnsi="Noto Sans CJK SC" w:eastAsia="Noto Sans CJK SC"/>
                <w:color w:val="245A64"/>
                <w:sz w:val="20"/>
              </w:rPr>
              <w:t>10  课堂授课模式</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534DA10F">
            <w:pPr>
              <w:pStyle w:val="168"/>
              <w:keepNext w:val="0"/>
              <w:jc w:val="center"/>
            </w:pPr>
            <w:r>
              <w:fldChar w:fldCharType="begin"/>
            </w:r>
            <w:r>
              <w:instrText xml:space="preserve"> PAGEREF func_10 \h </w:instrText>
            </w:r>
            <w:r>
              <w:fldChar w:fldCharType="separate"/>
            </w:r>
            <w:r>
              <w:t>6</w:t>
            </w:r>
            <w:r>
              <w:fldChar w:fldCharType="end"/>
            </w:r>
          </w:p>
        </w:tc>
      </w:tr>
      <w:tr w14:paraId="4BBD1271">
        <w:trPr>
          <w:cantSplit/>
          <w:jc w:val="center"/>
        </w:trPr>
        <w:tc>
          <w:tcPr>
            <w:tcW w:w="2268" w:type="dxa"/>
            <w:vMerge w:val="restart"/>
            <w:shd w:val="clear" w:color="auto" w:fill="EFF5F5"/>
            <w:tcMar>
              <w:top w:w="75" w:type="dxa"/>
              <w:left w:w="120" w:type="dxa"/>
              <w:bottom w:w="75" w:type="dxa"/>
              <w:right w:w="120" w:type="dxa"/>
            </w:tcMar>
            <w:vAlign w:val="center"/>
          </w:tcPr>
          <w:p w14:paraId="5BB420B6">
            <w:pPr>
              <w:pStyle w:val="168"/>
            </w:pPr>
            <w:r>
              <w:rPr>
                <w:b/>
                <w:color w:val="245A64"/>
              </w:rPr>
              <w:t>三</w:t>
            </w:r>
            <w:r>
              <w:rPr>
                <w:b/>
                <w:color w:val="245A64"/>
              </w:rPr>
              <w:br w:type="textWrapping"/>
            </w:r>
            <w:r>
              <w:rPr>
                <w:b/>
                <w:color w:val="245A64"/>
              </w:rPr>
              <w:t>教学资源与知识资产</w:t>
            </w:r>
          </w:p>
        </w:tc>
        <w:tc>
          <w:tcPr>
            <w:tcW w:w="6520" w:type="dxa"/>
            <w:tcMar>
              <w:top w:w="75" w:type="dxa"/>
              <w:left w:w="120" w:type="dxa"/>
              <w:bottom w:w="75" w:type="dxa"/>
              <w:right w:w="120" w:type="dxa"/>
            </w:tcMar>
            <w:vAlign w:val="center"/>
          </w:tcPr>
          <w:p w14:paraId="7BC145B1">
            <w:pPr>
              <w:pStyle w:val="168"/>
              <w:keepNext w:val="0"/>
            </w:pPr>
            <w:r>
              <w:fldChar w:fldCharType="begin"/>
            </w:r>
            <w:r>
              <w:instrText xml:space="preserve"> HYPERLINK \l "func_11" </w:instrText>
            </w:r>
            <w:r>
              <w:fldChar w:fldCharType="separate"/>
            </w:r>
            <w:r>
              <w:rPr>
                <w:rFonts w:ascii="Noto Sans CJK SC" w:hAnsi="Noto Sans CJK SC" w:eastAsia="Noto Sans CJK SC"/>
                <w:color w:val="245A64"/>
                <w:sz w:val="20"/>
              </w:rPr>
              <w:t>11  智能知识库与教学资源库（Wiki.js + RAG）</w:t>
            </w:r>
            <w:r>
              <w:rPr>
                <w:rFonts w:ascii="Noto Sans CJK SC" w:hAnsi="Noto Sans CJK SC" w:eastAsia="Noto Sans CJK SC"/>
                <w:color w:val="245A64"/>
                <w:sz w:val="20"/>
              </w:rPr>
              <w:fldChar w:fldCharType="end"/>
            </w:r>
          </w:p>
          <w:p w14:paraId="60D81732">
            <w:pPr>
              <w:pStyle w:val="169"/>
            </w:pPr>
            <w:r>
              <w:t>含词汇提示图片素材库</w:t>
            </w:r>
          </w:p>
        </w:tc>
        <w:tc>
          <w:tcPr>
            <w:tcW w:w="737" w:type="dxa"/>
            <w:tcMar>
              <w:top w:w="75" w:type="dxa"/>
              <w:left w:w="120" w:type="dxa"/>
              <w:bottom w:w="75" w:type="dxa"/>
              <w:right w:w="120" w:type="dxa"/>
            </w:tcMar>
            <w:vAlign w:val="center"/>
          </w:tcPr>
          <w:p w14:paraId="408EBE34">
            <w:pPr>
              <w:pStyle w:val="168"/>
              <w:keepNext w:val="0"/>
              <w:jc w:val="center"/>
            </w:pPr>
            <w:r>
              <w:fldChar w:fldCharType="begin"/>
            </w:r>
            <w:r>
              <w:instrText xml:space="preserve"> PAGEREF func_11 \h </w:instrText>
            </w:r>
            <w:r>
              <w:fldChar w:fldCharType="separate"/>
            </w:r>
            <w:r>
              <w:t>7</w:t>
            </w:r>
            <w:r>
              <w:fldChar w:fldCharType="end"/>
            </w:r>
          </w:p>
        </w:tc>
      </w:tr>
      <w:tr w14:paraId="71D62F04">
        <w:trPr>
          <w:cantSplit/>
          <w:jc w:val="center"/>
        </w:trPr>
        <w:tc>
          <w:tcPr>
            <w:tcW w:w="2268" w:type="dxa"/>
            <w:vMerge w:val="continue"/>
            <w:tcMar>
              <w:top w:w="75" w:type="dxa"/>
              <w:left w:w="120" w:type="dxa"/>
              <w:bottom w:w="75" w:type="dxa"/>
              <w:right w:w="120" w:type="dxa"/>
            </w:tcMar>
            <w:vAlign w:val="center"/>
          </w:tcPr>
          <w:p w14:paraId="41E0985A">
            <w:pPr>
              <w:pStyle w:val="168"/>
              <w:keepNext w:val="0"/>
            </w:pPr>
          </w:p>
        </w:tc>
        <w:tc>
          <w:tcPr>
            <w:tcW w:w="6520" w:type="dxa"/>
            <w:tcMar>
              <w:top w:w="75" w:type="dxa"/>
              <w:left w:w="120" w:type="dxa"/>
              <w:bottom w:w="75" w:type="dxa"/>
              <w:right w:w="120" w:type="dxa"/>
            </w:tcMar>
            <w:vAlign w:val="center"/>
          </w:tcPr>
          <w:p w14:paraId="72702FC9">
            <w:pPr>
              <w:pStyle w:val="168"/>
              <w:keepNext w:val="0"/>
            </w:pPr>
            <w:r>
              <w:fldChar w:fldCharType="begin"/>
            </w:r>
            <w:r>
              <w:instrText xml:space="preserve"> HYPERLINK \l "func_12" </w:instrText>
            </w:r>
            <w:r>
              <w:fldChar w:fldCharType="separate"/>
            </w:r>
            <w:r>
              <w:rPr>
                <w:rFonts w:ascii="Noto Sans CJK SC" w:hAnsi="Noto Sans CJK SC" w:eastAsia="Noto Sans CJK SC"/>
                <w:color w:val="245A64"/>
                <w:sz w:val="20"/>
              </w:rPr>
              <w:t>12  优秀教学经验库</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04BF2222">
            <w:pPr>
              <w:pStyle w:val="168"/>
              <w:keepNext w:val="0"/>
              <w:jc w:val="center"/>
            </w:pPr>
            <w:r>
              <w:fldChar w:fldCharType="begin"/>
            </w:r>
            <w:r>
              <w:instrText xml:space="preserve"> PAGEREF func_12 \h </w:instrText>
            </w:r>
            <w:r>
              <w:fldChar w:fldCharType="separate"/>
            </w:r>
            <w:r>
              <w:t>8</w:t>
            </w:r>
            <w:r>
              <w:fldChar w:fldCharType="end"/>
            </w:r>
          </w:p>
        </w:tc>
      </w:tr>
      <w:tr w14:paraId="182A5B23">
        <w:trPr>
          <w:cantSplit/>
          <w:jc w:val="center"/>
        </w:trPr>
        <w:tc>
          <w:tcPr>
            <w:tcW w:w="2268" w:type="dxa"/>
            <w:vMerge w:val="restart"/>
            <w:shd w:val="clear" w:color="auto" w:fill="EFF5F5"/>
            <w:tcMar>
              <w:top w:w="75" w:type="dxa"/>
              <w:left w:w="120" w:type="dxa"/>
              <w:bottom w:w="75" w:type="dxa"/>
              <w:right w:w="120" w:type="dxa"/>
            </w:tcMar>
            <w:vAlign w:val="center"/>
          </w:tcPr>
          <w:p w14:paraId="20BBFBF4">
            <w:pPr>
              <w:pStyle w:val="168"/>
            </w:pPr>
            <w:r>
              <w:rPr>
                <w:b/>
                <w:color w:val="245A64"/>
              </w:rPr>
              <w:t>四</w:t>
            </w:r>
            <w:r>
              <w:rPr>
                <w:b/>
                <w:color w:val="245A64"/>
              </w:rPr>
              <w:br w:type="textWrapping"/>
            </w:r>
            <w:r>
              <w:rPr>
                <w:b/>
                <w:color w:val="245A64"/>
              </w:rPr>
              <w:t>内容质量与发布管理</w:t>
            </w:r>
          </w:p>
        </w:tc>
        <w:tc>
          <w:tcPr>
            <w:tcW w:w="6520" w:type="dxa"/>
            <w:tcMar>
              <w:top w:w="75" w:type="dxa"/>
              <w:left w:w="120" w:type="dxa"/>
              <w:bottom w:w="75" w:type="dxa"/>
              <w:right w:w="120" w:type="dxa"/>
            </w:tcMar>
            <w:vAlign w:val="center"/>
          </w:tcPr>
          <w:p w14:paraId="7266B2E2">
            <w:pPr>
              <w:pStyle w:val="168"/>
              <w:keepNext w:val="0"/>
            </w:pPr>
            <w:r>
              <w:fldChar w:fldCharType="begin"/>
            </w:r>
            <w:r>
              <w:instrText xml:space="preserve"> HYPERLINK \l "func_13" </w:instrText>
            </w:r>
            <w:r>
              <w:fldChar w:fldCharType="separate"/>
            </w:r>
            <w:r>
              <w:rPr>
                <w:rFonts w:ascii="Noto Sans CJK SC" w:hAnsi="Noto Sans CJK SC" w:eastAsia="Noto Sans CJK SC"/>
                <w:color w:val="245A64"/>
                <w:sz w:val="20"/>
              </w:rPr>
              <w:t>13  AI 内容质量检查</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2FCCCB42">
            <w:pPr>
              <w:pStyle w:val="168"/>
              <w:keepNext w:val="0"/>
              <w:jc w:val="center"/>
            </w:pPr>
            <w:r>
              <w:fldChar w:fldCharType="begin"/>
            </w:r>
            <w:r>
              <w:instrText xml:space="preserve"> PAGEREF func_13 \h </w:instrText>
            </w:r>
            <w:r>
              <w:fldChar w:fldCharType="separate"/>
            </w:r>
            <w:r>
              <w:t>8</w:t>
            </w:r>
            <w:r>
              <w:fldChar w:fldCharType="end"/>
            </w:r>
          </w:p>
        </w:tc>
      </w:tr>
      <w:tr w14:paraId="5A427395">
        <w:trPr>
          <w:cantSplit/>
          <w:jc w:val="center"/>
        </w:trPr>
        <w:tc>
          <w:tcPr>
            <w:tcW w:w="2268" w:type="dxa"/>
            <w:vMerge w:val="continue"/>
            <w:tcMar>
              <w:top w:w="75" w:type="dxa"/>
              <w:left w:w="120" w:type="dxa"/>
              <w:bottom w:w="75" w:type="dxa"/>
              <w:right w:w="120" w:type="dxa"/>
            </w:tcMar>
            <w:vAlign w:val="center"/>
          </w:tcPr>
          <w:p w14:paraId="6A0676CA">
            <w:pPr>
              <w:pStyle w:val="168"/>
              <w:keepNext w:val="0"/>
            </w:pPr>
          </w:p>
        </w:tc>
        <w:tc>
          <w:tcPr>
            <w:tcW w:w="6520" w:type="dxa"/>
            <w:tcMar>
              <w:top w:w="75" w:type="dxa"/>
              <w:left w:w="120" w:type="dxa"/>
              <w:bottom w:w="75" w:type="dxa"/>
              <w:right w:w="120" w:type="dxa"/>
            </w:tcMar>
            <w:vAlign w:val="center"/>
          </w:tcPr>
          <w:p w14:paraId="3CE5A8F9">
            <w:pPr>
              <w:pStyle w:val="168"/>
              <w:keepNext w:val="0"/>
            </w:pPr>
            <w:r>
              <w:fldChar w:fldCharType="begin"/>
            </w:r>
            <w:r>
              <w:instrText xml:space="preserve"> HYPERLINK \l "func_14" </w:instrText>
            </w:r>
            <w:r>
              <w:fldChar w:fldCharType="separate"/>
            </w:r>
            <w:r>
              <w:rPr>
                <w:rFonts w:ascii="Noto Sans CJK SC" w:hAnsi="Noto Sans CJK SC" w:eastAsia="Noto Sans CJK SC"/>
                <w:color w:val="245A64"/>
                <w:sz w:val="20"/>
              </w:rPr>
              <w:t>14  多级内容审核</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2D1E79A6">
            <w:pPr>
              <w:pStyle w:val="168"/>
              <w:keepNext w:val="0"/>
              <w:jc w:val="center"/>
            </w:pPr>
            <w:r>
              <w:fldChar w:fldCharType="begin"/>
            </w:r>
            <w:r>
              <w:instrText xml:space="preserve"> PAGEREF func_14 \h </w:instrText>
            </w:r>
            <w:r>
              <w:fldChar w:fldCharType="separate"/>
            </w:r>
            <w:r>
              <w:t>8</w:t>
            </w:r>
            <w:r>
              <w:fldChar w:fldCharType="end"/>
            </w:r>
          </w:p>
        </w:tc>
      </w:tr>
      <w:tr w14:paraId="2B44B6FA">
        <w:trPr>
          <w:cantSplit/>
          <w:jc w:val="center"/>
        </w:trPr>
        <w:tc>
          <w:tcPr>
            <w:tcW w:w="2268" w:type="dxa"/>
            <w:vMerge w:val="restart"/>
            <w:shd w:val="clear" w:color="auto" w:fill="EFF5F5"/>
            <w:tcMar>
              <w:top w:w="75" w:type="dxa"/>
              <w:left w:w="120" w:type="dxa"/>
              <w:bottom w:w="75" w:type="dxa"/>
              <w:right w:w="120" w:type="dxa"/>
            </w:tcMar>
            <w:vAlign w:val="center"/>
          </w:tcPr>
          <w:p w14:paraId="74AF96B1">
            <w:pPr>
              <w:pStyle w:val="168"/>
            </w:pPr>
            <w:r>
              <w:rPr>
                <w:b/>
                <w:color w:val="245A64"/>
              </w:rPr>
              <w:t>五</w:t>
            </w:r>
            <w:r>
              <w:rPr>
                <w:b/>
                <w:color w:val="245A64"/>
              </w:rPr>
              <w:br w:type="textWrapping"/>
            </w:r>
            <w:r>
              <w:rPr>
                <w:b/>
                <w:color w:val="245A64"/>
              </w:rPr>
              <w:t>组织、权限与内容安全</w:t>
            </w:r>
          </w:p>
        </w:tc>
        <w:tc>
          <w:tcPr>
            <w:tcW w:w="6520" w:type="dxa"/>
            <w:tcMar>
              <w:top w:w="75" w:type="dxa"/>
              <w:left w:w="120" w:type="dxa"/>
              <w:bottom w:w="75" w:type="dxa"/>
              <w:right w:w="120" w:type="dxa"/>
            </w:tcMar>
            <w:vAlign w:val="center"/>
          </w:tcPr>
          <w:p w14:paraId="01ACEFCC">
            <w:pPr>
              <w:pStyle w:val="168"/>
              <w:keepNext w:val="0"/>
            </w:pPr>
            <w:r>
              <w:fldChar w:fldCharType="begin"/>
            </w:r>
            <w:r>
              <w:instrText xml:space="preserve"> HYPERLINK \l "func_15" </w:instrText>
            </w:r>
            <w:r>
              <w:fldChar w:fldCharType="separate"/>
            </w:r>
            <w:r>
              <w:rPr>
                <w:rFonts w:ascii="Noto Sans CJK SC" w:hAnsi="Noto Sans CJK SC" w:eastAsia="Noto Sans CJK SC"/>
                <w:color w:val="245A64"/>
                <w:sz w:val="20"/>
              </w:rPr>
              <w:t>15  总部与校区分级管理</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12CA50C1">
            <w:pPr>
              <w:pStyle w:val="168"/>
              <w:keepNext w:val="0"/>
              <w:jc w:val="center"/>
            </w:pPr>
            <w:r>
              <w:fldChar w:fldCharType="begin"/>
            </w:r>
            <w:r>
              <w:instrText xml:space="preserve"> PAGEREF func_15 \h </w:instrText>
            </w:r>
            <w:r>
              <w:fldChar w:fldCharType="separate"/>
            </w:r>
            <w:r>
              <w:t>9</w:t>
            </w:r>
            <w:r>
              <w:fldChar w:fldCharType="end"/>
            </w:r>
          </w:p>
        </w:tc>
      </w:tr>
      <w:tr w14:paraId="13224EED">
        <w:trPr>
          <w:cantSplit/>
          <w:jc w:val="center"/>
        </w:trPr>
        <w:tc>
          <w:tcPr>
            <w:tcW w:w="2268" w:type="dxa"/>
            <w:vMerge w:val="continue"/>
            <w:tcMar>
              <w:top w:w="75" w:type="dxa"/>
              <w:left w:w="120" w:type="dxa"/>
              <w:bottom w:w="75" w:type="dxa"/>
              <w:right w:w="120" w:type="dxa"/>
            </w:tcMar>
            <w:vAlign w:val="center"/>
          </w:tcPr>
          <w:p w14:paraId="09A24D8A">
            <w:pPr>
              <w:pStyle w:val="168"/>
              <w:keepNext w:val="0"/>
            </w:pPr>
          </w:p>
        </w:tc>
        <w:tc>
          <w:tcPr>
            <w:tcW w:w="6520" w:type="dxa"/>
            <w:tcMar>
              <w:top w:w="75" w:type="dxa"/>
              <w:left w:w="120" w:type="dxa"/>
              <w:bottom w:w="75" w:type="dxa"/>
              <w:right w:w="120" w:type="dxa"/>
            </w:tcMar>
            <w:vAlign w:val="center"/>
          </w:tcPr>
          <w:p w14:paraId="115A33C3">
            <w:pPr>
              <w:pStyle w:val="168"/>
              <w:keepNext w:val="0"/>
            </w:pPr>
            <w:r>
              <w:fldChar w:fldCharType="begin"/>
            </w:r>
            <w:r>
              <w:instrText xml:space="preserve"> HYPERLINK \l "func_16" </w:instrText>
            </w:r>
            <w:r>
              <w:fldChar w:fldCharType="separate"/>
            </w:r>
            <w:r>
              <w:rPr>
                <w:rFonts w:ascii="Noto Sans CJK SC" w:hAnsi="Noto Sans CJK SC" w:eastAsia="Noto Sans CJK SC"/>
                <w:color w:val="245A64"/>
                <w:sz w:val="20"/>
              </w:rPr>
              <w:t>16  内容版权与安全保护</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2B92FD4D">
            <w:pPr>
              <w:pStyle w:val="168"/>
              <w:keepNext w:val="0"/>
              <w:jc w:val="center"/>
            </w:pPr>
            <w:r>
              <w:fldChar w:fldCharType="begin"/>
            </w:r>
            <w:r>
              <w:instrText xml:space="preserve"> PAGEREF func_16 \h </w:instrText>
            </w:r>
            <w:r>
              <w:fldChar w:fldCharType="separate"/>
            </w:r>
            <w:r>
              <w:t>9</w:t>
            </w:r>
            <w:r>
              <w:fldChar w:fldCharType="end"/>
            </w:r>
          </w:p>
        </w:tc>
      </w:tr>
      <w:tr w14:paraId="6D5E63E5">
        <w:trPr>
          <w:cantSplit/>
          <w:jc w:val="center"/>
        </w:trPr>
        <w:tc>
          <w:tcPr>
            <w:tcW w:w="2268" w:type="dxa"/>
            <w:shd w:val="clear" w:color="auto" w:fill="EFF5F5"/>
            <w:tcMar>
              <w:top w:w="75" w:type="dxa"/>
              <w:left w:w="120" w:type="dxa"/>
              <w:bottom w:w="75" w:type="dxa"/>
              <w:right w:w="120" w:type="dxa"/>
            </w:tcMar>
            <w:vAlign w:val="center"/>
          </w:tcPr>
          <w:p w14:paraId="41BF9B6C">
            <w:pPr>
              <w:pStyle w:val="168"/>
            </w:pPr>
            <w:r>
              <w:rPr>
                <w:b/>
                <w:color w:val="245A64"/>
              </w:rPr>
              <w:t>六</w:t>
            </w:r>
            <w:r>
              <w:rPr>
                <w:b/>
                <w:color w:val="245A64"/>
              </w:rPr>
              <w:br w:type="textWrapping"/>
            </w:r>
            <w:r>
              <w:rPr>
                <w:b/>
                <w:color w:val="245A64"/>
              </w:rPr>
              <w:t>AI 平台能力</w:t>
            </w:r>
          </w:p>
        </w:tc>
        <w:tc>
          <w:tcPr>
            <w:tcW w:w="6520" w:type="dxa"/>
            <w:tcMar>
              <w:top w:w="75" w:type="dxa"/>
              <w:left w:w="120" w:type="dxa"/>
              <w:bottom w:w="75" w:type="dxa"/>
              <w:right w:w="120" w:type="dxa"/>
            </w:tcMar>
            <w:vAlign w:val="center"/>
          </w:tcPr>
          <w:p w14:paraId="46FD07AF">
            <w:pPr>
              <w:pStyle w:val="168"/>
              <w:keepNext w:val="0"/>
            </w:pPr>
            <w:r>
              <w:fldChar w:fldCharType="begin"/>
            </w:r>
            <w:r>
              <w:instrText xml:space="preserve"> HYPERLINK \l "func_17" </w:instrText>
            </w:r>
            <w:r>
              <w:fldChar w:fldCharType="separate"/>
            </w:r>
            <w:r>
              <w:rPr>
                <w:rFonts w:ascii="Noto Sans CJK SC" w:hAnsi="Noto Sans CJK SC" w:eastAsia="Noto Sans CJK SC"/>
                <w:color w:val="245A64"/>
                <w:sz w:val="20"/>
              </w:rPr>
              <w:t>17  闭源 AI API 支持</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6DE3372A">
            <w:pPr>
              <w:pStyle w:val="168"/>
              <w:keepNext w:val="0"/>
              <w:jc w:val="center"/>
            </w:pPr>
            <w:r>
              <w:fldChar w:fldCharType="begin"/>
            </w:r>
            <w:r>
              <w:instrText xml:space="preserve"> PAGEREF func_17 \h </w:instrText>
            </w:r>
            <w:r>
              <w:fldChar w:fldCharType="separate"/>
            </w:r>
            <w:r>
              <w:t>9</w:t>
            </w:r>
            <w:r>
              <w:fldChar w:fldCharType="end"/>
            </w:r>
          </w:p>
        </w:tc>
      </w:tr>
      <w:tr w14:paraId="2AA02B26">
        <w:trPr>
          <w:cantSplit/>
          <w:jc w:val="center"/>
        </w:trPr>
        <w:tc>
          <w:tcPr>
            <w:tcW w:w="2268" w:type="dxa"/>
            <w:shd w:val="clear" w:color="auto" w:fill="EFF5F5"/>
            <w:tcMar>
              <w:top w:w="75" w:type="dxa"/>
              <w:left w:w="120" w:type="dxa"/>
              <w:bottom w:w="75" w:type="dxa"/>
              <w:right w:w="120" w:type="dxa"/>
            </w:tcMar>
            <w:vAlign w:val="center"/>
          </w:tcPr>
          <w:p w14:paraId="6F9908A7">
            <w:pPr>
              <w:pStyle w:val="168"/>
            </w:pPr>
            <w:r>
              <w:rPr>
                <w:b/>
                <w:color w:val="245A64"/>
              </w:rPr>
              <w:t>七</w:t>
            </w:r>
            <w:r>
              <w:rPr>
                <w:b/>
                <w:color w:val="245A64"/>
              </w:rPr>
              <w:br w:type="textWrapping"/>
            </w:r>
            <w:r>
              <w:rPr>
                <w:b/>
                <w:color w:val="245A64"/>
              </w:rPr>
              <w:t>平台 UI 与交互体验</w:t>
            </w:r>
          </w:p>
        </w:tc>
        <w:tc>
          <w:tcPr>
            <w:tcW w:w="6520" w:type="dxa"/>
            <w:tcMar>
              <w:top w:w="75" w:type="dxa"/>
              <w:left w:w="120" w:type="dxa"/>
              <w:bottom w:w="75" w:type="dxa"/>
              <w:right w:w="120" w:type="dxa"/>
            </w:tcMar>
            <w:vAlign w:val="center"/>
          </w:tcPr>
          <w:p w14:paraId="58972739">
            <w:pPr>
              <w:pStyle w:val="168"/>
              <w:keepNext w:val="0"/>
            </w:pPr>
            <w:r>
              <w:fldChar w:fldCharType="begin"/>
            </w:r>
            <w:r>
              <w:instrText xml:space="preserve"> HYPERLINK \l "func_18" </w:instrText>
            </w:r>
            <w:r>
              <w:fldChar w:fldCharType="separate"/>
            </w:r>
            <w:r>
              <w:rPr>
                <w:rFonts w:ascii="Noto Sans CJK SC" w:hAnsi="Noto Sans CJK SC" w:eastAsia="Noto Sans CJK SC"/>
                <w:color w:val="245A64"/>
                <w:sz w:val="20"/>
              </w:rPr>
              <w:t>18  场景化首页与整体 UI 改版</w:t>
            </w:r>
            <w:r>
              <w:rPr>
                <w:rFonts w:ascii="Noto Sans CJK SC" w:hAnsi="Noto Sans CJK SC" w:eastAsia="Noto Sans CJK SC"/>
                <w:color w:val="245A64"/>
                <w:sz w:val="20"/>
              </w:rPr>
              <w:fldChar w:fldCharType="end"/>
            </w:r>
          </w:p>
        </w:tc>
        <w:tc>
          <w:tcPr>
            <w:tcW w:w="737" w:type="dxa"/>
            <w:tcMar>
              <w:top w:w="75" w:type="dxa"/>
              <w:left w:w="120" w:type="dxa"/>
              <w:bottom w:w="75" w:type="dxa"/>
              <w:right w:w="120" w:type="dxa"/>
            </w:tcMar>
            <w:vAlign w:val="center"/>
          </w:tcPr>
          <w:p w14:paraId="601BC142">
            <w:pPr>
              <w:pStyle w:val="168"/>
              <w:keepNext w:val="0"/>
              <w:jc w:val="center"/>
            </w:pPr>
            <w:r>
              <w:fldChar w:fldCharType="begin"/>
            </w:r>
            <w:r>
              <w:instrText xml:space="preserve"> PAGEREF func_18 \h </w:instrText>
            </w:r>
            <w:r>
              <w:fldChar w:fldCharType="separate"/>
            </w:r>
            <w:r>
              <w:t>10</w:t>
            </w:r>
            <w:r>
              <w:fldChar w:fldCharType="end"/>
            </w:r>
          </w:p>
        </w:tc>
      </w:tr>
    </w:tbl>
    <w:p w14:paraId="738DA4B5">
      <w:pPr>
        <w:pStyle w:val="173"/>
        <w:spacing w:before="200"/>
      </w:pPr>
      <w:r>
        <w:t>平台能力关系</w:t>
      </w:r>
    </w:p>
    <w:p w14:paraId="1E7A23F8">
      <w:pPr>
        <w:pStyle w:val="170"/>
      </w:pPr>
      <w:r>
        <w:t>知识与资源为内容创作提供素材和依据；AI 平台能力提供模型服务。质量审核、组织权限、内容安全与统一的平台体验，贯穿内容生产、发布和课堂使用。</w:t>
      </w:r>
    </w:p>
    <w:p w14:paraId="74C4FE78">
      <w:pPr>
        <w:pStyle w:val="3"/>
        <w:keepNext/>
        <w:pageBreakBefore/>
      </w:pPr>
      <w:r>
        <w:t>一  教学内容创作与互动</w:t>
      </w:r>
    </w:p>
    <w:p w14:paraId="334C684E">
      <w:pPr>
        <w:pStyle w:val="164"/>
      </w:pPr>
      <w:r>
        <w:t>本组工具帮助教师把教学主题转化为可直接用于课堂的图文、音乐、动作和情境内容，并通过互动玩法提升课堂参与度。</w:t>
      </w:r>
    </w:p>
    <w:p w14:paraId="1C201630">
      <w:pPr>
        <w:pStyle w:val="4"/>
        <w:keepNext/>
      </w:pPr>
      <w:bookmarkStart w:id="1" w:name="func_1"/>
      <w:r>
        <w:t>1  AI 绘本制作（已实现）</w:t>
      </w:r>
      <w:bookmarkEnd w:id="1"/>
    </w:p>
    <w:p w14:paraId="4D56A7BC">
      <w:pPr>
        <w:keepNext/>
      </w:pPr>
      <w:r>
        <w:t>通过四步工作室完成英语教学绘本的策划、页面设计、插图制作和课堂展示。</w:t>
      </w:r>
    </w:p>
    <w:p w14:paraId="1588837E">
      <w:pPr>
        <w:pStyle w:val="16"/>
        <w:keepNext/>
      </w:pPr>
      <w:r>
        <w:t>基本信息支持设置学生年龄、英语水平、参与人数、主题偏好、可用材料、核心词汇和核心句型</w:t>
      </w:r>
    </w:p>
    <w:p w14:paraId="48F1A79C">
      <w:pPr>
        <w:pStyle w:val="16"/>
        <w:keepNext/>
      </w:pPr>
      <w:r>
        <w:t>AI 生成可编辑的活动方案，包括英文书名、建议页数、故事内容、英语目标、幸福力目标、成果目标和材料</w:t>
      </w:r>
    </w:p>
    <w:p w14:paraId="3E21B31D">
      <w:pPr>
        <w:pStyle w:val="16"/>
        <w:keepNext/>
      </w:pPr>
      <w:r>
        <w:t>根据活动方案生成分页设计；每页的画面描述和英文文本均可编辑，并支持新增或删除页面</w:t>
      </w:r>
    </w:p>
    <w:p w14:paraId="7CA491CB">
      <w:pPr>
        <w:pStyle w:val="16"/>
        <w:keepNext/>
      </w:pPr>
      <w:r>
        <w:t>支持批量生成整本插图，也可对单页重新生成或上传本地图片替换</w:t>
      </w:r>
    </w:p>
    <w:p w14:paraId="0DA9EFAA">
      <w:pPr>
        <w:pStyle w:val="16"/>
        <w:keepNext/>
      </w:pPr>
      <w:r>
        <w:t>绘本作品支持保存、搜索、继续编辑、删除，并在作品列表直接进入授课</w:t>
      </w:r>
    </w:p>
    <w:p w14:paraId="6ACE22F0">
      <w:pPr>
        <w:pStyle w:val="16"/>
        <w:keepNext/>
      </w:pPr>
      <w:r>
        <w:t>背景音乐可从音频库或歌曲库选择，也可填写描述、风格和时长后使用 AI 生成；支持试听、更换和移除</w:t>
      </w:r>
    </w:p>
    <w:p w14:paraId="68803AF6">
      <w:pPr>
        <w:pStyle w:val="16"/>
        <w:keepNext/>
      </w:pPr>
      <w:r>
        <w:t>授课模式以独立窗口展示绘本，支持前后翻页、键盘控制、背景音乐播放和音量调节</w:t>
      </w:r>
    </w:p>
    <w:p w14:paraId="2904AAA8">
      <w:pPr>
        <w:pStyle w:val="166"/>
        <w:keepNext w:val="0"/>
        <w:pBdr>
          <w:left w:val="single" w:color="245A64" w:sz="12" w:space="8"/>
        </w:pBdr>
        <w:ind w:left="215" w:right="57"/>
      </w:pPr>
      <w:r>
        <w:rPr>
          <w:b/>
          <w:color w:val="245A64"/>
        </w:rPr>
        <w:t xml:space="preserve">客户价值  教师可在统一流程中完成从教学目标到分页绘本和插图的制作，并直接用于课堂翻页讲授。</w:t>
      </w:r>
      <w:r>
        <w:t/>
      </w:r>
    </w:p>
    <w:p w14:paraId="3C876C19">
      <w:pPr>
        <w:pStyle w:val="4"/>
        <w:keepNext/>
      </w:pPr>
      <w:bookmarkStart w:id="2" w:name="func_2"/>
      <w:r>
        <w:t>2  星光录音棚（已实现）</w:t>
      </w:r>
      <w:bookmarkEnd w:id="2"/>
    </w:p>
    <w:p w14:paraId="30BC1DD1">
      <w:pPr>
        <w:keepNext/>
      </w:pPr>
      <w:r>
        <w:t>以歌曲为核心制作四关英语课堂音乐闯关课件，覆盖歌曲创作、歌词理解、动作与乐器编排、分级跟唱和舞台录制，并为每关生成可编辑的教学方案。</w:t>
      </w:r>
    </w:p>
    <w:p w14:paraId="2076286D">
      <w:pPr>
        <w:pStyle w:val="5"/>
      </w:pPr>
      <w:r>
        <w:t>歌曲创作与课件制作</w:t>
      </w:r>
    </w:p>
    <w:p w14:paraId="044A1470">
      <w:pPr>
        <w:pStyle w:val="16"/>
      </w:pPr>
      <w:r>
        <w:t>教师可设置年龄、英语水平、歌曲风格、时长、结构、目标语言、主题和特殊要求，由 AI 生成歌名、歌词时间轴和目标句型</w:t>
      </w:r>
    </w:p>
    <w:p w14:paraId="587C19A6">
      <w:pPr>
        <w:pStyle w:val="16"/>
      </w:pPr>
      <w:r>
        <w:t>支持 AI 生成整曲原唱和对应伴奏，也可选择曲目库歌曲；歌词支持逐行编辑，并可导入 LRC 校准实际时间轴</w:t>
      </w:r>
    </w:p>
    <w:p w14:paraId="1F771D34">
      <w:pPr>
        <w:pStyle w:val="5"/>
      </w:pPr>
      <w:r>
        <w:t>第一关｜Lyric Hunter 歌词猎人</w:t>
      </w:r>
    </w:p>
    <w:p w14:paraId="6C5951FA">
      <w:pPr>
        <w:pStyle w:val="16"/>
      </w:pPr>
      <w:r>
        <w:t>AI 根据歌词和目标语言点生成选词填空、连词成句和听音选词三类练习；题目、选项和听音时间段均可编辑或重新生成</w:t>
      </w:r>
    </w:p>
    <w:p w14:paraId="6376E37D">
      <w:pPr>
        <w:pStyle w:val="16"/>
      </w:pPr>
      <w:r>
        <w:t>学生按歌词顺序完成练习并逐步解锁内容，系统提供答题反馈和通关状态</w:t>
      </w:r>
    </w:p>
    <w:p w14:paraId="1DD280FB">
      <w:pPr>
        <w:pStyle w:val="16"/>
      </w:pPr>
      <w:r>
        <w:t>完成第一关后揭晓完整歌词并解锁下一关</w:t>
      </w:r>
    </w:p>
    <w:p w14:paraId="208212B0">
      <w:pPr>
        <w:pStyle w:val="5"/>
      </w:pPr>
      <w:r>
        <w:t>第二关｜Melody Mover 旋律舞者</w:t>
      </w:r>
    </w:p>
    <w:p w14:paraId="79F3A3D4">
      <w:pPr>
        <w:pStyle w:val="16"/>
      </w:pPr>
      <w:r>
        <w:t>完整播放歌曲并按时间轴逐句高亮歌词，帮助学生建立对旋律和歌词的整体感知</w:t>
      </w:r>
    </w:p>
    <w:p w14:paraId="71E7E9AD">
      <w:pPr>
        <w:pStyle w:val="16"/>
      </w:pPr>
      <w:r>
        <w:t>提供可编辑的动作库和乐器库；学生可在授课课件中把动作或乐器拖放到对应歌词行</w:t>
      </w:r>
    </w:p>
    <w:p w14:paraId="14A03C5D">
      <w:pPr>
        <w:pStyle w:val="16"/>
      </w:pPr>
      <w:r>
        <w:t>表演模式随歌曲展示当前歌词及已编排的动作和乐器，引导学生完成律动和集体表演</w:t>
      </w:r>
    </w:p>
    <w:p w14:paraId="01EAB144">
      <w:pPr>
        <w:pStyle w:val="5"/>
      </w:pPr>
      <w:r>
        <w:t>第三关｜Echo Master 魔法歌词跟唱</w:t>
      </w:r>
    </w:p>
    <w:p w14:paraId="2AF43B80">
      <w:pPr>
        <w:pStyle w:val="16"/>
      </w:pPr>
      <w:r>
        <w:t>提供完整歌词、首字母提示和整词挖空三档跟唱难度；支持原唱／伴奏切换、0.5–1.5 倍速、进度拖动和逐句控制</w:t>
      </w:r>
    </w:p>
    <w:p w14:paraId="1387D869">
      <w:pPr>
        <w:pStyle w:val="16"/>
      </w:pPr>
      <w:r>
        <w:t>教师可逐行编辑中级与挑战难度的挖词内容，并试听对应歌词片段</w:t>
      </w:r>
    </w:p>
    <w:p w14:paraId="46AF6D2B">
      <w:pPr>
        <w:pStyle w:val="16"/>
      </w:pPr>
      <w:r>
        <w:t>授课时可临时查看完整歌词，便于教师根据课堂情况调整提示强度</w:t>
      </w:r>
    </w:p>
    <w:p w14:paraId="2CB33DA6">
      <w:pPr>
        <w:pStyle w:val="5"/>
      </w:pPr>
      <w:r>
        <w:t>第四关｜Star Studio 星光舞台</w:t>
      </w:r>
    </w:p>
    <w:p w14:paraId="799D1F13">
      <w:pPr>
        <w:pStyle w:val="16"/>
      </w:pPr>
      <w:r>
        <w:t>学生用颜色标记小组演唱分工，并选择原唱或伴奏模式完成最终舞台演唱</w:t>
      </w:r>
    </w:p>
    <w:p w14:paraId="5B894C8C">
      <w:pPr>
        <w:pStyle w:val="16"/>
      </w:pPr>
      <w:r>
        <w:t>录制前提供倒计时和歌词同步提示；通过浏览器麦克风完成录音，支持回听、重新录制和完成挑战</w:t>
      </w:r>
    </w:p>
    <w:p w14:paraId="0029F5D8">
      <w:pPr>
        <w:pStyle w:val="5"/>
      </w:pPr>
      <w:r>
        <w:t>闯关反馈与教学支持</w:t>
      </w:r>
    </w:p>
    <w:p w14:paraId="1D1A7EFD">
      <w:pPr>
        <w:pStyle w:val="16"/>
      </w:pPr>
      <w:r>
        <w:t>四个关卡按顺序解锁并记录完成状态，单关和全部通关均提供反馈动效</w:t>
      </w:r>
    </w:p>
    <w:p w14:paraId="5238777E">
      <w:pPr>
        <w:pStyle w:val="16"/>
      </w:pPr>
      <w:r>
        <w:t>各关卡配套可编辑的教师教学方案，包含教学目标、教学流程和教师引导语，并支持按关重新生成</w:t>
      </w:r>
    </w:p>
    <w:p w14:paraId="113EB60C">
      <w:pPr>
        <w:pStyle w:val="16"/>
        <w:keepNext/>
      </w:pPr>
      <w:r>
        <w:t>完成配置后自动渲染单文件互动课件，可从作品列表或工作室以独立窗口进入授课模式</w:t>
      </w:r>
    </w:p>
    <w:p w14:paraId="4005A325">
      <w:pPr>
        <w:pStyle w:val="166"/>
        <w:pBdr>
          <w:left w:val="single" w:color="245A64" w:sz="12" w:space="8"/>
        </w:pBdr>
        <w:ind w:left="215" w:right="57"/>
      </w:pPr>
      <w:r>
        <w:rPr>
          <w:b/>
          <w:color w:val="245A64"/>
        </w:rPr>
        <w:t xml:space="preserve">客户价值  将一首歌曲转化为涵盖歌词理解、动作编排、分级跟唱和成果录制的完整课堂闯关活动，教师可编辑各关内容并直接进入授课。</w:t>
      </w:r>
      <w:r>
        <w:t/>
      </w:r>
    </w:p>
    <w:p w14:paraId="72483A7B">
      <w:pPr>
        <w:pStyle w:val="4"/>
        <w:keepNext/>
      </w:pPr>
      <w:bookmarkStart w:id="3" w:name="func_3"/>
      <w:r>
        <w:t>3  歌曲编唱屋（已实现）</w:t>
      </w:r>
      <w:bookmarkEnd w:id="3"/>
    </w:p>
    <w:p w14:paraId="38A6739F">
      <w:pPr>
        <w:keepNext/>
      </w:pPr>
      <w:r>
        <w:t>教师选择曲目并输入教学词汇、句型和课程主题，AI 生成适合儿童参与填词和表演的英语歌曲活动。</w:t>
      </w:r>
    </w:p>
    <w:p w14:paraId="3B0AC4DF">
      <w:pPr>
        <w:pStyle w:val="16"/>
        <w:keepNext/>
      </w:pPr>
      <w:r>
        <w:t>基本信息支持设置年龄、英语水平、参与人数、主题偏好、核心词汇和核心句型</w:t>
      </w:r>
    </w:p>
    <w:p w14:paraId="7DCC78D1">
      <w:pPr>
        <w:pStyle w:val="16"/>
        <w:keepNext/>
      </w:pPr>
      <w:r>
        <w:t>从曲目库按类型筛选并选择歌曲，可分别试听原唱和伴奏；AI 按所选旋律生成歌名、填词模板和 Word Bank</w:t>
      </w:r>
    </w:p>
    <w:p w14:paraId="6F10D7D7">
      <w:pPr>
        <w:pStyle w:val="16"/>
        <w:keepNext/>
      </w:pPr>
      <w:r>
        <w:t>制作页支持原唱／伴奏切换、播放进度、音量调节及 0.5–1.5 倍速播放</w:t>
      </w:r>
    </w:p>
    <w:p w14:paraId="507A7817">
      <w:pPr>
        <w:pStyle w:val="16"/>
        <w:keepNext/>
      </w:pPr>
      <w:r>
        <w:t>教师可编辑歌名、逐行歌词、填词空位和 Word Bank，并可按调整要求整体优化或单行重新生成</w:t>
      </w:r>
    </w:p>
    <w:p w14:paraId="783C902F">
      <w:pPr>
        <w:pStyle w:val="16"/>
        <w:keepNext/>
      </w:pPr>
      <w:r>
        <w:t>学生可点击或拖拽 Word Bank 单词填入歌词空位，形成课堂共同创作结果</w:t>
      </w:r>
    </w:p>
    <w:p w14:paraId="1DA55727">
      <w:pPr>
        <w:pStyle w:val="16"/>
        <w:keepNext/>
      </w:pPr>
      <w:r>
        <w:t>支持为每行歌词配置乐器，形成逐行伴奏和身体律动提示</w:t>
      </w:r>
    </w:p>
    <w:p w14:paraId="239A6DE0">
      <w:pPr>
        <w:pStyle w:val="16"/>
        <w:keepNext/>
      </w:pPr>
      <w:r>
        <w:t>同步生成并展示活动方案，包括英语目标、幸福力目标、材料准备、活动流程和教师引导语</w:t>
      </w:r>
    </w:p>
    <w:p w14:paraId="59C474C3">
      <w:pPr>
        <w:pStyle w:val="16"/>
        <w:keepNext/>
      </w:pPr>
      <w:r>
        <w:t>作品支持保存、搜索、继续编辑和删除；授课模式以独立窗口展示填词、乐器编排和播放器，便于课堂大屏使用</w:t>
      </w:r>
    </w:p>
    <w:p w14:paraId="278AC71D">
      <w:pPr>
        <w:pStyle w:val="166"/>
        <w:keepNext w:val="0"/>
        <w:pBdr>
          <w:left w:val="single" w:color="245A64" w:sz="12" w:space="8"/>
        </w:pBdr>
        <w:ind w:left="215" w:right="57"/>
      </w:pPr>
      <w:r>
        <w:rPr>
          <w:b/>
          <w:color w:val="245A64"/>
        </w:rPr>
        <w:t xml:space="preserve">客户价值  把目标词汇和句型转化为可填词、可演唱、可配乐器的课堂共创活动，让学生在选择和表演中强化语言学习。</w:t>
      </w:r>
      <w:r>
        <w:t/>
      </w:r>
    </w:p>
    <w:p w14:paraId="2C4D7E1A">
      <w:pPr>
        <w:pStyle w:val="4"/>
        <w:keepNext/>
      </w:pPr>
      <w:bookmarkStart w:id="4" w:name="func_4"/>
      <w:r>
        <w:t>4  互动式情景瑜伽</w:t>
      </w:r>
      <w:bookmarkEnd w:id="4"/>
    </w:p>
    <w:p w14:paraId="44905BB5">
      <w:pPr>
        <w:keepNext/>
      </w:pPr>
      <w:r>
        <w:t>将英语教学情境、故事任务与儿童瑜伽动作结合，让教师通过逐页动态课件带领学生在理解和使用英语的同时参与身体活动。AI 从教学需求设定、情境与动作编排、教学方案生成到视觉和声音制作提供辅助，最终形成可直接用于课堂的沉浸式情景瑜伽内容。</w:t>
      </w:r>
    </w:p>
    <w:p w14:paraId="2BE415B6">
      <w:pPr>
        <w:pStyle w:val="5"/>
      </w:pPr>
      <w:r>
        <w:t>教学需求设定</w:t>
      </w:r>
    </w:p>
    <w:p w14:paraId="01820B5C">
      <w:pPr>
        <w:pStyle w:val="16"/>
      </w:pPr>
      <w:r>
        <w:t>教师输入课程主题及故事或情境描述，并选择适合的课堂场景</w:t>
      </w:r>
    </w:p>
    <w:p w14:paraId="07E61375">
      <w:pPr>
        <w:pStyle w:val="16"/>
      </w:pPr>
      <w:r>
        <w:t>设置学生年龄段或年级，并输入重点英语词汇、重点句型和学习目标</w:t>
      </w:r>
    </w:p>
    <w:p w14:paraId="521F415D">
      <w:pPr>
        <w:pStyle w:val="5"/>
      </w:pPr>
      <w:r>
        <w:t>标准动作库与 AI 编排</w:t>
      </w:r>
    </w:p>
    <w:p w14:paraId="3E5ABEBA">
      <w:pPr>
        <w:pStyle w:val="16"/>
      </w:pPr>
      <w:r>
        <w:t>平台建设标准儿童瑜伽动作库，统一管理体式名称、动作描述、难度和适配情境</w:t>
      </w:r>
    </w:p>
    <w:p w14:paraId="09BD2A50">
      <w:pPr>
        <w:pStyle w:val="16"/>
      </w:pPr>
      <w:r>
        <w:t>AI 根据课程主题、场景、学生年龄和教学内容，从标准动作库中匹配适合的体式并编排动作序列</w:t>
      </w:r>
    </w:p>
    <w:p w14:paraId="02766359">
      <w:pPr>
        <w:pStyle w:val="16"/>
      </w:pPr>
      <w:r>
        <w:t>AI 自动生成完整的逐页教学情境，每页包含学生端英语文案、对应瑜伽动作和场景画面描述，并形成连贯的故事与身体活动节奏</w:t>
      </w:r>
    </w:p>
    <w:p w14:paraId="4E04AD64">
      <w:pPr>
        <w:pStyle w:val="5"/>
      </w:pPr>
      <w:r>
        <w:t>AI 配套教学方案</w:t>
      </w:r>
    </w:p>
    <w:p w14:paraId="6FEFD8C9">
      <w:pPr>
        <w:pStyle w:val="16"/>
      </w:pPr>
      <w:r>
        <w:t>在生成学生端课件的同时，AI 同步生成配套教学方案，供教师备课和课堂引导使用</w:t>
      </w:r>
    </w:p>
    <w:p w14:paraId="25A59AFF">
      <w:pPr>
        <w:pStyle w:val="16"/>
      </w:pPr>
      <w:r>
        <w:t>教学方案可包含逐页教师引导语、表情与语气、动作示范、课堂互动建议、材料与道具提示，以及常见课堂情况的应对建议</w:t>
      </w:r>
    </w:p>
    <w:p w14:paraId="74A3A17E">
      <w:pPr>
        <w:pStyle w:val="5"/>
      </w:pPr>
      <w:r>
        <w:t>内容审核与调整</w:t>
      </w:r>
    </w:p>
    <w:p w14:paraId="18094AF4">
      <w:pPr>
        <w:pStyle w:val="16"/>
      </w:pPr>
      <w:r>
        <w:t>教师可通过 AI 对整套内容提出修改要求，也可针对指定单页进行调整</w:t>
      </w:r>
    </w:p>
    <w:p w14:paraId="5C33B7DD">
      <w:pPr>
        <w:pStyle w:val="16"/>
      </w:pPr>
      <w:r>
        <w:t>支持针对英语文案、瑜伽动作和场景描述等内容进行调整；内容确认后进入画面生成阶段</w:t>
      </w:r>
    </w:p>
    <w:p w14:paraId="68FCC63E">
      <w:pPr>
        <w:pStyle w:val="16"/>
      </w:pPr>
      <w:r>
        <w:t>如后续需要修改已确认内容，可返回对应页面调整，并重新生成受影响的画面或动态内容</w:t>
      </w:r>
    </w:p>
    <w:p w14:paraId="42A41120">
      <w:pPr>
        <w:pStyle w:val="5"/>
      </w:pPr>
      <w:bookmarkStart w:id="19" w:name="_GoBack"/>
      <w:bookmarkEnd w:id="19"/>
      <w:r>
        <w:t>画面生成与动态化</w:t>
      </w:r>
    </w:p>
    <w:p w14:paraId="5C1ED4CD">
      <w:pPr>
        <w:pStyle w:val="16"/>
      </w:pPr>
      <w:r>
        <w:t>AI 根据每页确认的内容生成对应场景画面，生成结果支持修改或重新生成</w:t>
      </w:r>
    </w:p>
    <w:p w14:paraId="64450B19">
      <w:pPr>
        <w:pStyle w:val="16"/>
      </w:pPr>
      <w:r>
        <w:t>通过机构 IP 角色动态展示瑜伽动作从起始到结束的完整过程，便于教师带领学生跟随练习</w:t>
      </w:r>
    </w:p>
    <w:p w14:paraId="51BAA148">
      <w:pPr>
        <w:pStyle w:val="16"/>
      </w:pPr>
      <w:r>
        <w:t>根据场景需要加入流水、飞鸟等局部环境微动画，增强情境的沉浸感，同时避免干扰核心动作展示</w:t>
      </w:r>
    </w:p>
    <w:p w14:paraId="5DE6C37F">
      <w:pPr>
        <w:pStyle w:val="5"/>
      </w:pPr>
      <w:r>
        <w:t>AI 语音、音乐与场景音效</w:t>
      </w:r>
    </w:p>
    <w:p w14:paraId="296B85A1">
      <w:pPr>
        <w:pStyle w:val="16"/>
      </w:pPr>
      <w:r>
        <w:t>AI 根据每页学生端英语内容自动生成英语语音，用于课堂播放和语言输入；不提供教师上传音频替换该语音的功能</w:t>
      </w:r>
    </w:p>
    <w:p w14:paraId="500410F0">
      <w:pPr>
        <w:pStyle w:val="16"/>
      </w:pPr>
      <w:r>
        <w:t>AI 自动生成基础版本的背景音乐，并根据不同页面的情境生成匹配的环境音效</w:t>
      </w:r>
    </w:p>
    <w:p w14:paraId="61143A27">
      <w:pPr>
        <w:pStyle w:val="16"/>
      </w:pPr>
      <w:r>
        <w:t>教师可对背景音乐和环境音效进行调整或替换，也可上传自有音乐和音效进行配置</w:t>
      </w:r>
    </w:p>
    <w:p w14:paraId="1345295D">
      <w:pPr>
        <w:pStyle w:val="5"/>
      </w:pPr>
      <w:r>
        <w:t>课堂呈现</w:t>
      </w:r>
    </w:p>
    <w:p w14:paraId="2A9F7924">
      <w:pPr>
        <w:pStyle w:val="16"/>
      </w:pPr>
      <w:r>
        <w:t>最终形成类似逐页课件的动态情景瑜伽内容，教师可根据学生状态自主控制翻页和课堂节奏</w:t>
      </w:r>
    </w:p>
    <w:p w14:paraId="66ADB60A">
      <w:pPr>
        <w:pStyle w:val="16"/>
      </w:pPr>
      <w:r>
        <w:t>课堂大屏主要展示场景画面、学生英语内容、IP 角色动作及相关多媒体效果；教师端可查看配套教学方案进行引导</w:t>
      </w:r>
    </w:p>
    <w:p w14:paraId="2146AF5B">
      <w:pPr>
        <w:pStyle w:val="16"/>
        <w:keepNext/>
      </w:pPr>
      <w:r>
        <w:t>教师带领学生完成情境中的瑜伽动作和英语互动，支持大屏、触摸屏及与其他教学素材组合使用</w:t>
      </w:r>
    </w:p>
    <w:p w14:paraId="42A46469">
      <w:pPr>
        <w:pStyle w:val="166"/>
        <w:pBdr>
          <w:left w:val="single" w:color="245A64" w:sz="12" w:space="8"/>
        </w:pBdr>
        <w:ind w:left="215" w:right="57"/>
      </w:pPr>
      <w:r>
        <w:rPr>
          <w:b/>
          <w:color w:val="245A64"/>
        </w:rPr>
        <w:t xml:space="preserve">客户价值  </w:t>
      </w:r>
      <w:r>
        <w:t>将课程主题与英语学习目标转化为可审核、可调整、可直接授课的情景瑜伽课件和配套教学方案，减少教师从零设计的工作。学生通过情境理解、英语输入和身体参与完成语言学习。</w:t>
      </w:r>
    </w:p>
    <w:p w14:paraId="182BD4DC">
      <w:pPr>
        <w:pStyle w:val="4"/>
        <w:keepNext/>
      </w:pPr>
      <w:bookmarkStart w:id="5" w:name="func_5"/>
      <w:r>
        <w:t>5  其他情境教学</w:t>
      </w:r>
      <w:bookmarkEnd w:id="5"/>
    </w:p>
    <w:p w14:paraId="2AE1A188">
      <w:pPr>
        <w:keepNext/>
      </w:pPr>
      <w:r>
        <w:t>除情景瑜伽外，平台还可围绕语言使用场景制作故事互动、场景探索和任务挑战等教学内容。</w:t>
      </w:r>
    </w:p>
    <w:p w14:paraId="4F2EEA07">
      <w:pPr>
        <w:pStyle w:val="16"/>
        <w:keepNext/>
      </w:pPr>
      <w:r>
        <w:t>根据教学主题自动生成情境脚本、角色对白和任务流程</w:t>
      </w:r>
    </w:p>
    <w:p w14:paraId="1ABA6142">
      <w:pPr>
        <w:pStyle w:val="16"/>
        <w:keepNext/>
      </w:pPr>
      <w:r>
        <w:t>支持故事互动，通过不同选择进入不同情节</w:t>
      </w:r>
    </w:p>
    <w:p w14:paraId="1BB3E36F">
      <w:pPr>
        <w:pStyle w:val="16"/>
        <w:keepNext/>
      </w:pPr>
      <w:r>
        <w:t>支持场景探索，让学生寻找物品、识别词汇并完成任务</w:t>
      </w:r>
    </w:p>
    <w:p w14:paraId="2F9B31AA">
      <w:pPr>
        <w:pStyle w:val="16"/>
        <w:keepNext/>
      </w:pPr>
      <w:r>
        <w:t>支持角色扮演、生活对话和问题解决等课堂活动</w:t>
      </w:r>
    </w:p>
    <w:p w14:paraId="637B176A">
      <w:pPr>
        <w:pStyle w:val="16"/>
        <w:keepNext/>
      </w:pPr>
      <w:r>
        <w:t>在场景中加入点击发音、词义提示、选择和排序等互动</w:t>
      </w:r>
    </w:p>
    <w:p w14:paraId="145FCC6D">
      <w:pPr>
        <w:pStyle w:val="16"/>
        <w:keepNext/>
      </w:pPr>
      <w:r>
        <w:t>支持教师调整分镜、画面、对白和互动顺序</w:t>
      </w:r>
    </w:p>
    <w:p w14:paraId="25527FFF">
      <w:pPr>
        <w:pStyle w:val="16"/>
        <w:keepNext/>
      </w:pPr>
      <w:r>
        <w:t>可调用绘本角色、歌曲、图片和课程知识点</w:t>
      </w:r>
    </w:p>
    <w:p w14:paraId="598FB5F8">
      <w:pPr>
        <w:pStyle w:val="16"/>
        <w:keepNext/>
      </w:pPr>
      <w:r>
        <w:t>完成的情境内容可直接加入课程包和课堂授课模式</w:t>
      </w:r>
    </w:p>
    <w:p w14:paraId="1F0FA164">
      <w:pPr>
        <w:pStyle w:val="166"/>
        <w:keepNext w:val="0"/>
        <w:pBdr>
          <w:left w:val="single" w:color="245A64" w:sz="12" w:space="8"/>
        </w:pBdr>
        <w:ind w:left="215" w:right="57"/>
      </w:pPr>
      <w:r>
        <w:rPr>
          <w:b/>
          <w:color w:val="245A64"/>
        </w:rPr>
        <w:t xml:space="preserve">客户价值  </w:t>
      </w:r>
      <w:r>
        <w:t>把词汇和句型放入具体使用场景，帮助学生从理解语言过渡到实际表达。</w:t>
      </w:r>
    </w:p>
    <w:p w14:paraId="6B9958B3">
      <w:pPr>
        <w:pStyle w:val="173"/>
        <w:keepNext/>
        <w:spacing w:before="240"/>
      </w:pPr>
      <w:r>
        <w:t>需求待确认模块</w:t>
      </w:r>
    </w:p>
    <w:p w14:paraId="779B49A8">
      <w:pPr>
        <w:keepNext/>
      </w:pPr>
      <w:r>
        <w:t>以下三个模块仅记录名称，具体需求待客户进一步确认，暂不展开功能描述。</w:t>
      </w:r>
    </w:p>
    <w:p w14:paraId="358A9916">
      <w:pPr>
        <w:pStyle w:val="4"/>
        <w:keepNext/>
        <w:spacing w:before="160"/>
      </w:pPr>
      <w:bookmarkStart w:id="6" w:name="func_6"/>
      <w:r>
        <w:t>6  能力训练</w:t>
      </w:r>
      <w:bookmarkEnd w:id="6"/>
    </w:p>
    <w:p w14:paraId="1985E2AC">
      <w:pPr>
        <w:pStyle w:val="167"/>
        <w:keepNext/>
      </w:pPr>
      <w:r>
        <w:t>具体需求待客户确认。</w:t>
      </w:r>
    </w:p>
    <w:p w14:paraId="2AAFB8DE">
      <w:pPr>
        <w:pStyle w:val="4"/>
        <w:keepNext/>
        <w:spacing w:before="160"/>
      </w:pPr>
      <w:bookmarkStart w:id="7" w:name="func_7"/>
      <w:r>
        <w:t>7  趣味练习</w:t>
      </w:r>
      <w:bookmarkEnd w:id="7"/>
    </w:p>
    <w:p w14:paraId="78708E9C">
      <w:pPr>
        <w:pStyle w:val="167"/>
        <w:keepNext/>
      </w:pPr>
      <w:r>
        <w:t>具体需求待客户确认。</w:t>
      </w:r>
    </w:p>
    <w:p w14:paraId="23AEF38A">
      <w:pPr>
        <w:pStyle w:val="4"/>
        <w:keepNext/>
        <w:spacing w:before="160"/>
      </w:pPr>
      <w:bookmarkStart w:id="8" w:name="func_8"/>
      <w:r>
        <w:t>8  主题活动</w:t>
      </w:r>
      <w:bookmarkEnd w:id="8"/>
    </w:p>
    <w:p w14:paraId="122B1353">
      <w:pPr>
        <w:pStyle w:val="167"/>
        <w:keepNext/>
      </w:pPr>
      <w:r>
        <w:t>具体需求待客户确认。</w:t>
      </w:r>
    </w:p>
    <w:p w14:paraId="596DEA05">
      <w:pPr>
        <w:pStyle w:val="3"/>
        <w:keepNext/>
      </w:pPr>
      <w:r>
        <w:t>二  课程组织与课堂授课</w:t>
      </w:r>
    </w:p>
    <w:p w14:paraId="58234CA9">
      <w:pPr>
        <w:pStyle w:val="164"/>
      </w:pPr>
      <w:r>
        <w:t>教师可将不同类型的教学内容组合为完整课程，并在统一界面中完成课堂授课。</w:t>
      </w:r>
    </w:p>
    <w:p w14:paraId="14CC1DCF">
      <w:pPr>
        <w:pStyle w:val="4"/>
        <w:keepNext/>
      </w:pPr>
      <w:bookmarkStart w:id="9" w:name="func_9"/>
      <w:r>
        <w:t>9  一站式课程包</w:t>
      </w:r>
      <w:bookmarkEnd w:id="9"/>
    </w:p>
    <w:p w14:paraId="5C9832E5">
      <w:pPr>
        <w:keepNext/>
      </w:pPr>
      <w:r>
        <w:t>教师可以将绘本、音乐、歌曲、情境活动等内容组合成一套完整课程。</w:t>
      </w:r>
    </w:p>
    <w:p w14:paraId="257BDDC8">
      <w:pPr>
        <w:pStyle w:val="16"/>
        <w:keepNext/>
      </w:pPr>
      <w:r>
        <w:t>按照课时组合不同类型的教学素材</w:t>
      </w:r>
    </w:p>
    <w:p w14:paraId="3041C96E">
      <w:pPr>
        <w:pStyle w:val="16"/>
        <w:keepNext/>
      </w:pPr>
      <w:r>
        <w:t>设置适合年龄、英语等级和学习目标</w:t>
      </w:r>
    </w:p>
    <w:p w14:paraId="12C115E9">
      <w:pPr>
        <w:pStyle w:val="16"/>
        <w:keepNext/>
      </w:pPr>
      <w:r>
        <w:t>调整教学内容和课堂环节顺序</w:t>
      </w:r>
    </w:p>
    <w:p w14:paraId="170FBAC1">
      <w:pPr>
        <w:pStyle w:val="16"/>
        <w:keepNext/>
      </w:pPr>
      <w:r>
        <w:t>保存为可重复使用的标准化课程</w:t>
      </w:r>
    </w:p>
    <w:p w14:paraId="6C581761">
      <w:pPr>
        <w:pStyle w:val="16"/>
        <w:keepNext/>
      </w:pPr>
      <w:r>
        <w:t>提交校区管理人员审核，审核通过后在平台内发布</w:t>
      </w:r>
    </w:p>
    <w:p w14:paraId="29F1014F">
      <w:pPr>
        <w:pStyle w:val="16"/>
        <w:keepNext/>
      </w:pPr>
      <w:r>
        <w:t>支持优质课程在获得授权后跨校区复用</w:t>
      </w:r>
    </w:p>
    <w:p w14:paraId="33119D39">
      <w:pPr>
        <w:pStyle w:val="166"/>
        <w:keepNext w:val="0"/>
        <w:pBdr>
          <w:left w:val="single" w:color="245A64" w:sz="12" w:space="8"/>
        </w:pBdr>
        <w:ind w:left="215" w:right="57"/>
      </w:pPr>
      <w:r>
        <w:rPr>
          <w:b/>
          <w:color w:val="245A64"/>
        </w:rPr>
        <w:t xml:space="preserve">客户价值  </w:t>
      </w:r>
      <w:r>
        <w:t>将零散素材整理为可以直接授课、审核和复用的标准化课程产品。</w:t>
      </w:r>
    </w:p>
    <w:p w14:paraId="152451D1">
      <w:pPr>
        <w:pStyle w:val="4"/>
        <w:keepNext/>
      </w:pPr>
      <w:bookmarkStart w:id="10" w:name="func_10"/>
      <w:r>
        <w:t>10  课堂授课模式</w:t>
      </w:r>
      <w:bookmarkEnd w:id="10"/>
    </w:p>
    <w:p w14:paraId="6AE51817">
      <w:pPr>
        <w:keepNext/>
      </w:pPr>
      <w:r>
        <w:t>教师进入课堂后，可在一个界面中完成整节课的内容播放和环节控制。</w:t>
      </w:r>
    </w:p>
    <w:p w14:paraId="27ABA09A">
      <w:pPr>
        <w:pStyle w:val="16"/>
        <w:keepNext/>
      </w:pPr>
      <w:r>
        <w:t>统一展示课件、绘本、歌曲、情景瑜伽和其他情境内容</w:t>
      </w:r>
    </w:p>
    <w:p w14:paraId="76E03B94">
      <w:pPr>
        <w:pStyle w:val="16"/>
        <w:keepNext/>
      </w:pPr>
      <w:r>
        <w:t>控制翻页、播放进度和教学环节切换</w:t>
      </w:r>
    </w:p>
    <w:p w14:paraId="1F7F7D83">
      <w:pPr>
        <w:pStyle w:val="16"/>
        <w:keepNext/>
      </w:pPr>
      <w:r>
        <w:t>歌曲播放时同步滚动歌词、节拍和动作提示</w:t>
      </w:r>
    </w:p>
    <w:p w14:paraId="47DD4074">
      <w:pPr>
        <w:pStyle w:val="16"/>
        <w:keepNext/>
      </w:pPr>
      <w:r>
        <w:t>一键启动互动内容和课堂活动</w:t>
      </w:r>
    </w:p>
    <w:p w14:paraId="56A0B678">
      <w:pPr>
        <w:pStyle w:val="16"/>
        <w:keepNext/>
      </w:pPr>
      <w:r>
        <w:t>支持全屏、投影大屏和触摸屏操作</w:t>
      </w:r>
    </w:p>
    <w:p w14:paraId="17965D23">
      <w:pPr>
        <w:pStyle w:val="16"/>
        <w:keepNext/>
      </w:pPr>
      <w:r>
        <w:t>根据课程流程快速切换不同教学素材</w:t>
      </w:r>
    </w:p>
    <w:p w14:paraId="4A4385CA">
      <w:pPr>
        <w:pStyle w:val="166"/>
        <w:keepNext w:val="0"/>
        <w:pBdr>
          <w:left w:val="single" w:color="245A64" w:sz="12" w:space="8"/>
        </w:pBdr>
        <w:ind w:left="215" w:right="57"/>
      </w:pPr>
      <w:r>
        <w:rPr>
          <w:b/>
          <w:color w:val="245A64"/>
        </w:rPr>
        <w:t xml:space="preserve">客户价值  </w:t>
      </w:r>
      <w:r>
        <w:t>教师无需在多个软件和文件之间来回切换，课堂流程更连贯，操作更简单。</w:t>
      </w:r>
    </w:p>
    <w:p w14:paraId="780392EB">
      <w:pPr>
        <w:pStyle w:val="3"/>
        <w:keepNext/>
      </w:pPr>
      <w:r>
        <w:t>三  教学资源与知识资产</w:t>
      </w:r>
    </w:p>
    <w:p w14:paraId="59FFDBB5">
      <w:pPr>
        <w:pStyle w:val="164"/>
      </w:pPr>
      <w:r>
        <w:t>平台将机构资料、AI 持续生成的教学素材、词汇可视化图片和优秀实践整理为可检索、可复用、可被 AI 与教学工具调用的知识资产。</w:t>
      </w:r>
    </w:p>
    <w:p w14:paraId="6AF06703">
      <w:pPr>
        <w:pStyle w:val="4"/>
        <w:keepNext/>
      </w:pPr>
      <w:bookmarkStart w:id="11" w:name="func_11"/>
      <w:r>
        <w:t>11  智能知识库与教学资源库（Wiki.js + RAG）</w:t>
      </w:r>
      <w:bookmarkEnd w:id="11"/>
    </w:p>
    <w:p w14:paraId="03E469F6">
      <w:pPr>
        <w:keepNext/>
      </w:pPr>
      <w:r>
        <w:t>平台已经搭建 Wiki.js 与 RAG 结合的基础智能知识库。Wiki.js 管理资料、权限和版本，RAG 负责检索相关知识并提供给 AI 和教学工具使用。下列能力同时包含持续建设内容，不代表均已完成。</w:t>
      </w:r>
    </w:p>
    <w:p w14:paraId="53269C0E">
      <w:pPr>
        <w:pStyle w:val="5"/>
      </w:pPr>
      <w:r>
        <w:t>资源统一管理</w:t>
      </w:r>
    </w:p>
    <w:p w14:paraId="72C63AD7">
      <w:pPr>
        <w:pStyle w:val="16"/>
      </w:pPr>
      <w:r>
        <w:t>统一管理教材、教案、课程标准、绘本、图片、课件、音视频和歌曲</w:t>
      </w:r>
    </w:p>
    <w:p w14:paraId="7976ACB4">
      <w:pPr>
        <w:pStyle w:val="16"/>
      </w:pPr>
      <w:r>
        <w:t>管理词汇表、句型库、英语分级标准和优秀课程案例</w:t>
      </w:r>
    </w:p>
    <w:p w14:paraId="3AF9AC08">
      <w:pPr>
        <w:pStyle w:val="5"/>
      </w:pPr>
      <w:r>
        <w:t>AI 词汇提示图片素材库建设</w:t>
      </w:r>
    </w:p>
    <w:p w14:paraId="7B42777A">
      <w:pPr>
        <w:pStyle w:val="16"/>
      </w:pPr>
      <w:r>
        <w:t>以常见英语单词的可视化教学为目标，建立“单词 / 词义 / 语境 — 提示图片”的结构化映射关系，逐步形成可持续扩充的词汇图片素材库</w:t>
      </w:r>
    </w:p>
    <w:p w14:paraId="12036934">
      <w:pPr>
        <w:pStyle w:val="16"/>
      </w:pPr>
      <w:r>
        <w:t>建设初期由机构提供认可的图片视觉参考样例和重点词表，可优先从低年级高频词、教材目标词等核心词汇开始建设</w:t>
      </w:r>
    </w:p>
    <w:p w14:paraId="65E059DE">
      <w:pPr>
        <w:pStyle w:val="16"/>
      </w:pPr>
      <w:r>
        <w:t>AI 根据参考样例和词汇语义批量生成候选提示图片，并通过持续调优逐步提升图片表达准确性和风格一致性</w:t>
      </w:r>
    </w:p>
    <w:p w14:paraId="02A04CF4">
      <w:pPr>
        <w:pStyle w:val="16"/>
      </w:pPr>
      <w:r>
        <w:t>候选图片经过人工审核后进入正式素材库；对不准确、不易理解或风格不符合要求的结果形成反馈，用于继续优化后续生成效果</w:t>
      </w:r>
    </w:p>
    <w:p w14:paraId="67E41BE2">
      <w:pPr>
        <w:pStyle w:val="16"/>
      </w:pPr>
      <w:r>
        <w:t>同一单词可按不同词义和使用语境关联多张图片，并设置适合常用教学场景的推荐图片，兼顾“一词一图”的简洁使用体验与多义词表达</w:t>
      </w:r>
    </w:p>
    <w:p w14:paraId="1852A8AD">
      <w:pPr>
        <w:pStyle w:val="16"/>
      </w:pPr>
      <w:r>
        <w:t>素材可按照词汇、词义、年龄或年级、教材、主题和使用场景等维度分类管理，供星光音乐棚、Flash Card、词汇练习、课程课件等功能复用</w:t>
      </w:r>
    </w:p>
    <w:p w14:paraId="3B4F967C">
      <w:pPr>
        <w:pStyle w:val="16"/>
      </w:pPr>
      <w:r>
        <w:t>通过持续生成、审核和入库逐步扩大词汇覆盖范围与图片数量，长期形成机构自有的可视化英语词汇教学资产</w:t>
      </w:r>
    </w:p>
    <w:p w14:paraId="03D4C2F9">
      <w:pPr>
        <w:pStyle w:val="167"/>
        <w:pBdr>
          <w:left w:val="single" w:color="C7A26C" w:sz="10" w:space="7"/>
        </w:pBdr>
        <w:ind w:left="204"/>
      </w:pPr>
      <w:r>
        <w:rPr>
          <w:b/>
          <w:color w:val="81592D"/>
        </w:rPr>
        <w:t xml:space="preserve">范围说明  </w:t>
      </w:r>
      <w:r>
        <w:t>图片生成与审核工具的具体集成方式及分阶段建设范围，后续结合样例验证和实施方案确认。</w:t>
      </w:r>
    </w:p>
    <w:p w14:paraId="3CF4FD3A">
      <w:pPr>
        <w:pStyle w:val="5"/>
      </w:pPr>
      <w:r>
        <w:t>检索、推荐与内容调用</w:t>
      </w:r>
    </w:p>
    <w:p w14:paraId="2D0ED41C">
      <w:pPr>
        <w:pStyle w:val="16"/>
      </w:pPr>
      <w:r>
        <w:t>支持关键词检索和按内容含义进行智能检索</w:t>
      </w:r>
    </w:p>
    <w:p w14:paraId="0F70C9B6">
      <w:pPr>
        <w:pStyle w:val="16"/>
      </w:pPr>
      <w:r>
        <w:t>根据年龄、英语级别和主题推荐教学素材</w:t>
      </w:r>
    </w:p>
    <w:p w14:paraId="15642D42">
      <w:pPr>
        <w:pStyle w:val="16"/>
      </w:pPr>
      <w:r>
        <w:t>为绘本、歌曲和情境内容生成提供知识依据</w:t>
      </w:r>
    </w:p>
    <w:p w14:paraId="4010308D">
      <w:pPr>
        <w:pStyle w:val="5"/>
      </w:pPr>
      <w:r>
        <w:t>知识治理与追溯</w:t>
      </w:r>
    </w:p>
    <w:p w14:paraId="5DCFDAF9">
      <w:pPr>
        <w:pStyle w:val="16"/>
      </w:pPr>
      <w:r>
        <w:t>管理资料来源、版本、有效期和访问权限</w:t>
      </w:r>
    </w:p>
    <w:p w14:paraId="0EA602A8">
      <w:pPr>
        <w:pStyle w:val="16"/>
      </w:pPr>
      <w:r>
        <w:t>支持总部和校区分级管理知识内容</w:t>
      </w:r>
    </w:p>
    <w:p w14:paraId="3C85084C">
      <w:pPr>
        <w:pStyle w:val="16"/>
        <w:keepNext/>
      </w:pPr>
      <w:r>
        <w:t>记录 AI 生成内容所参考的知识资料</w:t>
      </w:r>
    </w:p>
    <w:p w14:paraId="14F67AC1">
      <w:pPr>
        <w:pStyle w:val="166"/>
        <w:pBdr>
          <w:left w:val="single" w:color="245A64" w:sz="12" w:space="8"/>
        </w:pBdr>
        <w:ind w:left="215" w:right="57"/>
      </w:pPr>
      <w:r>
        <w:rPr>
          <w:b/>
          <w:color w:val="245A64"/>
        </w:rPr>
        <w:t xml:space="preserve">客户价值  </w:t>
      </w:r>
      <w:r>
        <w:t>将机构资料、教师经验和 AI 生成的教学素材沉淀为可统一管理、持续积累和调用的知识资产，并通过词汇提示图片库支持多种教学场景复用。</w:t>
      </w:r>
    </w:p>
    <w:p w14:paraId="78DF24D7">
      <w:pPr>
        <w:pStyle w:val="4"/>
        <w:keepNext/>
      </w:pPr>
      <w:bookmarkStart w:id="12" w:name="func_12"/>
      <w:r>
        <w:t>12  优秀教学经验库</w:t>
      </w:r>
      <w:bookmarkEnd w:id="12"/>
    </w:p>
    <w:p w14:paraId="7C99A744">
      <w:pPr>
        <w:keepNext/>
      </w:pPr>
      <w:r>
        <w:t>在智能知识库基础上，持续沉淀经过审核的优秀课程设计和教学方法。</w:t>
      </w:r>
    </w:p>
    <w:p w14:paraId="229512A0">
      <w:pPr>
        <w:pStyle w:val="16"/>
        <w:keepNext/>
      </w:pPr>
      <w:r>
        <w:t>教师提交优秀课例、教学反思和课程设计</w:t>
      </w:r>
    </w:p>
    <w:p w14:paraId="1BEFAEF8">
      <w:pPr>
        <w:pStyle w:val="16"/>
        <w:keepNext/>
      </w:pPr>
      <w:r>
        <w:t>校区管理人员审核教师提交的经验</w:t>
      </w:r>
    </w:p>
    <w:p w14:paraId="34BBA6F9">
      <w:pPr>
        <w:pStyle w:val="16"/>
        <w:keepNext/>
      </w:pPr>
      <w:r>
        <w:t>总部教研团队筛选和确认优秀实践</w:t>
      </w:r>
    </w:p>
    <w:p w14:paraId="50BCE01E">
      <w:pPr>
        <w:pStyle w:val="16"/>
        <w:keepNext/>
      </w:pPr>
      <w:r>
        <w:t>按照课程主题、年龄和英语级别分类整理</w:t>
      </w:r>
    </w:p>
    <w:p w14:paraId="501A01D7">
      <w:pPr>
        <w:pStyle w:val="16"/>
        <w:keepNext/>
      </w:pPr>
      <w:r>
        <w:t>优秀方法可在教师备课时被检索和参考</w:t>
      </w:r>
    </w:p>
    <w:p w14:paraId="2B781510">
      <w:pPr>
        <w:pStyle w:val="16"/>
        <w:keepNext/>
      </w:pPr>
      <w:r>
        <w:t>优质课程可在获得授权后跨校区共享</w:t>
      </w:r>
    </w:p>
    <w:p w14:paraId="26D2FC9A">
      <w:pPr>
        <w:pStyle w:val="166"/>
        <w:keepNext w:val="0"/>
        <w:pBdr>
          <w:left w:val="single" w:color="245A64" w:sz="12" w:space="8"/>
        </w:pBdr>
        <w:ind w:left="215" w:right="57"/>
      </w:pPr>
      <w:r>
        <w:rPr>
          <w:b/>
          <w:color w:val="245A64"/>
        </w:rPr>
        <w:t xml:space="preserve">客户价值  </w:t>
      </w:r>
      <w:r>
        <w:t>保留优秀教师的实践经验，并逐步转化为机构可共享、可复用的教学能力。</w:t>
      </w:r>
    </w:p>
    <w:p w14:paraId="643DF281">
      <w:pPr>
        <w:pStyle w:val="3"/>
        <w:keepNext/>
      </w:pPr>
      <w:r>
        <w:t>四  内容质量与发布管理</w:t>
      </w:r>
    </w:p>
    <w:p w14:paraId="0EC41B94">
      <w:pPr>
        <w:pStyle w:val="164"/>
      </w:pPr>
      <w:r>
        <w:t>平台通过自动检查和人工审核控制内容质量，确保生成内容在正式发布前经过必要的质量把关。</w:t>
      </w:r>
    </w:p>
    <w:p w14:paraId="322615F5">
      <w:pPr>
        <w:pStyle w:val="4"/>
        <w:keepNext/>
      </w:pPr>
      <w:bookmarkStart w:id="13" w:name="func_13"/>
      <w:r>
        <w:t>13  AI 内容质量检查</w:t>
      </w:r>
      <w:bookmarkEnd w:id="13"/>
    </w:p>
    <w:p w14:paraId="4ADEAA1B">
      <w:pPr>
        <w:keepNext/>
      </w:pPr>
      <w:r>
        <w:t>系统在内容生成过程中自动完成基础质量检查，并在服务异常时执行重试或切换。</w:t>
      </w:r>
    </w:p>
    <w:p w14:paraId="584732DC">
      <w:pPr>
        <w:pStyle w:val="16"/>
        <w:keepNext/>
      </w:pPr>
      <w:r>
        <w:t>检查英文拼写、语法、中文表达和内容适龄性</w:t>
      </w:r>
    </w:p>
    <w:p w14:paraId="71C17BE6">
      <w:pPr>
        <w:pStyle w:val="16"/>
        <w:keepNext/>
      </w:pPr>
      <w:r>
        <w:t>检查教学词汇和句型是否符合设定级别</w:t>
      </w:r>
    </w:p>
    <w:p w14:paraId="03BD4294">
      <w:pPr>
        <w:pStyle w:val="16"/>
        <w:keepNext/>
      </w:pPr>
      <w:r>
        <w:t>检测图片黑屏、花屏和生成异常</w:t>
      </w:r>
    </w:p>
    <w:p w14:paraId="48BE69CF">
      <w:pPr>
        <w:pStyle w:val="16"/>
        <w:keepNext/>
      </w:pPr>
      <w:r>
        <w:t>生成失败时自动重新尝试</w:t>
      </w:r>
    </w:p>
    <w:p w14:paraId="7649A0E9">
      <w:pPr>
        <w:pStyle w:val="16"/>
        <w:keepNext/>
      </w:pPr>
      <w:r>
        <w:t>AI 服务异常时切换可用的备用服务</w:t>
      </w:r>
    </w:p>
    <w:p w14:paraId="7C402910">
      <w:pPr>
        <w:pStyle w:val="16"/>
        <w:keepNext/>
      </w:pPr>
      <w:r>
        <w:t>标记 AI 生成内容的来源和生成时间</w:t>
      </w:r>
    </w:p>
    <w:p w14:paraId="2413F181">
      <w:pPr>
        <w:pStyle w:val="166"/>
        <w:keepNext w:val="0"/>
        <w:pBdr>
          <w:left w:val="single" w:color="245A64" w:sz="12" w:space="8"/>
        </w:pBdr>
        <w:ind w:left="215" w:right="57"/>
      </w:pPr>
      <w:r>
        <w:rPr>
          <w:b/>
          <w:color w:val="245A64"/>
        </w:rPr>
        <w:t xml:space="preserve">客户价值  </w:t>
      </w:r>
      <w:r>
        <w:t>减少明显的语言和内容错误，提高教学内容的稳定性与专业性。</w:t>
      </w:r>
    </w:p>
    <w:p w14:paraId="154FD743">
      <w:pPr>
        <w:pStyle w:val="4"/>
        <w:keepNext/>
      </w:pPr>
      <w:bookmarkStart w:id="14" w:name="func_14"/>
      <w:r>
        <w:t>14  多级内容审核</w:t>
      </w:r>
      <w:bookmarkEnd w:id="14"/>
    </w:p>
    <w:p w14:paraId="229FB3B9">
      <w:pPr>
        <w:keepNext/>
      </w:pPr>
      <w:r>
        <w:t>通过教师自查、校区审核与总部相关的审核或抽查安排，对教学内容的发布和使用进行质量把关；总部参与发布前审核的具体范围待客户确认。</w:t>
      </w:r>
    </w:p>
    <w:p w14:paraId="2D0776D5">
      <w:pPr>
        <w:pStyle w:val="16"/>
        <w:keepNext/>
      </w:pPr>
      <w:r>
        <w:t>教师完成创作后进行内容自查和修改</w:t>
      </w:r>
    </w:p>
    <w:p w14:paraId="076E28DF">
      <w:pPr>
        <w:pStyle w:val="16"/>
        <w:keepNext/>
      </w:pPr>
      <w:r>
        <w:t>校区管理人员审核课程及教学内容</w:t>
      </w:r>
    </w:p>
    <w:p w14:paraId="61B89ED3">
      <w:pPr>
        <w:pStyle w:val="16"/>
        <w:keepNext/>
      </w:pPr>
      <w:r>
        <w:t>审核不通过时填写修改意见，并支持重新提交</w:t>
      </w:r>
    </w:p>
    <w:p w14:paraId="31A012BA">
      <w:pPr>
        <w:pStyle w:val="16"/>
        <w:keepNext/>
      </w:pPr>
      <w:r>
        <w:t>总部可对已发布内容进行抽查</w:t>
      </w:r>
    </w:p>
    <w:p w14:paraId="2A6D2CB5">
      <w:pPr>
        <w:pStyle w:val="16"/>
        <w:keepNext/>
      </w:pPr>
      <w:r>
        <w:t>不符合要求的内容可下架</w:t>
      </w:r>
    </w:p>
    <w:p w14:paraId="41658ABA">
      <w:pPr>
        <w:pStyle w:val="16"/>
        <w:keepNext/>
      </w:pPr>
      <w:r>
        <w:t>保留完整的审核和修改记录</w:t>
      </w:r>
    </w:p>
    <w:p w14:paraId="171DDFFF">
      <w:pPr>
        <w:pStyle w:val="167"/>
        <w:keepNext/>
        <w:pBdr>
          <w:left w:val="single" w:color="C7A26C" w:sz="10" w:space="7"/>
        </w:pBdr>
        <w:ind w:left="204"/>
      </w:pPr>
      <w:r>
        <w:rPr>
          <w:b/>
          <w:color w:val="81592D"/>
        </w:rPr>
        <w:t xml:space="preserve">待确认事项  </w:t>
      </w:r>
      <w:r>
        <w:t>总部是否作为发布前必审环节，以及与发布后抽查的衔接方式，待客户确认。</w:t>
      </w:r>
    </w:p>
    <w:p w14:paraId="67460620">
      <w:pPr>
        <w:pStyle w:val="166"/>
        <w:keepNext w:val="0"/>
        <w:pBdr>
          <w:left w:val="single" w:color="245A64" w:sz="12" w:space="8"/>
        </w:pBdr>
        <w:ind w:left="215" w:right="57"/>
      </w:pPr>
      <w:r>
        <w:rPr>
          <w:b/>
          <w:color w:val="245A64"/>
        </w:rPr>
        <w:t xml:space="preserve">客户价值  </w:t>
      </w:r>
      <w:r>
        <w:t>在提高生产效率的同时保留人工把关，确保正式使用的课程符合教学要求。</w:t>
      </w:r>
    </w:p>
    <w:p w14:paraId="0B1FF1E5">
      <w:pPr>
        <w:pStyle w:val="3"/>
        <w:keepNext/>
      </w:pPr>
      <w:r>
        <w:t>五  组织、权限与内容安全</w:t>
      </w:r>
    </w:p>
    <w:p w14:paraId="687D0F3B">
      <w:pPr>
        <w:pStyle w:val="164"/>
      </w:pPr>
      <w:r>
        <w:t>通过总部与校区分级管理、数据隔离和内容权限控制，在统一规则下保护教学资产，支持多校区运营。</w:t>
      </w:r>
    </w:p>
    <w:p w14:paraId="5B48913F">
      <w:pPr>
        <w:pStyle w:val="4"/>
        <w:keepNext/>
      </w:pPr>
      <w:bookmarkStart w:id="15" w:name="func_15"/>
      <w:r>
        <w:t>15  总部与校区分级管理</w:t>
      </w:r>
      <w:bookmarkEnd w:id="15"/>
    </w:p>
    <w:p w14:paraId="2D09B66E">
      <w:pPr>
        <w:keepNext/>
      </w:pPr>
      <w:r>
        <w:t>平台支持总部和校区两级组织管理，在统一规则下保留校区独立管理空间。</w:t>
      </w:r>
    </w:p>
    <w:p w14:paraId="11009C26">
      <w:pPr>
        <w:pStyle w:val="16"/>
        <w:keepNext/>
      </w:pPr>
      <w:r>
        <w:t>总部统一管理平台规则、全局内容、组织架构和校区账号</w:t>
      </w:r>
    </w:p>
    <w:p w14:paraId="43E42521">
      <w:pPr>
        <w:pStyle w:val="16"/>
        <w:keepNext/>
      </w:pPr>
      <w:r>
        <w:t>校区独立管理本校教师、课程和教学资源</w:t>
      </w:r>
    </w:p>
    <w:p w14:paraId="582004D0">
      <w:pPr>
        <w:pStyle w:val="16"/>
        <w:keepNext/>
      </w:pPr>
      <w:r>
        <w:t>不同校区之间的数据相互隔离</w:t>
      </w:r>
    </w:p>
    <w:p w14:paraId="78863453">
      <w:pPr>
        <w:pStyle w:val="16"/>
        <w:keepNext/>
      </w:pPr>
      <w:r>
        <w:t>可为不同校区配置品牌、默认画风和功能范围</w:t>
      </w:r>
    </w:p>
    <w:p w14:paraId="23137F4B">
      <w:pPr>
        <w:pStyle w:val="16"/>
        <w:keepNext/>
      </w:pPr>
      <w:r>
        <w:t>总部可发布标准课程，校区也可创建本地特色课程</w:t>
      </w:r>
    </w:p>
    <w:p w14:paraId="450EC4C8">
      <w:pPr>
        <w:pStyle w:val="16"/>
        <w:keepNext/>
      </w:pPr>
      <w:r>
        <w:t>支持优质内容在获得授权后跨校区共享</w:t>
      </w:r>
    </w:p>
    <w:p w14:paraId="0503F99C">
      <w:pPr>
        <w:pStyle w:val="166"/>
        <w:keepNext w:val="0"/>
        <w:pBdr>
          <w:left w:val="single" w:color="245A64" w:sz="12" w:space="8"/>
        </w:pBdr>
        <w:ind w:left="215" w:right="57"/>
      </w:pPr>
      <w:r>
        <w:rPr>
          <w:b/>
          <w:color w:val="245A64"/>
        </w:rPr>
        <w:t xml:space="preserve">客户价值  </w:t>
      </w:r>
      <w:r>
        <w:t>满足总部统一管理和校区独立运营的双重需要，便于平台分批推广。</w:t>
      </w:r>
    </w:p>
    <w:p w14:paraId="76F598F8">
      <w:pPr>
        <w:pStyle w:val="4"/>
        <w:keepNext/>
      </w:pPr>
      <w:bookmarkStart w:id="16" w:name="func_16"/>
      <w:r>
        <w:t>16  内容版权与安全保护</w:t>
      </w:r>
      <w:bookmarkEnd w:id="16"/>
    </w:p>
    <w:p w14:paraId="6731940D">
      <w:pPr>
        <w:keepNext/>
      </w:pPr>
      <w:r>
        <w:t>平台对绘本、歌曲、视频、课件、课程和知识库资料实行统一权限管理。</w:t>
      </w:r>
    </w:p>
    <w:p w14:paraId="4FFE0629">
      <w:pPr>
        <w:pStyle w:val="16"/>
        <w:keepNext/>
      </w:pPr>
      <w:r>
        <w:t>教学内容统一在平台内管理和使用</w:t>
      </w:r>
    </w:p>
    <w:p w14:paraId="6F2C6706">
      <w:pPr>
        <w:pStyle w:val="16"/>
        <w:keepNext/>
      </w:pPr>
      <w:r>
        <w:t>支持通过带权限和有效期的链接分享</w:t>
      </w:r>
    </w:p>
    <w:p w14:paraId="3823581C">
      <w:pPr>
        <w:pStyle w:val="16"/>
        <w:keepNext/>
      </w:pPr>
      <w:r>
        <w:t>记录内容访问和使用情况</w:t>
      </w:r>
    </w:p>
    <w:p w14:paraId="74301C2A">
      <w:pPr>
        <w:pStyle w:val="16"/>
        <w:keepNext/>
      </w:pPr>
      <w:r>
        <w:t>原始教学文件默认不直接对外下载</w:t>
      </w:r>
    </w:p>
    <w:p w14:paraId="66C23CA0">
      <w:pPr>
        <w:pStyle w:val="16"/>
        <w:keepNext/>
      </w:pPr>
      <w:r>
        <w:t>总部、校区和教师采用分级权限管理</w:t>
      </w:r>
    </w:p>
    <w:p w14:paraId="74865E2E">
      <w:pPr>
        <w:pStyle w:val="16"/>
        <w:keepNext/>
      </w:pPr>
      <w:r>
        <w:t>不同校区的数据相互隔离</w:t>
      </w:r>
    </w:p>
    <w:p w14:paraId="22564F4D">
      <w:pPr>
        <w:pStyle w:val="16"/>
        <w:keepNext/>
      </w:pPr>
      <w:r>
        <w:t>关键操作保留日志，便于安全追溯</w:t>
      </w:r>
    </w:p>
    <w:p w14:paraId="0594B41A">
      <w:pPr>
        <w:pStyle w:val="16"/>
        <w:keepNext/>
      </w:pPr>
      <w:r>
        <w:t>对知识库内容分别设置查看和编辑权限</w:t>
      </w:r>
    </w:p>
    <w:p w14:paraId="25136EF7">
      <w:pPr>
        <w:pStyle w:val="166"/>
        <w:keepNext w:val="0"/>
        <w:pBdr>
          <w:left w:val="single" w:color="245A64" w:sz="12" w:space="8"/>
        </w:pBdr>
        <w:ind w:left="215" w:right="57"/>
      </w:pPr>
      <w:r>
        <w:rPr>
          <w:b/>
          <w:color w:val="245A64"/>
        </w:rPr>
        <w:t xml:space="preserve">客户价值  </w:t>
      </w:r>
      <w:r>
        <w:t>保护机构的教学成果和知识资产，降低内容被随意下载、传播或挪用的风险。</w:t>
      </w:r>
    </w:p>
    <w:p w14:paraId="719E7503">
      <w:pPr>
        <w:pStyle w:val="3"/>
        <w:keepNext/>
      </w:pPr>
      <w:r>
        <w:t>六  AI 平台能力</w:t>
      </w:r>
    </w:p>
    <w:p w14:paraId="5ADA2076">
      <w:pPr>
        <w:pStyle w:val="164"/>
      </w:pPr>
      <w:r>
        <w:t>平台提供标准化 AI 服务接入能力，为文本、图片、语音、音乐和视频等教学内容生产提供模型支撑。</w:t>
      </w:r>
    </w:p>
    <w:p w14:paraId="0B0D7F92">
      <w:pPr>
        <w:pStyle w:val="4"/>
        <w:keepNext/>
      </w:pPr>
      <w:bookmarkStart w:id="17" w:name="func_17"/>
      <w:r>
        <w:t>17  闭源 AI API 支持</w:t>
      </w:r>
      <w:bookmarkEnd w:id="17"/>
    </w:p>
    <w:p w14:paraId="57C757D6">
      <w:pPr>
        <w:keepNext/>
      </w:pPr>
      <w:r>
        <w:t>平台支持通过标准 API 接入商业闭源 AI 服务，可按不同任务选择适合的模型能力。</w:t>
      </w:r>
    </w:p>
    <w:p w14:paraId="7671F1BF">
      <w:pPr>
        <w:pStyle w:val="16"/>
        <w:keepNext/>
      </w:pPr>
      <w:r>
        <w:t>支持接入闭源大语言模型、图片生成、语音合成、音乐生成和视频生成服务</w:t>
      </w:r>
    </w:p>
    <w:p w14:paraId="3235EC3E">
      <w:pPr>
        <w:pStyle w:val="16"/>
        <w:keepNext/>
      </w:pPr>
      <w:r>
        <w:t>统一管理不同服务商的 API 地址、密钥、模型版本和调用参数</w:t>
      </w:r>
    </w:p>
    <w:p w14:paraId="7A10B0AE">
      <w:pPr>
        <w:pStyle w:val="16"/>
        <w:keepNext/>
      </w:pPr>
      <w:r>
        <w:t>可按照文本、图片、音频和视频任务选择不同服务</w:t>
      </w:r>
    </w:p>
    <w:p w14:paraId="3F9FF8F2">
      <w:pPr>
        <w:pStyle w:val="16"/>
        <w:keepNext/>
      </w:pPr>
      <w:r>
        <w:t>支持主服务与备用服务配置，主服务异常时自动切换</w:t>
      </w:r>
    </w:p>
    <w:p w14:paraId="2B8363EC">
      <w:pPr>
        <w:pStyle w:val="16"/>
        <w:keepNext/>
      </w:pPr>
      <w:r>
        <w:t>记录调用状态、响应时间、失败原因和使用量</w:t>
      </w:r>
    </w:p>
    <w:p w14:paraId="2612E732">
      <w:pPr>
        <w:pStyle w:val="16"/>
        <w:keepNext/>
      </w:pPr>
      <w:r>
        <w:t>支持设置调用权限、额度和敏感配置的安全访问范围</w:t>
      </w:r>
    </w:p>
    <w:p w14:paraId="463AFA99">
      <w:pPr>
        <w:pStyle w:val="16"/>
        <w:keepNext/>
      </w:pPr>
      <w:r>
        <w:t>通过统一接口降低后续更换或新增服务商的改造成本</w:t>
      </w:r>
    </w:p>
    <w:p w14:paraId="2F711DD6">
      <w:pPr>
        <w:pStyle w:val="166"/>
        <w:keepNext w:val="0"/>
        <w:pBdr>
          <w:left w:val="single" w:color="245A64" w:sz="12" w:space="8"/>
        </w:pBdr>
        <w:ind w:left="215" w:right="57"/>
      </w:pPr>
      <w:r>
        <w:rPr>
          <w:b/>
          <w:color w:val="245A64"/>
        </w:rPr>
        <w:t xml:space="preserve">客户价值  </w:t>
      </w:r>
      <w:r>
        <w:t>机构可以灵活使用成熟的商业 AI 能力，并减少对单一服务商的依赖。</w:t>
      </w:r>
    </w:p>
    <w:p w14:paraId="7B8EF59F">
      <w:pPr>
        <w:pStyle w:val="3"/>
        <w:keepNext/>
      </w:pPr>
      <w:r>
        <w:t>七  平台 UI 与交互体验</w:t>
      </w:r>
    </w:p>
    <w:p w14:paraId="3B5BC298">
      <w:pPr>
        <w:pStyle w:val="164"/>
      </w:pPr>
      <w:r>
        <w:t>平台 UI 改版覆盖整体视觉、首页导航及其他页面适配；当前已明确首页方向，内页方案仍需细化。</w:t>
      </w:r>
    </w:p>
    <w:p w14:paraId="12F29B57">
      <w:pPr>
        <w:pStyle w:val="4"/>
        <w:keepNext/>
      </w:pPr>
      <w:bookmarkStart w:id="18" w:name="func_18"/>
      <w:r>
        <w:t>18  场景化首页与整体 UI 改版</w:t>
      </w:r>
      <w:bookmarkEnd w:id="18"/>
    </w:p>
    <w:p w14:paraId="25387FFB">
      <w:pPr>
        <w:keepNext/>
      </w:pPr>
      <w:r>
        <w:t>对平台现有偏中后台的界面进行改版，提升场景感、趣味性和整体视觉一致性。先从首页开展方案探索，再结合确认的方向细化其他页面。</w:t>
      </w:r>
    </w:p>
    <w:p w14:paraId="3C6AFCA4">
      <w:pPr>
        <w:pStyle w:val="16"/>
        <w:keepNext/>
      </w:pPr>
      <w:r>
        <w:rPr>
          <w:b/>
        </w:rPr>
        <w:t>整体视觉升级：</w:t>
      </w:r>
      <w:r>
        <w:t>优化平台整体视觉风格，具体视觉方案通过首页设计探索后确认</w:t>
      </w:r>
    </w:p>
    <w:p w14:paraId="2ED85BC8">
      <w:pPr>
        <w:pStyle w:val="16"/>
        <w:keepNext/>
      </w:pPr>
      <w:r>
        <w:rPr>
          <w:b/>
        </w:rPr>
        <w:t>首页与导航：</w:t>
      </w:r>
      <w:r>
        <w:t>首页采用小岛地图式场景，支持点击地图中的功能入口进入对应模块；同时保留左上角抽屉式文字菜单，两种入口并行</w:t>
      </w:r>
    </w:p>
    <w:p w14:paraId="43658F3D">
      <w:pPr>
        <w:pStyle w:val="16"/>
        <w:keepNext/>
      </w:pPr>
      <w:r>
        <w:rPr>
          <w:b/>
        </w:rPr>
        <w:t>其他页面适配：</w:t>
      </w:r>
      <w:r>
        <w:t>与首页保持整体视觉统一，具体布局、交互调整及实施范围待后续方案确认</w:t>
      </w:r>
    </w:p>
    <w:p w14:paraId="20A2B087">
      <w:pPr>
        <w:pStyle w:val="166"/>
        <w:keepNext w:val="0"/>
        <w:pBdr>
          <w:left w:val="single" w:color="245A64" w:sz="12" w:space="8"/>
        </w:pBdr>
        <w:ind w:left="215" w:right="57"/>
      </w:pPr>
      <w:r>
        <w:rPr>
          <w:b/>
          <w:color w:val="245A64"/>
        </w:rPr>
        <w:t xml:space="preserve">客户价值  </w:t>
      </w:r>
      <w:r>
        <w:t>提升平台的趣味性和整体体验，同时保留便捷的功能查找方式。</w:t>
      </w:r>
    </w:p>
    <w:p w14:paraId="529B2355">
      <w:pPr>
        <w:pStyle w:val="3"/>
        <w:keepNext/>
      </w:pPr>
      <w:r>
        <w:t>功能闭环</w:t>
      </w:r>
    </w:p>
    <w:p w14:paraId="72B2970E">
      <w:pPr>
        <w:pStyle w:val="164"/>
      </w:pPr>
      <w:r>
        <w:t>平台围绕教师实际工作流程连接各项能力，并让课堂实践重新回流到知识资产中。</w:t>
      </w:r>
    </w:p>
    <w:tbl>
      <w:tblPr>
        <w:tblStyle w:val="32"/>
        <w:tblW w:w="0" w:type="auto"/>
        <w:jc w:val="center"/>
        <w:tblBorders>
          <w:top w:val="single" w:color="D9E5E6" w:sz="4" w:space="0"/>
          <w:left w:val="single" w:color="D9E5E6" w:sz="4" w:space="0"/>
          <w:bottom w:val="single" w:color="D9E5E6" w:sz="4" w:space="0"/>
          <w:right w:val="single" w:color="D9E5E6" w:sz="4" w:space="0"/>
          <w:insideH w:val="single" w:color="D9E5E6" w:sz="4" w:space="0"/>
          <w:insideV w:val="single" w:color="D9E5E6" w:sz="4" w:space="0"/>
        </w:tblBorders>
        <w:tblLayout w:type="fixed"/>
        <w:tblCellMar>
          <w:top w:w="0" w:type="dxa"/>
          <w:left w:w="108" w:type="dxa"/>
          <w:bottom w:w="0" w:type="dxa"/>
          <w:right w:w="108" w:type="dxa"/>
        </w:tblCellMar>
      </w:tblPr>
      <w:tblGrid>
        <w:gridCol w:w="9524"/>
      </w:tblGrid>
      <w:tr w14:paraId="76BE341A">
        <w:trPr>
          <w:cantSplit/>
          <w:jc w:val="center"/>
        </w:trPr>
        <w:tc>
          <w:tcPr>
            <w:tcW w:w="9524" w:type="dxa"/>
            <w:shd w:val="clear" w:color="auto" w:fill="EFF5F5"/>
            <w:tcMar>
              <w:top w:w="75" w:type="dxa"/>
              <w:left w:w="120" w:type="dxa"/>
              <w:bottom w:w="75" w:type="dxa"/>
              <w:right w:w="120" w:type="dxa"/>
            </w:tcMar>
            <w:vAlign w:val="center"/>
          </w:tcPr>
          <w:p w14:paraId="0F8AC66D">
            <w:pPr>
              <w:keepNext w:val="0"/>
              <w:spacing w:before="20" w:after="20"/>
              <w:jc w:val="center"/>
            </w:pPr>
            <w:r>
              <w:rPr>
                <w:b/>
                <w:color w:val="245A64"/>
              </w:rPr>
              <w:t>知识与资源沉淀  →  内容创作与互动  →  课程组装</w:t>
            </w:r>
          </w:p>
          <w:p w14:paraId="5C0E7C1A">
            <w:pPr>
              <w:pStyle w:val="170"/>
              <w:spacing w:before="20" w:after="20"/>
              <w:jc w:val="center"/>
            </w:pPr>
            <w:r>
              <w:rPr>
                <w:rFonts w:ascii="DejaVu Sans" w:hAnsi="DejaVu Sans" w:eastAsia="DejaVu Sans"/>
                <w:color w:val="245A64"/>
                <w:sz w:val="22"/>
              </w:rPr>
              <w:t>↓</w:t>
            </w:r>
          </w:p>
          <w:p w14:paraId="3AB74506">
            <w:pPr>
              <w:spacing w:before="20" w:after="20"/>
              <w:jc w:val="center"/>
            </w:pPr>
            <w:r>
              <w:t>质量检查与内容审核  →  课堂授课  →  教学经验沉淀</w:t>
            </w:r>
          </w:p>
          <w:p w14:paraId="741459D5">
            <w:pPr>
              <w:pStyle w:val="170"/>
              <w:spacing w:before="20" w:after="20"/>
              <w:jc w:val="center"/>
            </w:pPr>
            <w:r>
              <w:t>回流：教学经验沉淀  →  反哺知识与资源库</w:t>
            </w:r>
          </w:p>
        </w:tc>
      </w:tr>
    </w:tbl>
    <w:p w14:paraId="130CD923">
      <w:r>
        <w:t>贯穿全流程的支撑能力： 总部与校区分级管理、内容版权与安全保护、AI 模型与服务接入，以及逐步统一的平台 UI 与交互体验。</w:t>
      </w:r>
    </w:p>
    <w:p w14:paraId="0ADEF940">
      <w:r>
        <w:t>通过这一闭环，机构可复用已有资料、AI 建设的词汇提示图片等教学素材和优秀课程，在统一的质量、权限与安全规则下扩大教学内容供给，并将课堂实践与审核反馈沉淀为可复用的组织知识资产。</w:t>
      </w:r>
    </w:p>
    <w:sectPr>
      <w:headerReference r:id="rId6" w:type="first"/>
      <w:footerReference r:id="rId8" w:type="first"/>
      <w:headerReference r:id="rId5" w:type="default"/>
      <w:footerReference r:id="rId7" w:type="default"/>
      <w:pgSz w:w="11906" w:h="16838"/>
      <w:pgMar w:top="1077" w:right="1191" w:bottom="1020" w:left="1191"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DejaVu San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6A325">
    <w:pPr>
      <w:pStyle w:val="170"/>
      <w:tabs>
        <w:tab w:val="right" w:pos="9524"/>
      </w:tabs>
      <w:spacing w:before="80"/>
      <w:jc w:val="center"/>
    </w:pPr>
    <w:r>
      <w:t>V2026.09.20-R2  |  2026-09-20</w:t>
    </w:r>
    <w:r>
      <w:tab/>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3E9E">
    <w:pPr>
      <w:pStyle w:val="170"/>
    </w:pPr>
    <w:r>
      <w:t>Wellbeing AI 教育内容平台  ·  功能范围沟通文件</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25DB8">
    <w:pPr>
      <w:pStyle w:val="170"/>
      <w:pBdr>
        <w:bottom w:val="single" w:color="D9E5E6" w:sz="4" w:space="6"/>
      </w:pBdr>
      <w:tabs>
        <w:tab w:val="right" w:pos="9524"/>
      </w:tabs>
      <w:spacing w:after="0"/>
      <w:jc w:val="right"/>
    </w:pPr>
    <w:r>
      <w:rPr>
        <w:b/>
        <w:color w:val="245A64"/>
      </w:rPr>
      <w:t>Wellbeing AI 教育内容平台</w:t>
    </w:r>
    <w:r>
      <w:tab/>
    </w:r>
    <w:r>
      <w:t>客户沟通版 · 评审修订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0CB0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Noto Sans CJK SC" w:hAnsi="Noto Sans CJK SC"/>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Noto Sans CJK SC" w:hAnsi="Noto Sans CJK SC"/>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Noto Sans CJK SC" w:hAnsi="Noto Sans CJK SC"/>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3DF06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widowControl/>
      <w:spacing w:before="0" w:after="100" w:line="320" w:lineRule="exact"/>
      <w:ind w:left="0" w:right="0" w:firstLine="0"/>
    </w:pPr>
    <w:rPr>
      <w:rFonts w:ascii="Noto Sans CJK SC" w:hAnsi="Noto Sans CJK SC" w:eastAsia="Noto Sans CJK SC" w:cs="Noto Sans CJK SC"/>
      <w:color w:val="23272A"/>
      <w:sz w:val="21"/>
      <w:szCs w:val="22"/>
      <w:lang w:val="en-US" w:eastAsia="en-US" w:bidi="ar-SA"/>
    </w:rPr>
  </w:style>
  <w:style w:type="paragraph" w:styleId="3">
    <w:name w:val="heading 1"/>
    <w:basedOn w:val="1"/>
    <w:next w:val="1"/>
    <w:link w:val="138"/>
    <w:qFormat/>
    <w:uiPriority w:val="9"/>
    <w:pPr>
      <w:keepNext/>
      <w:keepLines/>
      <w:widowControl/>
      <w:spacing w:before="260" w:after="160" w:line="460" w:lineRule="exact"/>
      <w:ind w:left="0" w:right="0" w:firstLine="0"/>
      <w:outlineLvl w:val="0"/>
    </w:pPr>
    <w:rPr>
      <w:rFonts w:asciiTheme="majorHAnsi" w:hAnsiTheme="majorHAnsi" w:eastAsiaTheme="majorEastAsia" w:cstheme="majorBidi"/>
      <w:b/>
      <w:bCs/>
      <w:color w:val="245A64"/>
      <w:sz w:val="32"/>
      <w:szCs w:val="28"/>
    </w:rPr>
  </w:style>
  <w:style w:type="paragraph" w:styleId="4">
    <w:name w:val="heading 2"/>
    <w:basedOn w:val="1"/>
    <w:next w:val="1"/>
    <w:link w:val="139"/>
    <w:unhideWhenUsed/>
    <w:qFormat/>
    <w:uiPriority w:val="9"/>
    <w:pPr>
      <w:keepNext/>
      <w:keepLines/>
      <w:widowControl/>
      <w:spacing w:before="200" w:after="100" w:line="380" w:lineRule="exact"/>
      <w:ind w:left="0" w:right="0" w:firstLine="0"/>
      <w:outlineLvl w:val="1"/>
    </w:pPr>
    <w:rPr>
      <w:rFonts w:asciiTheme="majorHAnsi" w:hAnsiTheme="majorHAnsi" w:eastAsiaTheme="majorEastAsia" w:cstheme="majorBidi"/>
      <w:b/>
      <w:bCs/>
      <w:color w:val="23272A"/>
      <w:sz w:val="26"/>
      <w:szCs w:val="26"/>
    </w:rPr>
  </w:style>
  <w:style w:type="paragraph" w:styleId="5">
    <w:name w:val="heading 3"/>
    <w:basedOn w:val="1"/>
    <w:next w:val="1"/>
    <w:link w:val="140"/>
    <w:unhideWhenUsed/>
    <w:qFormat/>
    <w:uiPriority w:val="9"/>
    <w:pPr>
      <w:keepNext/>
      <w:keepLines/>
      <w:widowControl/>
      <w:spacing w:before="140" w:after="60" w:line="330" w:lineRule="exact"/>
      <w:ind w:left="0" w:right="0" w:firstLine="0"/>
      <w:outlineLvl w:val="2"/>
    </w:pPr>
    <w:rPr>
      <w:rFonts w:asciiTheme="majorHAnsi" w:hAnsiTheme="majorHAnsi" w:eastAsiaTheme="majorEastAsia" w:cstheme="majorBidi"/>
      <w:b/>
      <w:bCs/>
      <w:color w:val="245A64"/>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keepNext w:val="0"/>
      <w:keepLines/>
      <w:widowControl/>
      <w:numPr>
        <w:ilvl w:val="0"/>
        <w:numId w:val="3"/>
      </w:numPr>
      <w:spacing w:before="0" w:after="40" w:line="320" w:lineRule="exact"/>
      <w:ind w:left="227" w:right="0" w:hanging="181"/>
      <w:contextualSpacing/>
    </w:pPr>
    <w:rPr>
      <w:rFonts w:ascii="Noto Sans CJK SC" w:hAnsi="Noto Sans CJK SC" w:eastAsia="Noto Sans CJK SC" w:cs="Noto Sans CJK SC"/>
      <w:color w:val="23272A"/>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rPr>
      <w:rFonts w:ascii="Noto Sans CJK SC" w:hAnsi="Noto Sans CJK SC" w:eastAsia="Noto Sans CJK SC"/>
    </w:rPr>
  </w:style>
  <w:style w:type="paragraph" w:styleId="24">
    <w:name w:val="footer"/>
    <w:basedOn w:val="1"/>
    <w:link w:val="136"/>
    <w:unhideWhenUsed/>
    <w:uiPriority w:val="99"/>
    <w:pPr>
      <w:tabs>
        <w:tab w:val="center" w:pos="4680"/>
        <w:tab w:val="right" w:pos="9360"/>
      </w:tabs>
      <w:spacing w:after="0" w:line="240" w:lineRule="auto"/>
    </w:pPr>
    <w:rPr>
      <w:rFonts w:ascii="Noto Sans CJK SC" w:hAnsi="Noto Sans CJK SC" w:eastAsia="Noto Sans CJK SC"/>
    </w:rPr>
  </w:style>
  <w:style w:type="paragraph" w:styleId="25">
    <w:name w:val="header"/>
    <w:basedOn w:val="1"/>
    <w:link w:val="135"/>
    <w:unhideWhenUsed/>
    <w:uiPriority w:val="99"/>
    <w:pPr>
      <w:tabs>
        <w:tab w:val="center" w:pos="4680"/>
        <w:tab w:val="right" w:pos="9360"/>
      </w:tabs>
      <w:spacing w:after="0" w:line="240" w:lineRule="auto"/>
    </w:pPr>
    <w:rPr>
      <w:rFonts w:ascii="Noto Sans CJK SC" w:hAnsi="Noto Sans CJK SC" w:eastAsia="Noto Sans CJK SC"/>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Lead"/>
    <w:basedOn w:val="1"/>
    <w:uiPriority w:val="0"/>
    <w:pPr>
      <w:keepNext/>
      <w:keepLines/>
      <w:widowControl/>
      <w:spacing w:before="0" w:after="160" w:line="320" w:lineRule="exact"/>
      <w:ind w:left="0" w:right="0" w:firstLine="0"/>
    </w:pPr>
    <w:rPr>
      <w:rFonts w:ascii="Noto Sans CJK SC" w:hAnsi="Noto Sans CJK SC" w:eastAsia="Noto Sans CJK SC" w:cs="Noto Sans CJK SC"/>
      <w:color w:val="59636A"/>
      <w:sz w:val="21"/>
    </w:rPr>
  </w:style>
  <w:style w:type="paragraph" w:customStyle="1" w:styleId="165">
    <w:name w:val="Capability Group"/>
    <w:uiPriority w:val="0"/>
    <w:pPr>
      <w:keepNext/>
      <w:spacing w:before="120" w:after="40" w:line="276" w:lineRule="auto"/>
    </w:pPr>
    <w:rPr>
      <w:rFonts w:ascii="Noto Sans CJK SC" w:hAnsi="Noto Sans CJK SC" w:eastAsia="Noto Sans CJK SC" w:cstheme="minorBidi"/>
      <w:b/>
      <w:color w:val="245A64"/>
      <w:sz w:val="21"/>
      <w:szCs w:val="22"/>
      <w:lang w:val="en-US" w:eastAsia="en-US" w:bidi="ar-SA"/>
    </w:rPr>
  </w:style>
  <w:style w:type="paragraph" w:customStyle="1" w:styleId="166">
    <w:name w:val="Customer Value"/>
    <w:basedOn w:val="1"/>
    <w:uiPriority w:val="0"/>
    <w:pPr>
      <w:keepNext w:val="0"/>
      <w:keepLines/>
      <w:widowControl/>
      <w:spacing w:before="120" w:after="200" w:line="300" w:lineRule="exact"/>
      <w:ind w:left="0" w:right="0" w:firstLine="0"/>
    </w:pPr>
    <w:rPr>
      <w:rFonts w:ascii="Noto Sans CJK SC" w:hAnsi="Noto Sans CJK SC" w:eastAsia="Noto Sans CJK SC" w:cs="Noto Sans CJK SC"/>
      <w:color w:val="59636A"/>
      <w:sz w:val="20"/>
    </w:rPr>
  </w:style>
  <w:style w:type="paragraph" w:customStyle="1" w:styleId="167">
    <w:name w:val="Scope Note"/>
    <w:basedOn w:val="1"/>
    <w:uiPriority w:val="0"/>
    <w:pPr>
      <w:keepNext w:val="0"/>
      <w:keepLines/>
      <w:widowControl/>
      <w:spacing w:before="100" w:after="140" w:line="290" w:lineRule="exact"/>
      <w:ind w:left="0" w:right="0" w:firstLine="0"/>
    </w:pPr>
    <w:rPr>
      <w:rFonts w:ascii="Noto Sans CJK SC" w:hAnsi="Noto Sans CJK SC" w:eastAsia="Noto Sans CJK SC" w:cs="Noto Sans CJK SC"/>
      <w:color w:val="59636A"/>
      <w:sz w:val="19"/>
    </w:rPr>
  </w:style>
  <w:style w:type="paragraph" w:customStyle="1" w:styleId="168">
    <w:name w:val="Table Text"/>
    <w:basedOn w:val="1"/>
    <w:uiPriority w:val="0"/>
    <w:pPr>
      <w:keepNext w:val="0"/>
      <w:keepLines/>
      <w:widowControl/>
      <w:spacing w:before="0" w:after="0" w:line="310" w:lineRule="exact"/>
      <w:ind w:left="0" w:right="0" w:firstLine="0"/>
    </w:pPr>
    <w:rPr>
      <w:rFonts w:ascii="Noto Sans CJK SC" w:hAnsi="Noto Sans CJK SC" w:eastAsia="Noto Sans CJK SC" w:cs="Noto Sans CJK SC"/>
      <w:color w:val="23272A"/>
      <w:sz w:val="20"/>
    </w:rPr>
  </w:style>
  <w:style w:type="paragraph" w:customStyle="1" w:styleId="169">
    <w:name w:val="Table Detail"/>
    <w:basedOn w:val="1"/>
    <w:uiPriority w:val="0"/>
    <w:pPr>
      <w:keepNext w:val="0"/>
      <w:keepLines/>
      <w:widowControl/>
      <w:spacing w:before="0" w:after="0" w:line="280" w:lineRule="exact"/>
      <w:ind w:left="0" w:right="0" w:firstLine="0"/>
    </w:pPr>
    <w:rPr>
      <w:rFonts w:ascii="Noto Sans CJK SC" w:hAnsi="Noto Sans CJK SC" w:eastAsia="Noto Sans CJK SC" w:cs="Noto Sans CJK SC"/>
      <w:color w:val="59636A"/>
      <w:sz w:val="18"/>
    </w:rPr>
  </w:style>
  <w:style w:type="paragraph" w:customStyle="1" w:styleId="170">
    <w:name w:val="Small Note"/>
    <w:basedOn w:val="1"/>
    <w:uiPriority w:val="0"/>
    <w:pPr>
      <w:keepNext w:val="0"/>
      <w:keepLines/>
      <w:widowControl/>
      <w:spacing w:before="0" w:after="100" w:line="280" w:lineRule="exact"/>
      <w:ind w:left="0" w:right="0" w:firstLine="0"/>
    </w:pPr>
    <w:rPr>
      <w:rFonts w:ascii="Noto Sans CJK SC" w:hAnsi="Noto Sans CJK SC" w:eastAsia="Noto Sans CJK SC" w:cs="Noto Sans CJK SC"/>
      <w:color w:val="59636A"/>
      <w:sz w:val="18"/>
    </w:rPr>
  </w:style>
  <w:style w:type="paragraph" w:customStyle="1" w:styleId="171">
    <w:name w:val="Cover Title"/>
    <w:basedOn w:val="1"/>
    <w:uiPriority w:val="0"/>
    <w:pPr>
      <w:keepNext w:val="0"/>
      <w:keepLines/>
      <w:widowControl/>
      <w:spacing w:before="0" w:after="280" w:line="760" w:lineRule="exact"/>
      <w:ind w:left="0" w:right="0" w:firstLine="0"/>
    </w:pPr>
    <w:rPr>
      <w:rFonts w:ascii="Noto Sans CJK SC" w:hAnsi="Noto Sans CJK SC" w:eastAsia="Noto Sans CJK SC" w:cs="Noto Sans CJK SC"/>
      <w:b/>
      <w:color w:val="245A64"/>
      <w:sz w:val="54"/>
    </w:rPr>
  </w:style>
  <w:style w:type="paragraph" w:customStyle="1" w:styleId="172">
    <w:name w:val="Cover Eyebrow"/>
    <w:basedOn w:val="1"/>
    <w:uiPriority w:val="0"/>
    <w:pPr>
      <w:keepNext w:val="0"/>
      <w:keepLines/>
      <w:widowControl/>
      <w:spacing w:before="0" w:after="240" w:line="300" w:lineRule="exact"/>
      <w:ind w:left="0" w:right="0" w:firstLine="0"/>
    </w:pPr>
    <w:rPr>
      <w:rFonts w:ascii="Noto Sans CJK SC" w:hAnsi="Noto Sans CJK SC" w:eastAsia="Noto Sans CJK SC" w:cs="Noto Sans CJK SC"/>
      <w:b/>
      <w:color w:val="245A64"/>
      <w:sz w:val="20"/>
    </w:rPr>
  </w:style>
  <w:style w:type="paragraph" w:customStyle="1" w:styleId="173">
    <w:name w:val="Guide Heading"/>
    <w:basedOn w:val="1"/>
    <w:uiPriority w:val="0"/>
    <w:pPr>
      <w:keepNext/>
      <w:keepLines/>
      <w:widowControl/>
      <w:spacing w:before="300" w:after="140" w:line="360" w:lineRule="exact"/>
      <w:ind w:left="0" w:right="0" w:firstLine="0"/>
    </w:pPr>
    <w:rPr>
      <w:rFonts w:ascii="Noto Sans CJK SC" w:hAnsi="Noto Sans CJK SC" w:eastAsia="Noto Sans CJK SC" w:cs="Noto Sans CJK SC"/>
      <w:b/>
      <w:color w:val="245A64"/>
      <w:sz w:val="24"/>
    </w:rPr>
  </w:style>
  <w:style w:type="paragraph" w:customStyle="1" w:styleId="174">
    <w:name w:val="Continuation"/>
    <w:basedOn w:val="1"/>
    <w:uiPriority w:val="0"/>
    <w:pPr>
      <w:keepNext/>
      <w:keepLines/>
      <w:widowControl/>
      <w:spacing w:before="0" w:after="140" w:line="320" w:lineRule="exact"/>
      <w:ind w:left="0" w:right="0" w:firstLine="0"/>
    </w:pPr>
    <w:rPr>
      <w:rFonts w:ascii="Noto Sans CJK SC" w:hAnsi="Noto Sans CJK SC" w:eastAsia="Noto Sans CJK SC" w:cs="Noto Sans CJK SC"/>
      <w:b/>
      <w:color w:val="245A64"/>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2026-09-16T15:51:00Z</dcterms:created>
  <dc:creator>XingHai</dc:creator>
  <cp:keywords>Wellbeing AI, 功能清单, 评审修订</cp:keywords>
  <cp:lastModifiedBy>XingHai</cp:lastModifiedBy>
  <dcterms:modified xsi:type="dcterms:W3CDTF">2026-09-16T16:46:52Z</dcterms:modified>
  <dc:subject>客户沟通版｜评审修订版</dc:subject>
  <dc:title>Wellbeing AI 教育内容平台功能清单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66DE8528FCDD05C07C57AA6A43BBC40C_42</vt:lpwstr>
  </property>
</Properties>
</file>