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eHealth Africa</w:t>
      </w:r>
    </w:p>
    <w:p>
      <w:pPr>
        <w:jc w:val="center"/>
      </w:pPr>
      <w:r>
        <w:rPr>
          <w:b/>
        </w:rPr>
        <w:t>Senior Coordinator, Data and GIS Analytics Technical Assessment</w:t>
      </w:r>
    </w:p>
    <w:p>
      <w:pPr>
        <w:pStyle w:val="Subtitle"/>
        <w:jc w:val="center"/>
      </w:pPr>
      <w:r>
        <w:t>Question 1: Campaign Team Tracking and Coverage Reconciliation</w:t>
      </w:r>
    </w:p>
    <w:p>
      <w:pPr>
        <w:jc w:val="center"/>
      </w:pPr>
      <w:r>
        <w:t>Candidate: Yahaya Umar Muhammad</w:t>
      </w:r>
    </w:p>
    <w:p>
      <w:pPr>
        <w:pStyle w:val="Heading1"/>
      </w:pPr>
      <w:r>
        <w:t>Requirement 5: Missed-Settlement Spatial Cluster Analysis</w:t>
      </w:r>
    </w:p>
    <w:p>
      <w:r>
        <w:t>Purpose. Identify whether the observed GPS-derived missed-settlement indicator is spatially concentrated, while retaining explicit uncertainty and avoiding causal claims.</w:t>
      </w:r>
    </w:p>
    <w:p>
      <w:pPr>
        <w:pStyle w:val="Heading2"/>
      </w:pPr>
      <w:r>
        <w:t>Analysis population and definition</w:t>
      </w:r>
    </w:p>
    <w:p>
      <w:r>
        <w:t>The primary analysis used the baseline_30m settlement-attribution scenario. It included 2,382 non-ambiguous planned settlements: 2,168 GPS unvisited settlements were coded as missed (1), and 214 GPS visited settlements were coded as not missed (0). The 180 ambiguous settlements were excluded from the primary analysis rather than assumed missed.</w:t>
      </w:r>
    </w:p>
    <w:p>
      <w:pPr>
        <w:pStyle w:val="Heading2"/>
      </w:pPr>
      <w:r>
        <w:t>Spatial weights and inference</w:t>
      </w:r>
    </w:p>
    <w:p>
      <w:pPr>
        <w:pStyle w:val="ListBullet"/>
      </w:pPr>
      <w:r>
        <w:t>Primary weights: binary, row-standardized k-nearest-neighbour (k=8) weights calculated in EPSG:32632.</w:t>
      </w:r>
    </w:p>
    <w:p>
      <w:pPr>
        <w:pStyle w:val="ListBullet"/>
      </w:pPr>
      <w:r>
        <w:t>Primary graph diagnostics: 0 islands, 1 connected component, and exactly 8 neighbours per settlement.</w:t>
      </w:r>
    </w:p>
    <w:p>
      <w:pPr>
        <w:pStyle w:val="ListBullet"/>
      </w:pPr>
      <w:r>
        <w:t>Inference: Global and Local Moran's I using 999 permutations, seed 20260730, alpha 0.05.</w:t>
      </w:r>
    </w:p>
    <w:p>
      <w:pPr>
        <w:pStyle w:val="ListBullet"/>
      </w:pPr>
      <w:r>
        <w:t>Local inference: raw permutation p-values are retained and Benjamini-Hochberg FDR correction defines the primary local interpretation.</w:t>
      </w:r>
    </w:p>
    <w:p>
      <w:pPr>
        <w:pStyle w:val="ListBullet"/>
      </w:pPr>
      <w:r>
        <w:t>Sensitivities: a 9,050 m binary row-standardized distance band (0 islands; median 45 and maximum 108 neighbours) and a k=8 analysis including all 2,562 settlements with ambiguous cases treated as missed.</w:t>
      </w:r>
    </w:p>
    <w:p>
      <w:pPr>
        <w:pStyle w:val="Heading2"/>
      </w:pPr>
      <w:r>
        <w:t>Global Moran's I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fill="D9EAF7"/>
            <w:vAlign w:val="center"/>
          </w:tcPr>
          <w:p>
            <w:r>
              <w:t>Scenario</w:t>
            </w:r>
          </w:p>
        </w:tc>
        <w:tc>
          <w:tcPr>
            <w:tcW w:type="dxa" w:w="1930"/>
            <w:shd w:fill="D9EAF7"/>
            <w:vAlign w:val="center"/>
          </w:tcPr>
          <w:p>
            <w:r>
              <w:t>Moran's I</w:t>
            </w:r>
          </w:p>
        </w:tc>
        <w:tc>
          <w:tcPr>
            <w:tcW w:type="dxa" w:w="1930"/>
            <w:shd w:fill="D9EAF7"/>
            <w:vAlign w:val="center"/>
          </w:tcPr>
          <w:p>
            <w:r>
              <w:t>Expected I</w:t>
            </w:r>
          </w:p>
        </w:tc>
        <w:tc>
          <w:tcPr>
            <w:tcW w:type="dxa" w:w="1930"/>
            <w:shd w:fill="D9EAF7"/>
            <w:vAlign w:val="center"/>
          </w:tcPr>
          <w:p>
            <w:r>
              <w:t>z-score</w:t>
            </w:r>
          </w:p>
        </w:tc>
        <w:tc>
          <w:tcPr>
            <w:tcW w:type="dxa" w:w="1930"/>
            <w:shd w:fill="D9EAF7"/>
            <w:vAlign w:val="center"/>
          </w:tcPr>
          <w:p>
            <w:r>
              <w:t>Permutation p</w:t>
            </w:r>
          </w:p>
        </w:tc>
      </w:tr>
      <w:tr>
        <w:tc>
          <w:tcPr>
            <w:tcW w:type="dxa" w:w="1930"/>
            <w:vAlign w:val="center"/>
          </w:tcPr>
          <w:p>
            <w:r>
              <w:t>Primary: k=8, ambiguous excluded</w:t>
            </w:r>
          </w:p>
        </w:tc>
        <w:tc>
          <w:tcPr>
            <w:tcW w:type="dxa" w:w="1930"/>
            <w:vAlign w:val="center"/>
          </w:tcPr>
          <w:p>
            <w:r>
              <w:t>0.046612</w:t>
            </w:r>
          </w:p>
        </w:tc>
        <w:tc>
          <w:tcPr>
            <w:tcW w:type="dxa" w:w="1930"/>
            <w:vAlign w:val="center"/>
          </w:tcPr>
          <w:p>
            <w:r>
              <w:t>-0.000420</w:t>
            </w:r>
          </w:p>
        </w:tc>
        <w:tc>
          <w:tcPr>
            <w:tcW w:type="dxa" w:w="1930"/>
            <w:vAlign w:val="center"/>
          </w:tcPr>
          <w:p>
            <w:r>
              <w:t>4.821064</w:t>
            </w:r>
          </w:p>
        </w:tc>
        <w:tc>
          <w:tcPr>
            <w:tcW w:type="dxa" w:w="1930"/>
            <w:vAlign w:val="center"/>
          </w:tcPr>
          <w:p>
            <w:r>
              <w:t>0.001</w:t>
            </w:r>
          </w:p>
        </w:tc>
      </w:tr>
      <w:tr>
        <w:tc>
          <w:tcPr>
            <w:tcW w:type="dxa" w:w="1930"/>
            <w:vAlign w:val="center"/>
          </w:tcPr>
          <w:p>
            <w:r>
              <w:t>Sensitivity: 9,050 m distance band</w:t>
            </w:r>
          </w:p>
        </w:tc>
        <w:tc>
          <w:tcPr>
            <w:tcW w:type="dxa" w:w="1930"/>
            <w:vAlign w:val="center"/>
          </w:tcPr>
          <w:p>
            <w:r>
              <w:t>0.040196</w:t>
            </w:r>
          </w:p>
        </w:tc>
        <w:tc>
          <w:tcPr>
            <w:tcW w:type="dxa" w:w="1930"/>
            <w:vAlign w:val="center"/>
          </w:tcPr>
          <w:p>
            <w:r>
              <w:t>-0.000420</w:t>
            </w:r>
          </w:p>
        </w:tc>
        <w:tc>
          <w:tcPr>
            <w:tcW w:type="dxa" w:w="1930"/>
            <w:vAlign w:val="center"/>
          </w:tcPr>
          <w:p>
            <w:r>
              <w:t>8.401129</w:t>
            </w:r>
          </w:p>
        </w:tc>
        <w:tc>
          <w:tcPr>
            <w:tcW w:type="dxa" w:w="1930"/>
            <w:vAlign w:val="center"/>
          </w:tcPr>
          <w:p>
            <w:r>
              <w:t>0.001</w:t>
            </w:r>
          </w:p>
        </w:tc>
      </w:tr>
      <w:tr>
        <w:tc>
          <w:tcPr>
            <w:tcW w:type="dxa" w:w="1930"/>
            <w:vAlign w:val="center"/>
          </w:tcPr>
          <w:p>
            <w:r>
              <w:t>Sensitivity: ambiguous treated as missed</w:t>
            </w:r>
          </w:p>
        </w:tc>
        <w:tc>
          <w:tcPr>
            <w:tcW w:type="dxa" w:w="1930"/>
            <w:vAlign w:val="center"/>
          </w:tcPr>
          <w:p>
            <w:r>
              <w:t>0.043926</w:t>
            </w:r>
          </w:p>
        </w:tc>
        <w:tc>
          <w:tcPr>
            <w:tcW w:type="dxa" w:w="1930"/>
            <w:vAlign w:val="center"/>
          </w:tcPr>
          <w:p>
            <w:r>
              <w:t>-0.000390</w:t>
            </w:r>
          </w:p>
        </w:tc>
        <w:tc>
          <w:tcPr>
            <w:tcW w:type="dxa" w:w="1930"/>
            <w:vAlign w:val="center"/>
          </w:tcPr>
          <w:p>
            <w:r>
              <w:t>5.004061</w:t>
            </w:r>
          </w:p>
        </w:tc>
        <w:tc>
          <w:tcPr>
            <w:tcW w:type="dxa" w:w="1930"/>
            <w:vAlign w:val="center"/>
          </w:tcPr>
          <w:p>
            <w:r>
              <w:t>0.001</w:t>
            </w:r>
          </w:p>
        </w:tc>
      </w:tr>
    </w:tbl>
    <w:p>
      <w:pPr>
        <w:pStyle w:val="Heading2"/>
      </w:pPr>
      <w:r>
        <w:t>Local Moran's I results</w:t>
      </w:r>
    </w:p>
    <w:p>
      <w:r>
        <w:t>Primary raw permutation screening identified 58 Low-Low visited clusters, 15 Low-High outliers, one High-Low outlier, and 2,308 not-significant settlements. After Benjamini-Hochberg FDR correction, all 2,382 primary settlements were not significant.</w:t>
      </w:r>
    </w:p>
    <w:p>
      <w:r>
        <w:t>The distance-band sensitivity had raw counts of 118 Low-Low, 38 Low-High, eight High-Low, and 2,218 not significant; all 2,382 were not significant after FDR correction. The ambiguity sensitivity had 52 Low-Low, 29 Low-High, and 2,481 not significant; all 2,562 were not significant after FDR correction.</w:t>
      </w:r>
    </w:p>
    <w:p>
      <w:pPr>
        <w:pStyle w:val="Heading2"/>
      </w:pPr>
      <w:r>
        <w:t>Plain-language interpretation for the technical assessor</w:t>
      </w:r>
    </w:p>
    <w:p>
      <w:r>
        <w:t>The Global Moran results show that the observed GPS-derived missed-settlement pattern is more spatially concentrated than expected under the permutation reference distribution. However, after accounting for the large number of local tests, no individual local area remains statistically significant. The raw local patterns should therefore be used only to guide exploratory operational review, not presented as confirmed hotspots or direct evidence of underperformance.</w:t>
      </w:r>
    </w:p>
    <w:p>
      <w:pPr>
        <w:pStyle w:val="Heading2"/>
      </w:pPr>
      <w:r>
        <w:t>Limitations and decision use</w:t>
      </w:r>
    </w:p>
    <w:p>
      <w:pPr>
        <w:pStyle w:val="ListBullet"/>
      </w:pPr>
      <w:r>
        <w:t>The statistic identifies spatial concentration only; it does not establish why a settlement was classified as missed.</w:t>
      </w:r>
    </w:p>
    <w:p>
      <w:pPr>
        <w:pStyle w:val="ListBullet"/>
      </w:pPr>
      <w:r>
        <w:t>It does not prove an individual settlement was truly unvisited, establish team misconduct, or establish whether individual children were vaccinated.</w:t>
      </w:r>
    </w:p>
    <w:p>
      <w:pPr>
        <w:pStyle w:val="ListBullet"/>
      </w:pPr>
      <w:r>
        <w:t>Results depend on GPS QA, settlement attribution, the missed-settlement definition, spatial weights, permutation inference, and FDR correction.</w:t>
      </w:r>
    </w:p>
    <w:p>
      <w:pPr>
        <w:pStyle w:val="ListBullet"/>
      </w:pPr>
      <w:r>
        <w:t>The high prevalence of the missed indicator limits contrast between local categories.</w:t>
      </w:r>
    </w:p>
    <w:p>
      <w:r>
        <w:t>Operational recommendation. Present the reconciled GPS and e-tally product to the Incident Manager. Use disagreement and raw spatial-screening patterns to prioritize rapid verification, not automatic mop-up conclusions.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Q1 Technical Response | Requirement 5 | eHealth Africa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