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5C99"/>
          <w:sz w:val="34"/>
          <w:szCs w:val="34"/>
        </w:rPr>
        <w:t xml:space="preserve">Question 5 — Coordinating Delivery Through the Round</w:t>
      </w:r>
    </w:p>
    <w:p>
      <w:pPr>
        <w:pBdr>
          <w:bottom w:val="single" w:color="2684B5" w:sz="10" w:space="6"/>
        </w:pBdr>
        <w:spacing w:after="160"/>
      </w:pPr>
      <w:r>
        <w:rPr>
          <w:rFonts w:ascii="Calibri" w:cs="Calibri" w:eastAsia="Calibri" w:hAnsi="Calibri"/>
          <w:i/>
          <w:iCs/>
          <w:color w:val="555555"/>
          <w:sz w:val="19"/>
          <w:szCs w:val="19"/>
        </w:rPr>
        <w:t xml:space="preserve">Yahaya Umar Muhammad  |  Part 3 (compulsory)  |  Maximum 3 pages</w:t>
      </w:r>
    </w:p>
    <w:p>
      <w:pPr>
        <w:spacing w:after="110" w:line="250"/>
      </w:pPr>
      <w:r>
        <w:rPr>
          <w:rFonts w:ascii="Calibri" w:cs="Calibri" w:eastAsia="Calibri" w:hAnsi="Calibri"/>
          <w:color w:val="1A1A1A"/>
          <w:sz w:val="21"/>
          <w:szCs w:val="21"/>
        </w:rPr>
        <w:t xml:space="preserve">On day three of seven, four things land at once. Two are irreversible if mishandled: a database duplication that compounds with every further edit, and a national-level discrepancy that hardens into a narrative the longer it goes unaddressed. Two tolerate delay: the partner report is due in nine days, and a training-date request can wait for a considered answer. The first 24 hours are sequenced by five factors: risk to live delivery, reversibility, compounding data damage, reputational exposure, and dependency between actions — not by who raises an issue loudest.</w:t>
      </w:r>
    </w:p>
    <w:p>
      <w:pPr>
        <w:pStyle w:val="Heading1"/>
        <w:pBdr>
          <w:bottom w:val="single" w:color="BFD6E3" w:sz="4" w:space="3"/>
        </w:pBdr>
        <w:spacing w:after="100" w:before="260"/>
      </w:pPr>
      <w:r>
        <w:rPr>
          <w:rFonts w:ascii="Calibri" w:cs="Calibri" w:eastAsia="Calibri" w:hAnsi="Calibri"/>
          <w:b/>
          <w:bCs/>
          <w:color w:val="005C99"/>
          <w:sz w:val="26"/>
          <w:szCs w:val="26"/>
        </w:rPr>
        <w:t xml:space="preserve">1. First 24-Hour Response Sequence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05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Time</w:t>
            </w:r>
          </w:p>
        </w:tc>
        <w:tc>
          <w:tcPr>
            <w:tcW w:type="dxa" w:w="345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Action</w:t>
            </w:r>
          </w:p>
        </w:tc>
        <w:tc>
          <w:tcPr>
            <w:tcW w:type="dxa" w:w="115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Lead</w:t>
            </w:r>
          </w:p>
        </w:tc>
        <w:tc>
          <w:tcPr>
            <w:tcW w:type="dxa" w:w="220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Immediate output</w:t>
            </w:r>
          </w:p>
        </w:tc>
        <w:tc>
          <w:tcPr>
            <w:tcW w:type="dxa" w:w="239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Reason for sequence</w:t>
            </w:r>
          </w:p>
        </w:tc>
      </w:tr>
      <w:tr>
        <w:trPr>
          <w:cantSplit/>
        </w:trPr>
        <w:tc>
          <w:tcPr>
            <w:tcW w:type="dxa" w:w="10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0–1h</w:t>
            </w:r>
          </w:p>
        </w:tc>
        <w:tc>
          <w:tcPr>
            <w:tcW w:type="dxa" w:w="34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Activate incident coordination; acknowledge the state-reported discrepancy; preserve database evidence; place the settlement layer under a controlled edit restriction rather than stopping campaign operations.</w:t>
            </w:r>
          </w:p>
        </w:tc>
        <w:tc>
          <w:tcPr>
            <w:tcW w:type="dxa" w:w="11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Coordinator</w:t>
            </w:r>
          </w:p>
        </w:tc>
        <w:tc>
          <w:tcPr>
            <w:tcW w:type="dxa" w:w="22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Incident log opened; layer in restricted-edit mode.</w:t>
            </w:r>
          </w:p>
        </w:tc>
        <w:tc>
          <w:tcPr>
            <w:tcW w:type="dxa" w:w="239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Silence and uncontrolled edits both compound; a restriction is not a shutdown, so live delivery is protected while evidence is preserved.</w:t>
            </w:r>
          </w:p>
        </w:tc>
      </w:tr>
      <w:tr>
        <w:trPr>
          <w:cantSplit/>
        </w:trPr>
        <w:tc>
          <w:tcPr>
            <w:tcW w:type="dxa" w:w="10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1–3h</w:t>
            </w:r>
          </w:p>
        </w:tc>
        <w:tc>
          <w:tcPr>
            <w:tcW w:type="dxa" w:w="34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Assign separate leads for database integrity and coverage reconciliation; capture a database snapshot, logs, affected records and source files; check whether the duplication could explain the coverage gap.</w:t>
            </w:r>
          </w:p>
        </w:tc>
        <w:tc>
          <w:tcPr>
            <w:tcW w:type="dxa" w:w="11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Coordinator, then 2 leads</w:t>
            </w:r>
          </w:p>
        </w:tc>
        <w:tc>
          <w:tcPr>
            <w:tcW w:type="dxa" w:w="22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Evidence snapshot secured; two named leads working in parallel.</w:t>
            </w:r>
          </w:p>
        </w:tc>
        <w:tc>
          <w:tcPr>
            <w:tcW w:type="dxa" w:w="239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Parallel tracks stop one coordinator becoming the bottleneck; evidence must be frozen before any fix is attempted.</w:t>
            </w:r>
          </w:p>
        </w:tc>
      </w:tr>
      <w:tr>
        <w:trPr>
          <w:cantSplit/>
        </w:trPr>
        <w:tc>
          <w:tcPr>
            <w:tcW w:type="dxa" w:w="10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2–4h</w:t>
            </w:r>
          </w:p>
        </w:tc>
        <w:tc>
          <w:tcPr>
            <w:tcW w:type="dxa" w:w="34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Issue a factual holding statement to national level: a discrepancy exists, its known magnitude if available, reconciliation is underway. No figure is endorsed.</w:t>
            </w:r>
          </w:p>
        </w:tc>
        <w:tc>
          <w:tcPr>
            <w:tcW w:type="dxa" w:w="11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Coordinator</w:t>
            </w:r>
          </w:p>
        </w:tc>
        <w:tc>
          <w:tcPr>
            <w:tcW w:type="dxa" w:w="22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Holding statement sent to EOC and state.</w:t>
            </w:r>
          </w:p>
        </w:tc>
        <w:tc>
          <w:tcPr>
            <w:tcW w:type="dxa" w:w="239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An EOC that hears nothing fills the gap with its own theory; endorsing either figure early cannot be safely undone if wrong.</w:t>
            </w:r>
          </w:p>
        </w:tc>
      </w:tr>
      <w:tr>
        <w:trPr>
          <w:cantSplit/>
        </w:trPr>
        <w:tc>
          <w:tcPr>
            <w:tcW w:type="dxa" w:w="10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3–8h</w:t>
            </w:r>
          </w:p>
        </w:tc>
        <w:tc>
          <w:tcPr>
            <w:tcW w:type="dxa" w:w="34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Work the root-cause decision tree in order: scope and definitions, timing, data engineering, human reporting (Section 2).</w:t>
            </w:r>
          </w:p>
        </w:tc>
        <w:tc>
          <w:tcPr>
            <w:tcW w:type="dxa" w:w="11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Reconciliation lead</w:t>
            </w:r>
          </w:p>
        </w:tc>
        <w:tc>
          <w:tcPr>
            <w:tcW w:type="dxa" w:w="22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Root cause identified, or candidate causes ruled out and documented.</w:t>
            </w:r>
          </w:p>
        </w:tc>
        <w:tc>
          <w:tcPr>
            <w:tcW w:type="dxa" w:w="239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Cheapest, least relationship-damaging explanations are checked before any party is told they are wrong.</w:t>
            </w:r>
          </w:p>
        </w:tc>
      </w:tr>
      <w:tr>
        <w:trPr>
          <w:cantSplit/>
        </w:trPr>
        <w:tc>
          <w:tcPr>
            <w:tcW w:type="dxa" w:w="10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4–10h</w:t>
            </w:r>
          </w:p>
        </w:tc>
        <w:tc>
          <w:tcPr>
            <w:tcW w:type="dxa" w:w="34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Begin structured handover with both departing analysts: credentials, scripts, contacts, pending issues, workarounds, state-specific risks.</w:t>
            </w:r>
          </w:p>
        </w:tc>
        <w:tc>
          <w:tcPr>
            <w:tcW w:type="dxa" w:w="11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Coordinator with departing analysts</w:t>
            </w:r>
          </w:p>
        </w:tc>
        <w:tc>
          <w:tcPr>
            <w:tcW w:type="dxa" w:w="22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Handover checklist opened; critical items captured in writing.</w:t>
            </w:r>
          </w:p>
        </w:tc>
        <w:tc>
          <w:tcPr>
            <w:tcW w:type="dxa" w:w="239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Tacit knowledge starts decaying the moment resignation is announced, independently of the two live incidents.</w:t>
            </w:r>
          </w:p>
        </w:tc>
      </w:tr>
      <w:tr>
        <w:trPr>
          <w:cantSplit/>
        </w:trPr>
        <w:tc>
          <w:tcPr>
            <w:tcW w:type="dxa" w:w="10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8–16h</w:t>
            </w:r>
          </w:p>
        </w:tc>
        <w:tc>
          <w:tcPr>
            <w:tcW w:type="dxa" w:w="34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Establish temporary coverage of the two vacated states; reassign responsibilities; confirm decision rights and escalation thresholds; protect production of the daily coverage product.</w:t>
            </w:r>
          </w:p>
        </w:tc>
        <w:tc>
          <w:tcPr>
            <w:tcW w:type="dxa" w:w="115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Coordinator</w:t>
            </w:r>
          </w:p>
        </w:tc>
        <w:tc>
          <w:tcPr>
            <w:tcW w:type="dxa" w:w="22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Interim state coverage confirmed; daily EOC product still ships on time.</w:t>
            </w:r>
          </w:p>
        </w:tc>
        <w:tc>
          <w:tcPr>
            <w:tcW w:type="dxa" w:w="239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The round is still live; the daily deliverable cannot lapse while other fires are being fought.</w:t>
            </w:r>
          </w:p>
        </w:tc>
      </w:tr>
      <w:tr>
        <w:trPr>
          <w:cantSplit/>
        </w:trPr>
        <w:tc>
          <w:tcPr>
            <w:tcW w:type="dxa" w:w="10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16–24h</w:t>
            </w:r>
          </w:p>
        </w:tc>
        <w:tc>
          <w:tcPr>
            <w:tcW w:type="dxa" w:w="34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Publish a reconciled figure if defensible; otherwise a clearly labelled provisional figure with stated uncertainty and next update time. Confirm the partner-report recovery plan. Acknowledge, without committing to, the counterpart training-date request.</w:t>
            </w:r>
          </w:p>
        </w:tc>
        <w:tc>
          <w:tcPr>
            <w:tcW w:type="dxa" w:w="115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Coordinator</w:t>
            </w:r>
          </w:p>
        </w:tc>
        <w:tc>
          <w:tcPr>
            <w:tcW w:type="dxa" w:w="22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Public figure issued; partner-report plan confirmed; holding reply sent to counterpart.</w:t>
            </w:r>
          </w:p>
        </w:tc>
        <w:tc>
          <w:tcPr>
            <w:tcW w:type="dxa" w:w="239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24 hours is the window promised in the holding statement; the partner report and training dates are real but tolerate a considered answer.</w:t>
            </w:r>
          </w:p>
        </w:tc>
      </w:tr>
    </w:tbl>
    <w:p>
      <w:pPr>
        <w:spacing w:after="100" w:before="100"/>
      </w:pPr>
      <w:r>
        <w:rPr>
          <w:rFonts w:ascii="Calibri" w:cs="Calibri" w:eastAsia="Calibri" w:hAnsi="Calibri"/>
          <w:b/>
          <w:bCs/>
          <w:color w:val="1A1A1A"/>
          <w:sz w:val="21"/>
          <w:szCs w:val="21"/>
        </w:rPr>
        <w:t xml:space="preserve">Deliberately not done first: </w:t>
      </w:r>
      <w:r>
        <w:rPr>
          <w:rFonts w:ascii="Calibri" w:cs="Calibri" w:eastAsia="Calibri" w:hAnsi="Calibri"/>
          <w:color w:val="1A1A1A"/>
          <w:sz w:val="21"/>
          <w:szCs w:val="21"/>
        </w:rPr>
        <w:t xml:space="preserve">no immediate deletion of duplicate records; no rollback before evidence is preserved; no premature declaration that the state or central figure is correct; no personal takeover of every technical task; no commitment to training dates before the resourcing implications of two resignations are understood.</w:t>
      </w:r>
    </w:p>
    <w:p>
      <w:pPr>
        <w:pStyle w:val="Heading1"/>
        <w:pBdr>
          <w:bottom w:val="single" w:color="BFD6E3" w:sz="4" w:space="3"/>
        </w:pBdr>
        <w:spacing w:after="100" w:before="260"/>
      </w:pPr>
      <w:r>
        <w:rPr>
          <w:rFonts w:ascii="Calibri" w:cs="Calibri" w:eastAsia="Calibri" w:hAnsi="Calibri"/>
          <w:b/>
          <w:bCs/>
          <w:color w:val="005C99"/>
          <w:sz w:val="26"/>
          <w:szCs w:val="26"/>
        </w:rPr>
        <w:t xml:space="preserve">2. Authoritative Figure, Root Cause, and Communicating Under Uncertainty</w:t>
      </w:r>
    </w:p>
    <w:p>
      <w:pPr>
        <w:spacing w:after="110" w:line="250"/>
      </w:pPr>
      <w:r>
        <w:rPr>
          <w:rFonts w:ascii="Calibri" w:cs="Calibri" w:eastAsia="Calibri" w:hAnsi="Calibri"/>
          <w:b/>
          <w:bCs/>
          <w:color w:val="1A1A1A"/>
          <w:sz w:val="21"/>
          <w:szCs w:val="21"/>
        </w:rPr>
        <w:t xml:space="preserve">Figure of record. </w:t>
      </w:r>
      <w:r>
        <w:rPr>
          <w:rFonts w:ascii="Calibri" w:cs="Calibri" w:eastAsia="Calibri" w:hAnsi="Calibri"/>
          <w:color w:val="1A1A1A"/>
          <w:sz w:val="21"/>
          <w:szCs w:val="21"/>
        </w:rPr>
        <w:t xml:space="preserve">A single governed pipeline output is designated the figure of record — governed and reproducible, not automatically correct. It carries a fixed specification: agreed denominator, geographic unit, reporting cut-off, source hierarchy (track/e-tally derivation over ad hoc spreadsheets), validation status, and a version number. This is stated explicitly to the state and to national level: this is the number we stand behind procedurally, and it may still be revised.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Category</w:t>
            </w:r>
          </w:p>
        </w:tc>
        <w:tc>
          <w:tcPr>
            <w:tcW w:type="dxa" w:w="524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Candidate causes</w:t>
            </w:r>
          </w:p>
        </w:tc>
        <w:tc>
          <w:tcPr>
            <w:tcW w:type="dxa" w:w="260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Checked because</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1. Scope and definition</w:t>
            </w:r>
          </w:p>
        </w:tc>
        <w:tc>
          <w:tcPr>
            <w:tcW w:type="dxa" w:w="52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Denominator mismatch; different settlement masterlists; geographic misclassification.</w:t>
            </w:r>
          </w:p>
        </w:tc>
        <w:tc>
          <w:tcPr>
            <w:tcW w:type="dxa" w:w="26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Cheapest to rule in or out; explains a gap without implicating any team.</w:t>
            </w:r>
          </w:p>
        </w:tc>
      </w:tr>
      <w:tr>
        <w:trPr>
          <w:cantSplit/>
        </w:trPr>
        <w:tc>
          <w:tcPr>
            <w:tcW w:type="dxa" w:w="24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2. Timing</w:t>
            </w:r>
          </w:p>
        </w:tc>
        <w:tc>
          <w:tcPr>
            <w:tcW w:type="dxa" w:w="524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Reporting cut-off differences; late or duplicate submissions.</w:t>
            </w:r>
          </w:p>
        </w:tc>
        <w:tc>
          <w:tcPr>
            <w:tcW w:type="dxa" w:w="26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 one-day lag is common and easily confirmed from logs.</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3. Data engineering</w:t>
            </w:r>
          </w:p>
        </w:tc>
        <w:tc>
          <w:tcPr>
            <w:tcW w:type="dxa" w:w="52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Duplicate settlement records; aggregation or join errors; manual spreadsheet edits; pipeline defects.</w:t>
            </w:r>
          </w:p>
        </w:tc>
        <w:tc>
          <w:tcPr>
            <w:tcW w:type="dxa" w:w="26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The live duplication incident makes this the most operationally relevant candidate; checked whether duplicates fall inside the disputed state/LGA.</w:t>
            </w:r>
          </w:p>
        </w:tc>
      </w:tr>
      <w:tr>
        <w:trPr>
          <w:cantSplit/>
        </w:trPr>
        <w:tc>
          <w:tcPr>
            <w:tcW w:type="dxa" w:w="24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4. Human reporting</w:t>
            </w:r>
          </w:p>
        </w:tc>
        <w:tc>
          <w:tcPr>
            <w:tcW w:type="dxa" w:w="524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State-side transcription error.</w:t>
            </w:r>
          </w:p>
        </w:tc>
        <w:tc>
          <w:tcPr>
            <w:tcW w:type="dxa" w:w="26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Checked last: the explanation most likely to damage the state relationship if asserted and wrong.</w:t>
            </w:r>
          </w:p>
        </w:tc>
      </w:tr>
    </w:tbl>
    <w:p>
      <w:pPr>
        <w:spacing w:after="40" w:before="80"/>
      </w:pPr>
      <w:r>
        <w:rPr>
          <w:rFonts w:ascii="Calibri" w:cs="Calibri" w:eastAsia="Calibri" w:hAnsi="Calibri"/>
          <w:b/>
          <w:bCs/>
          <w:color w:val="1A1A1A"/>
          <w:sz w:val="21"/>
          <w:szCs w:val="21"/>
        </w:rPr>
        <w:t xml:space="preserve">Communicating while the cause is unknown.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12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Can be stated now</w:t>
            </w:r>
          </w:p>
        </w:tc>
        <w:tc>
          <w:tcPr>
            <w:tcW w:type="dxa" w:w="512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Cannot yet be stated</w:t>
            </w:r>
          </w:p>
        </w:tc>
      </w:tr>
      <w:tr>
        <w:trPr>
          <w:cantSplit/>
        </w:trPr>
        <w:tc>
          <w:tcPr>
            <w:tcW w:type="dxa" w:w="512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 discrepancy exists, and the two figures being compared; the scope of the reconciliation under way; the time of the next update; that operational decisions should be treated cautiously in the interim.</w:t>
            </w:r>
          </w:p>
        </w:tc>
        <w:tc>
          <w:tcPr>
            <w:tcW w:type="dxa" w:w="512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Which side is wrong; whether the database duplication caused the discrepancy; whether campaign performance itself has changed; whether any person or team is at fault.</w:t>
            </w:r>
          </w:p>
        </w:tc>
      </w:tr>
    </w:tbl>
    <w:p>
      <w:pPr>
        <w:pStyle w:val="Heading1"/>
        <w:pBdr>
          <w:bottom w:val="single" w:color="BFD6E3" w:sz="4" w:space="3"/>
        </w:pBdr>
        <w:spacing w:after="100" w:before="260"/>
      </w:pPr>
      <w:r>
        <w:rPr>
          <w:rFonts w:ascii="Calibri" w:cs="Calibri" w:eastAsia="Calibri" w:hAnsi="Calibri"/>
          <w:b/>
          <w:bCs/>
          <w:color w:val="005C99"/>
          <w:sz w:val="26"/>
          <w:szCs w:val="26"/>
        </w:rPr>
        <w:t xml:space="preserve">3. Concurrent Spatial Editing Without Duplication or Lost Edits</w:t>
      </w:r>
    </w:p>
    <w:p>
      <w:pPr>
        <w:spacing w:after="110" w:line="250"/>
      </w:pPr>
      <w:r>
        <w:rPr>
          <w:rFonts w:ascii="Calibri" w:cs="Calibri" w:eastAsia="Calibri" w:hAnsi="Calibri"/>
          <w:color w:val="1A1A1A"/>
          <w:sz w:val="21"/>
          <w:szCs w:val="21"/>
        </w:rPr>
        <w:t xml:space="preserve">The shared enterprise database is PostgreSQL/PostGIS with role-based, controlled editing — a PostGIS-native workflow, not a dependency on an external versioning product, so every mechanism below is directly maintainable by the existing central data engineering capacity.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Mechanism</w:t>
            </w:r>
          </w:p>
        </w:tc>
        <w:tc>
          <w:tcPr>
            <w:tcW w:type="dxa" w:w="784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Implementation (PostgreSQL/PostGIS, controlled editing)</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Unique identifiers</w:t>
            </w:r>
          </w:p>
        </w:tc>
        <w:tc>
          <w:tcPr>
            <w:tcW w:type="dxa" w:w="78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UUID primary key generated client-side at feature creation — never a database serial, never reused.</w:t>
            </w:r>
          </w:p>
        </w:tc>
      </w:tr>
      <w:tr>
        <w:trPr>
          <w:cantSplit/>
        </w:trPr>
        <w:tc>
          <w:tcPr>
            <w:tcW w:type="dxa" w:w="24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Editing model</w:t>
            </w:r>
          </w:p>
        </w:tc>
        <w:tc>
          <w:tcPr>
            <w:tcW w:type="dxa" w:w="784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Analysts write to a personal staging table, never directly to the shared production table.</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Duplicate prevention</w:t>
            </w:r>
          </w:p>
        </w:tc>
        <w:tc>
          <w:tcPr>
            <w:tcW w:type="dxa" w:w="78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Unique constraint on the UUID; a name-and-proximity duplicate check runs before any insert is accepted from staging.</w:t>
            </w:r>
          </w:p>
        </w:tc>
      </w:tr>
      <w:tr>
        <w:trPr>
          <w:cantSplit/>
        </w:trPr>
        <w:tc>
          <w:tcPr>
            <w:tcW w:type="dxa" w:w="24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Conflict detection</w:t>
            </w:r>
          </w:p>
        </w:tc>
        <w:tc>
          <w:tcPr>
            <w:tcW w:type="dxa" w:w="784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The merge job compares staging against production by feature ID, geometry, attributes, timestamp and editor; any overlap is raised as a named conflict, not silently resolved.</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Conflict resolution</w:t>
            </w:r>
          </w:p>
        </w:tc>
        <w:tc>
          <w:tcPr>
            <w:tcW w:type="dxa" w:w="78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Conflicts are held for a named reviewer; there is no auto-merge; the resolution decision is logged against the conflict ID.</w:t>
            </w:r>
          </w:p>
        </w:tc>
      </w:tr>
      <w:tr>
        <w:trPr>
          <w:cantSplit/>
        </w:trPr>
        <w:tc>
          <w:tcPr>
            <w:tcW w:type="dxa" w:w="24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Versioning and rollback</w:t>
            </w:r>
          </w:p>
        </w:tc>
        <w:tc>
          <w:tcPr>
            <w:tcW w:type="dxa" w:w="784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Every accepted change writes a new row-level history record rather than overwriting in place; production state at any timestamp is reconstructable, and rollback means reverting to a prior history row, not deleting.</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Audit trail</w:t>
            </w:r>
          </w:p>
        </w:tc>
        <w:tc>
          <w:tcPr>
            <w:tcW w:type="dxa" w:w="78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The history table itself records editor, timestamp, and before/after values for every accepted change.</w:t>
            </w:r>
          </w:p>
        </w:tc>
      </w:tr>
      <w:tr>
        <w:trPr>
          <w:cantSplit/>
        </w:trPr>
        <w:tc>
          <w:tcPr>
            <w:tcW w:type="dxa" w:w="240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Offline / intermittent connectivity</w:t>
            </w:r>
          </w:p>
        </w:tc>
        <w:tc>
          <w:tcPr>
            <w:tcW w:type="dxa" w:w="7840"/>
            <w:shd w:fill="EAF2F7" w:val="clear"/>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Field staging can run from a local GeoPackage; on reconnection it syncs into the same staging-then-merge path against the same UUID, so an offline edit is not a special case.</w:t>
            </w:r>
          </w:p>
        </w:tc>
      </w:tr>
      <w:tr>
        <w:trPr>
          <w:cantSplit/>
        </w:trPr>
        <w:tc>
          <w:tcPr>
            <w:tcW w:type="dxa" w:w="240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Merge approval</w:t>
            </w:r>
          </w:p>
        </w:tc>
        <w:tc>
          <w:tcPr>
            <w:tcW w:type="dxa" w:w="784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Only validated, non-conflicting changes merge automatically; everything else requires named reviewer sign-off before it reaches production.</w:t>
            </w:r>
          </w:p>
        </w:tc>
      </w:tr>
    </w:tbl>
    <w:p>
      <w:pPr>
        <w:pStyle w:val="Heading1"/>
        <w:pBdr>
          <w:bottom w:val="single" w:color="BFD6E3" w:sz="4" w:space="3"/>
        </w:pBdr>
        <w:spacing w:after="100" w:before="260"/>
      </w:pPr>
      <w:r>
        <w:rPr>
          <w:rFonts w:ascii="Calibri" w:cs="Calibri" w:eastAsia="Calibri" w:hAnsi="Calibri"/>
          <w:b/>
          <w:bCs/>
          <w:color w:val="005C99"/>
          <w:sz w:val="26"/>
          <w:szCs w:val="26"/>
        </w:rPr>
        <w:t xml:space="preserve">4. Data Quality Rules: What Blocks and What Flags</w:t>
      </w:r>
    </w:p>
    <w:p>
      <w:pPr>
        <w:spacing w:after="110" w:line="250"/>
      </w:pPr>
      <w:r>
        <w:rPr>
          <w:rFonts w:ascii="Calibri" w:cs="Calibri" w:eastAsia="Calibri" w:hAnsi="Calibri"/>
          <w:color w:val="1A1A1A"/>
          <w:sz w:val="21"/>
          <w:szCs w:val="21"/>
        </w:rPr>
        <w:t xml:space="preserve">Blocking rules catch conditions that are objectively wrong regardless of field context, so there is no cost to stopping them at the gate. Flagging rules cover conditions that need human judgement about field reality — blocking these mid-campaign would stop legitimate corrections reaching the shared database during a live round.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12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Blocks submission (objectively wrong)</w:t>
            </w:r>
          </w:p>
        </w:tc>
        <w:tc>
          <w:tcPr>
            <w:tcW w:type="dxa" w:w="5120"/>
            <w:shd w:fill="005C99" w:val="clear"/>
            <w:tcMar>
              <w:top w:type="dxa" w:w="60"/>
              <w:left w:type="dxa" w:w="90"/>
              <w:bottom w:type="dxa" w:w="60"/>
              <w:right w:type="dxa" w:w="90"/>
            </w:tcMar>
          </w:tcPr>
          <w:p>
            <w:pPr>
              <w:spacing w:after="0" w:line="230"/>
            </w:pPr>
            <w:r>
              <w:rPr>
                <w:rFonts w:ascii="Calibri" w:cs="Calibri" w:eastAsia="Calibri" w:hAnsi="Calibri"/>
                <w:b/>
                <w:bCs/>
                <w:color w:val="FFFFFF"/>
                <w:sz w:val="17"/>
                <w:szCs w:val="17"/>
              </w:rPr>
              <w:t xml:space="preserve">Flags for review (needs field judgement)</w:t>
            </w:r>
          </w:p>
        </w:tc>
      </w:tr>
      <w:tr>
        <w:trPr>
          <w:cantSplit/>
        </w:trPr>
        <w:tc>
          <w:tcPr>
            <w:tcW w:type="dxa" w:w="512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Missing or duplicate UUID; invalid geometry; invalid CRS; broken foreign key; exact duplicate; required attribute missing; impossible coordinate; unauthorised schema change.</w:t>
            </w:r>
          </w:p>
        </w:tc>
        <w:tc>
          <w:tcPr>
            <w:tcW w:type="dxa" w:w="5120"/>
            <w:tcMar>
              <w:top w:type="dxa" w:w="60"/>
              <w:left w:type="dxa" w:w="90"/>
              <w:bottom w:type="dxa" w:w="60"/>
              <w:right w:type="dxa" w:w="90"/>
            </w:tcMar>
          </w:tcPr>
          <w:p>
            <w:pPr>
              <w:spacing w:after="0" w:line="230"/>
            </w:pPr>
            <w:r>
              <w:rPr>
                <w:rFonts w:ascii="Calibri" w:cs="Calibri" w:eastAsia="Calibri" w:hAnsi="Calibri"/>
                <w:b w:val="false"/>
                <w:bCs w:val="false"/>
                <w:color w:val="1A1A1A"/>
                <w:sz w:val="17"/>
                <w:szCs w:val="17"/>
              </w:rPr>
              <w:t xml:space="preserve">Near-duplicate settlement; large geometry movement; settlement outside its declared ward; unusual population change; name similarity; edit outside the expected campaign window; two users modifying the same feature; possible boundary mismatch.</w:t>
            </w:r>
          </w:p>
        </w:tc>
      </w:tr>
    </w:tbl>
    <w:p>
      <w:pPr>
        <w:pStyle w:val="Heading1"/>
        <w:pBdr>
          <w:bottom w:val="single" w:color="BFD6E3" w:sz="4" w:space="3"/>
        </w:pBdr>
        <w:spacing w:after="100" w:before="260"/>
      </w:pPr>
      <w:r>
        <w:rPr>
          <w:rFonts w:ascii="Calibri" w:cs="Calibri" w:eastAsia="Calibri" w:hAnsi="Calibri"/>
          <w:b/>
          <w:bCs/>
          <w:color w:val="005C99"/>
          <w:sz w:val="26"/>
          <w:szCs w:val="26"/>
        </w:rPr>
        <w:t xml:space="preserve">5. Handover for the Two Departing Analysts</w:t>
      </w:r>
    </w:p>
    <w:p>
      <w:pPr>
        <w:spacing w:after="110" w:line="250"/>
      </w:pPr>
      <w:r>
        <w:rPr>
          <w:rFonts w:ascii="Calibri" w:cs="Calibri" w:eastAsia="Calibri" w:hAnsi="Calibri"/>
          <w:b/>
          <w:bCs/>
          <w:color w:val="1A1A1A"/>
          <w:sz w:val="21"/>
          <w:szCs w:val="21"/>
        </w:rPr>
        <w:t xml:space="preserve">Protect first: </w:t>
      </w:r>
      <w:r>
        <w:rPr>
          <w:rFonts w:ascii="Calibri" w:cs="Calibri" w:eastAsia="Calibri" w:hAnsi="Calibri"/>
          <w:color w:val="1A1A1A"/>
          <w:sz w:val="21"/>
          <w:szCs w:val="21"/>
        </w:rPr>
        <w:t xml:space="preserve">active campaign responsibilities; current unresolved incidents; scripts and workflows; credentials and access ownership; state and LGA contacts; local escalation routes; undocumented exceptions; data-quality risks; daily-product production steps; partner-report inputs.</w:t>
      </w:r>
    </w:p>
    <w:p>
      <w:pPr>
        <w:spacing w:after="110" w:line="250"/>
      </w:pPr>
      <w:r>
        <w:rPr>
          <w:rFonts w:ascii="Calibri" w:cs="Calibri" w:eastAsia="Calibri" w:hAnsi="Calibri"/>
          <w:b/>
          <w:bCs/>
          <w:color w:val="1A1A1A"/>
          <w:sz w:val="21"/>
          <w:szCs w:val="21"/>
        </w:rPr>
        <w:t xml:space="preserve">Accepted as incomplete: </w:t>
      </w:r>
      <w:r>
        <w:rPr>
          <w:rFonts w:ascii="Calibri" w:cs="Calibri" w:eastAsia="Calibri" w:hAnsi="Calibri"/>
          <w:color w:val="1A1A1A"/>
          <w:sz w:val="21"/>
          <w:szCs w:val="21"/>
        </w:rPr>
        <w:t xml:space="preserve">cosmetic documentation; historical files with no operational relevance; personal working preferences; low-risk backlog items.</w:t>
      </w:r>
    </w:p>
    <w:p>
      <w:pPr>
        <w:spacing w:after="110" w:line="250"/>
      </w:pPr>
      <w:r>
        <w:rPr>
          <w:rFonts w:ascii="Calibri" w:cs="Calibri" w:eastAsia="Calibri" w:hAnsi="Calibri"/>
          <w:b/>
          <w:bCs/>
          <w:color w:val="1A1A1A"/>
          <w:sz w:val="21"/>
          <w:szCs w:val="21"/>
        </w:rPr>
        <w:t xml:space="preserve">Mechanism: </w:t>
      </w:r>
      <w:r>
        <w:rPr>
          <w:rFonts w:ascii="Calibri" w:cs="Calibri" w:eastAsia="Calibri" w:hAnsi="Calibri"/>
          <w:color w:val="1A1A1A"/>
          <w:sz w:val="21"/>
          <w:szCs w:val="21"/>
        </w:rPr>
        <w:t xml:space="preserve">a structured handover checklist, not a blank page; paired shadowing with interim or incoming coverage; recorded walkthroughs where permitted; shared documentation; explicit transfer of ownership; rehearsal by the receiving analyst; sign-off on every critical task before the analyst's last day.</w:t>
      </w:r>
    </w:p>
    <w:p>
      <w:pPr>
        <w:pStyle w:val="Heading1"/>
        <w:pBdr>
          <w:bottom w:val="single" w:color="BFD6E3" w:sz="4" w:space="3"/>
        </w:pBdr>
        <w:spacing w:after="100" w:before="260"/>
      </w:pPr>
      <w:r>
        <w:rPr>
          <w:rFonts w:ascii="Calibri" w:cs="Calibri" w:eastAsia="Calibri" w:hAnsi="Calibri"/>
          <w:b/>
          <w:bCs/>
          <w:color w:val="005C99"/>
          <w:sz w:val="26"/>
          <w:szCs w:val="26"/>
        </w:rPr>
        <w:t xml:space="preserve">6. Delegating Without Becoming the Single Point of Failure</w:t>
      </w:r>
    </w:p>
    <w:p>
      <w:pPr>
        <w:spacing w:after="110" w:line="250"/>
      </w:pPr>
      <w:r>
        <w:rPr>
          <w:rFonts w:ascii="Calibri" w:cs="Calibri" w:eastAsia="Calibri" w:hAnsi="Calibri"/>
          <w:color w:val="1A1A1A"/>
          <w:sz w:val="21"/>
          <w:szCs w:val="21"/>
        </w:rPr>
        <w:t xml:space="preserve">Named workstream leads — database integrity, coverage reconciliation, counterpart liaison — hold explicit decision rights and escalation thresholds within their workstream, so nothing routes through the coordinator by default. Coordination runs on short daily checkpoints, not constant availability. Quality is supervised through the automated validation and audit trail in Section 3, peer review, exception reports, and sampled checks — not by personally reviewing every edit and every output.</w:t>
      </w:r>
    </w:p>
    <w:p>
      <w:pPr>
        <w:spacing w:after="0" w:before="60"/>
      </w:pPr>
      <w:r>
        <w:rPr>
          <w:rFonts w:ascii="Calibri" w:cs="Calibri" w:eastAsia="Calibri" w:hAnsi="Calibri"/>
          <w:i/>
          <w:iCs/>
          <w:color w:val="1A1A1A"/>
          <w:sz w:val="21"/>
          <w:szCs w:val="21"/>
        </w:rPr>
        <w:t xml:space="preserve">The immediate response contains the crisis, but the crisis is itself evidence of a structural weakness: it escalated because critical knowledge was concentrated in individuals, documentation was too weak to substitute for them, and delegation gave no one else the authority to act. Documentation, cross-training, version-controlled workflows, shared ownership, and demonstrated backup capability — the standards built into Question 6 — are what prevent recurrence.</w:t>
      </w:r>
    </w:p>
    <w:sectPr>
      <w:headerReference w:type="default" r:id="rId7"/>
      <w:footerReference w:type="default" r:id="rId8"/>
      <w:pgSz w:w="12240" w:h="15840" w:orient="portrait"/>
      <w:pgMar w:top="90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6E3" w:sz="4" w:space="4"/>
      </w:pBdr>
      <w:tabs>
        <w:tab w:val="right" w:pos="9360"/>
      </w:tabs>
      <w:spacing w:after="60"/>
    </w:pPr>
    <w:r>
      <w:rPr>
        <w:rFonts w:ascii="Calibri" w:cs="Calibri" w:eastAsia="Calibri" w:hAnsi="Calibri"/>
        <w:color w:val="666666"/>
        <w:sz w:val="16"/>
        <w:szCs w:val="16"/>
      </w:rPr>
      <w:t xml:space="preserve">Yahaya Umar Muhammad</w:t>
    </w:r>
    <w:r>
      <w:rPr>
        <w:rFonts w:ascii="Calibri" w:cs="Calibri" w:eastAsia="Calibri" w:hAnsi="Calibri"/>
        <w:i/>
        <w:iCs/>
        <w:color w:val="666666"/>
        <w:sz w:val="16"/>
        <w:szCs w:val="16"/>
      </w:rPr>
      <w:t xml:space="preserve">	Question 5 — Coordinating Delivery Through the 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2026-07-31T14:20:44.289Z</dcterms:created>
  <dcterms:modified xsi:type="dcterms:W3CDTF">2026-07-31T14:20:44.291Z</dcterms:modified>
</cp:coreProperties>
</file>

<file path=docProps/custom.xml><?xml version="1.0" encoding="utf-8"?>
<Properties xmlns="http://schemas.openxmlformats.org/officeDocument/2006/custom-properties" xmlns:vt="http://schemas.openxmlformats.org/officeDocument/2006/docPropsVTypes"/>
</file>