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0090FC" w:val="clear"/>
            <w:tcMar>
              <w:top w:type="dxa" w:w="520"/>
              <w:left w:type="dxa" w:w="480"/>
              <w:bottom w:type="dxa" w:w="520"/>
              <w:right w:type="dxa" w:w="480"/>
            </w:tcMar>
            <w:vAlign w:val="center"/>
          </w:tcPr>
          <w:p>
            <w:pPr>
              <w:spacing w:after="160"/>
            </w:pPr>
            <w:r>
              <w:rPr>
                <w:b/>
                <w:bCs/>
                <w:color w:val="FFFFFF"/>
                <w:spacing w:val="30"/>
                <w:sz w:val="18"/>
                <w:szCs w:val="18"/>
              </w:rPr>
              <w:t xml:space="preserve">EHEALTH AFRICA</w:t>
            </w:r>
          </w:p>
          <w:p>
            <w:pPr>
              <w:spacing w:after="80"/>
            </w:pPr>
            <w:r>
              <w:rPr>
                <w:rFonts w:ascii="Georgia" w:cs="Georgia" w:eastAsia="Georgia" w:hAnsi="Georgia"/>
                <w:b/>
                <w:bCs/>
                <w:color w:val="FFFFFF"/>
                <w:sz w:val="52"/>
                <w:szCs w:val="52"/>
              </w:rPr>
              <w:t xml:space="preserve">Response to Question 3</w:t>
            </w:r>
          </w:p>
          <w:p>
            <w:r>
              <w:rPr>
                <w:i/>
                <w:iCs/>
                <w:color w:val="FFFFFF"/>
                <w:sz w:val="24"/>
                <w:szCs w:val="24"/>
              </w:rPr>
              <w:t xml:space="preserve">Part 2 of 2: Converting a Paper Questionnaire into a Digital Form</w:t>
            </w:r>
          </w:p>
        </w:tc>
      </w:tr>
    </w:tbl>
    <w:p>
      <w:pPr>
        <w:pBdr>
          <w:bottom w:val="single" w:color="E2EE64" w:sz="18" w:space="1"/>
        </w:pBdr>
        <w:spacing w:after="0" w:before="220"/>
      </w:pPr>
    </w:p>
    <w:p>
      <w:pPr>
        <w:spacing w:after="0" w:before="320"/>
      </w:pPr>
    </w:p>
    <w:p>
      <w:pPr>
        <w:spacing w:after="160"/>
      </w:pPr>
      <w:r>
        <w:rPr>
          <w:b/>
          <w:bCs/>
        </w:rPr>
        <w:t xml:space="preserve">Candidate: </w:t>
      </w:r>
      <w:r>
        <w:t xml:space="preserve">Yahaya Umar Muhammad</w:t>
      </w:r>
    </w:p>
    <w:p>
      <w:pPr>
        <w:spacing w:after="160"/>
      </w:pPr>
      <w:r>
        <w:rPr>
          <w:b/>
          <w:bCs/>
        </w:rPr>
        <w:t xml:space="preserve">Assessment: </w:t>
      </w:r>
      <w:r>
        <w:t xml:space="preserve">eHealth Africa — Senior Coordinator, Data and GIS Analytics</w:t>
      </w:r>
    </w:p>
    <w:p>
      <w:pPr>
        <w:spacing w:after="160"/>
      </w:pPr>
      <w:r>
        <w:rPr>
          <w:b/>
          <w:bCs/>
        </w:rPr>
        <w:t xml:space="preserve">Instrument: </w:t>
      </w:r>
      <w:r>
        <w:t xml:space="preserve">Household_Questionnaire_HH2026v1.docx — Integrated Child Health and Antimicrobial Resistance Survey, Bansara State</w:t>
      </w:r>
    </w:p>
    <w:p>
      <w:pPr>
        <w:spacing w:after="160"/>
      </w:pPr>
      <w:r>
        <w:rPr>
          <w:b/>
          <w:bCs/>
        </w:rPr>
        <w:t xml:space="preserve">Repository: </w:t>
      </w:r>
      <w:hyperlink w:history="1" r:id="rIdw_fuyzghfgrs8t5j38f4p">
        <w:r>
          <w:rPr>
            <w:rStyle w:val="Hyperlink"/>
          </w:rPr>
          <w:t xml:space="preserve">github.com/umary1063/eHealth_Africa_Senior_Coordinator_GIS_Assessment</w:t>
        </w:r>
      </w:hyperlink>
    </w:p>
    <w:p>
      <w:pPr>
        <w:spacing w:after="160"/>
      </w:pPr>
      <w:r>
        <w:rPr>
          <w:b/>
          <w:bCs/>
        </w:rPr>
        <w:t xml:space="preserve">Form: </w:t>
      </w:r>
      <w:r>
        <w:t xml:space="preserve">hh2026_v1, version 2026073101 — </w:t>
      </w:r>
      <w:hyperlink w:history="1" r:id="rIdua9wguqta0tq5bjjxv9ry">
        <w:r>
          <w:rPr>
            <w:rStyle w:val="Hyperlink"/>
          </w:rPr>
          <w:t xml:space="preserve">form/HH2026_v1.xlsx</w:t>
        </w:r>
      </w:hyperlink>
    </w:p>
    <w:p>
      <w:pPr>
        <w:spacing w:after="160"/>
      </w:pPr>
      <w:r>
        <w:rPr>
          <w:b/>
          <w:bCs/>
        </w:rPr>
        <w:t xml:space="preserve">Tools validated: </w:t>
      </w:r>
      <w:r>
        <w:t xml:space="preserve">Python 3.14.6, pyxform 4.5.0, Java (Eclipse Temurin) 21.0.12+8 for ODK Validate</w:t>
      </w:r>
    </w:p>
    <w:p>
      <w:r>
        <w:br w:type="page"/>
      </w:r>
    </w:p>
    <w:p>
      <w:pPr>
        <w:pStyle w:val="Heading1"/>
        <w:spacing w:after="160" w:before="460"/>
      </w:pPr>
      <w:r>
        <w:t xml:space="preserve">Contents</w:t>
      </w:r>
    </w:p>
    <w:p>
      <w:pPr>
        <w:pBdr>
          <w:bottom w:val="single" w:color="E2EE64" w:sz="10" w:space="1"/>
        </w:pBdr>
        <w:spacing w:after="260" w:before="40"/>
      </w:pP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60"/>
      </w:pPr>
      <w:r>
        <w:t xml:space="preserve">How to read this document</w:t>
      </w:r>
    </w:p>
    <w:p>
      <w:pPr>
        <w:spacing w:after="160"/>
      </w:pPr>
      <w:r>
        <w:t xml:space="preserve">This is a direct response to Question 3's fourteen numbered requirements, in the order the question paper states them. Each section quotes the requirement, states the answer, and links to the primary file in the repository that carries the full technical detail — the constraint register, the specimen-label proof, the codebook, and so on. This document does not reproduce those files; it answers the question and points to the evidence.</w:t>
      </w:r>
    </w:p>
    <w:p>
      <w:pPr>
        <w:spacing w:after="160"/>
      </w:pPr>
      <w:r>
        <w:t xml:space="preserve">A separate document, Q3_Process_and_Design_Record.docx, tells the fuller story of how this was built and tested, including corrections made along the way. This document is the answer; that one is the account of arriving at it.</w:t>
      </w:r>
    </w:p>
    <w:p>
      <w:pPr>
        <w:pStyle w:val="Heading2"/>
        <w:spacing w:after="100" w:before="240"/>
      </w:pPr>
      <w:r>
        <w:t xml:space="preserve">What the question paper says it is looking for</w:t>
      </w:r>
    </w:p>
    <w:p>
      <w:pPr>
        <w:spacing w:after="160"/>
      </w:pPr>
      <w:r>
        <w:t xml:space="preserve">The question paper states its own evaluation criteria directly, and this response is organised to be checkable against them rather than treated as a checklist to satisfy incidentally:</w:t>
      </w:r>
    </w:p>
    <w:p>
      <w:pPr>
        <w:pBdr>
          <w:left w:val="single" w:color="E2EE64" w:sz="28" w:space="10"/>
        </w:pBdr>
        <w:spacing w:after="200" w:before="120"/>
        <w:ind w:left="72"/>
      </w:pPr>
      <w:r>
        <w:rPr>
          <w:i/>
          <w:iCs/>
          <w:color w:val="293C5B"/>
        </w:rPr>
        <w:t xml:space="preserve">“Whether you treat the operating conditions as design constraints or as background reading. A form that is technically elegant and unusable by an enumerator with six years of schooling, on the stated hardware, after nine days offline, has failed.”</w:t>
      </w:r>
    </w:p>
    <w:p>
      <w:pPr>
        <w:spacing w:after="160"/>
      </w:pPr>
      <w:r>
        <w:t xml:space="preserve">Six of the stated operating conditions map to specific, named design decisions in this response, not general mobile-data-collection advice: the 2GB/9-day-offline condition to the settlement-list mechanism (Requirement 6) and the deployment plan (Requirement 10); the 38%-low-English-confidence condition to the honest bilingual policy (Requirement 3's coding scheme and the language documentation); the likely-mid-round-change condition to the versioning plan actually exercised across three published versions (Requirement 10); the specimen-to-lab reconciliation condition to the check-digit and duplicate-label work (Requirements 7-8); and the 94-interview fraud case named directly as the design driver for the fabrication-detection fields (Requirement 11), including a field the paper form does not have at all — an interview start time.</w:t>
      </w:r>
    </w:p>
    <w:p>
      <w:pPr>
        <w:pBdr>
          <w:left w:val="single" w:color="E2EE64" w:sz="28" w:space="10"/>
        </w:pBdr>
        <w:spacing w:after="200" w:before="120"/>
        <w:ind w:left="72"/>
      </w:pPr>
      <w:r>
        <w:rPr>
          <w:i/>
          <w:iCs/>
          <w:color w:val="293C5B"/>
        </w:rPr>
        <w:t xml:space="preserve">“Whether you read the questionnaire critically. It is a real instrument with real flaws. Candidates who transcribe it cleanly will produce a working form and score in the middle. Candidates who find what is wrong with it and handle that judiciously are the ones we are looking for.”</w:t>
      </w:r>
    </w:p>
    <w:p>
      <w:pPr>
        <w:spacing w:after="160"/>
      </w:pPr>
      <w:r>
        <w:t xml:space="preserve">Nine defects are named, not implied, each with a stated resolved-in-form or escalated decision and the reasoning for choosing one over the other (Requirement 5) — including a defect that would have been invisible without reading the paper form's own "office use" column against a routing question two lines below it (D-01), and a defect the operating conditions themselves supply the motive to find: the paper form has no interview start time at all, which is exactly the gap that let the 94-interview fraud case in the operating conditions go undetected until fieldwork closed (D-06). One defect — the missing medicine list at question 4.13 — was handled under direct correction after an initial instinct to paper over it with substitute content; that correction is disclosed in full in the process record rather than left out, because judicious handling includes being corrected.</w:t>
      </w:r>
    </w:p>
    <w:p>
      <w:pPr>
        <w:pStyle w:val="Heading1"/>
        <w:spacing w:after="160" w:before="460"/>
      </w:pPr>
      <w:r>
        <w:t xml:space="preserve">Requirement 1 — Build the form</w:t>
      </w:r>
    </w:p>
    <w:p>
      <w:pPr>
        <w:pBdr>
          <w:top w:val="single" w:color="D9EEFF" w:sz="2" w:space="6"/>
          <w:bottom w:val="single" w:color="D9EEFF" w:sz="2" w:space="6"/>
          <w:left w:val="single" w:color="0090FC" w:sz="24" w:space="10"/>
          <w:right w:val="single" w:color="D9EEFF" w:sz="2" w:space="6"/>
        </w:pBdr>
        <w:shd w:fill="D9EEFF" w:val="clear"/>
        <w:spacing w:after="160" w:before="80"/>
        <w:ind w:left="72"/>
      </w:pPr>
      <w:r>
        <w:rPr>
          <w:b/>
          <w:bCs/>
          <w:color w:val="0056A7"/>
        </w:rPr>
        <w:t xml:space="preserve">REQUIREMENT 1   </w:t>
      </w:r>
      <w:r>
        <w:rPr>
          <w:i/>
          <w:iCs/>
          <w:color w:val="293C5B"/>
        </w:rPr>
        <w:t xml:space="preserve">Build the form. It must convert without error; state the tool and version you validated with and include the conversion output in your repository. Implement the full questionnaire, including the roster, the per-child module, the specimen section and the supervisor review.</w:t>
      </w:r>
    </w:p>
    <w:p>
      <w:pPr>
        <w:spacing w:after="160"/>
      </w:pPr>
      <w:r>
        <w:t xml:space="preserve">Built. The full questionnaire is implemented: Section 1 (household identification) through Section 7 (close-out and supervisor review), including the Section 3 roster, the Section 4 child module and Section 5 specimen section nested inside each eligible roster row (see Requirement 4 below for why), and a separate supervisor-review group. Converted with pyxform 4.5.0 under Python 3.14.6, including the Java-based ODK Validate structural check (Eclipse Temurin 21.0.12+8) — the same validator ODK Central runs before accepting a form. Result: "Conversion complete!", exit code 0, two non-blocking warnings, both explained rather than silently present.</w:t>
      </w:r>
    </w:p>
    <w:p>
      <w:pPr>
        <w:spacing w:after="160"/>
      </w:pPr>
      <w:r>
        <w:t xml:space="preserve">Beyond the conversion check, the form has been deployed and exercised on two real platforms: KoboToolbox, and a self-hosted ODK Central instance the candidate provisioned independently on an Oracle Cloud VM. That live testing is what a static conversion check cannot substitute for, and it found two real defects (see the process record, Section 18), both fixed in the version below.</w:t>
      </w:r>
    </w:p>
    <w:p>
      <w:pPr>
        <w:spacing w:after="320" w:before="40"/>
        <w:ind w:left="215"/>
      </w:pPr>
      <w:r>
        <w:rPr>
          <w:b/>
          <w:bCs/>
          <w:color w:val="0056A7"/>
        </w:rPr>
        <w:t xml:space="preserve">See: </w:t>
      </w:r>
      <w:hyperlink w:history="1" r:id="rIdpmqouogwtuofe37ektqz9">
        <w:r>
          <w:rPr>
            <w:rStyle w:val="Hyperlink"/>
          </w:rPr>
          <w:t xml:space="preserve">form/HH2026_v1.xlsx</w:t>
        </w:r>
      </w:hyperlink>
      <w:r>
        <w:rPr>
          <w:color w:val="6B6B6B"/>
        </w:rPr>
        <w:t xml:space="preserve">  ·  </w:t>
      </w:r>
      <w:hyperlink w:history="1" r:id="rIdepdceqncse6iludhannxo">
        <w:r>
          <w:rPr>
            <w:rStyle w:val="Hyperlink"/>
          </w:rPr>
          <w:t xml:space="preserve">conversion/HH2026_v1.xml</w:t>
        </w:r>
      </w:hyperlink>
      <w:r>
        <w:rPr>
          <w:color w:val="6B6B6B"/>
        </w:rPr>
        <w:t xml:space="preserve">  ·  </w:t>
      </w:r>
      <w:hyperlink w:history="1" r:id="rIdd_conjbhm1_-f8meom2ya">
        <w:r>
          <w:rPr>
            <w:rStyle w:val="Hyperlink"/>
          </w:rPr>
          <w:t xml:space="preserve">conversion/conversion_log.txt</w:t>
        </w:r>
      </w:hyperlink>
      <w:r>
        <w:rPr>
          <w:color w:val="6B6B6B"/>
        </w:rPr>
        <w:t xml:space="preserve">  ·  </w:t>
      </w:r>
      <w:hyperlink w:history="1" r:id="rIdcldvlkqpfmzrolwdcr4jf">
        <w:r>
          <w:rPr>
            <w:rStyle w:val="Hyperlink"/>
          </w:rPr>
          <w:t xml:space="preserve">scripts/build_form.py</w:t>
        </w:r>
      </w:hyperlink>
    </w:p>
    <w:p>
      <w:pPr>
        <w:pStyle w:val="Heading1"/>
        <w:spacing w:after="160" w:before="460"/>
      </w:pPr>
      <w:r>
        <w:t xml:space="preserve">Requirement 2 — Constraint register</w:t>
      </w:r>
    </w:p>
    <w:p>
      <w:pPr>
        <w:pBdr>
          <w:top w:val="single" w:color="D9EEFF" w:sz="2" w:space="6"/>
          <w:bottom w:val="single" w:color="D9EEFF" w:sz="2" w:space="6"/>
          <w:left w:val="single" w:color="0090FC" w:sz="24" w:space="10"/>
          <w:right w:val="single" w:color="D9EEFF" w:sz="2" w:space="6"/>
        </w:pBdr>
        <w:shd w:fill="D9EEFF" w:val="clear"/>
        <w:spacing w:after="160" w:before="80"/>
        <w:ind w:left="72"/>
      </w:pPr>
      <w:r>
        <w:rPr>
          <w:b/>
          <w:bCs/>
          <w:color w:val="0056A7"/>
        </w:rPr>
        <w:t xml:space="preserve">REQUIREMENT 2   </w:t>
      </w:r>
      <w:r>
        <w:rPr>
          <w:i/>
          <w:iCs/>
          <w:color w:val="293C5B"/>
        </w:rPr>
        <w:t xml:space="preserve">Produce a constraint register. This is the central deliverable of the question. For every constraint, permitted range, validation rule, and consistency check you added, record what you added, which question it applies to, what it prevents, and where the value or rule came from. Where you set a threshold that the questionnaire does not state, name your source or say plainly that it is your judgement. A form full of sensible constraints with no register is worth less than a smaller form with a defended one.</w:t>
      </w:r>
    </w:p>
    <w:p>
      <w:pPr>
        <w:spacing w:after="160"/>
      </w:pPr>
      <w:r>
        <w:t xml:space="preserve">constraint_register.csv carries 29 rows, one per constraint, range, or consistency check, each recording the field, the paper question number, the rule, what it prevents, and its source — a named file in the reference data, or an explicit "my judgement" where no source exists (for example, the anthropometry ranges, padded around WHO Child Growth Standards since no Bansara-specific distribution was supplied). The register is generated by the same script that builds the form, scripts/build_form.py, from the same field definitions — there is no separate document to fall out of sync with the form as it changes.</w:t>
      </w:r>
    </w:p>
    <w:p>
      <w:pPr>
        <w:spacing w:after="320" w:before="40"/>
        <w:ind w:left="215"/>
      </w:pPr>
      <w:r>
        <w:rPr>
          <w:b/>
          <w:bCs/>
          <w:color w:val="0056A7"/>
        </w:rPr>
        <w:t xml:space="preserve">See: </w:t>
      </w:r>
      <w:hyperlink w:history="1" r:id="rIdxtn9hldsbfmk1i3daq5ol">
        <w:r>
          <w:rPr>
            <w:rStyle w:val="Hyperlink"/>
          </w:rPr>
          <w:t xml:space="preserve">constraint_register.csv</w:t>
        </w:r>
      </w:hyperlink>
      <w:r>
        <w:rPr>
          <w:color w:val="6B6B6B"/>
        </w:rPr>
        <w:t xml:space="preserve">  ·  </w:t>
      </w:r>
      <w:hyperlink w:history="1" r:id="rIdv8prvhxflgw22f9cla4fg">
        <w:r>
          <w:rPr>
            <w:rStyle w:val="Hyperlink"/>
          </w:rPr>
          <w:t xml:space="preserve">scripts/build_form.py</w:t>
        </w:r>
      </w:hyperlink>
    </w:p>
    <w:p>
      <w:pPr>
        <w:pStyle w:val="Heading1"/>
        <w:spacing w:after="160" w:before="460"/>
      </w:pPr>
      <w:r>
        <w:t xml:space="preserve">Requirement 3 — Coding scheme and sentinels</w:t>
      </w:r>
    </w:p>
    <w:p>
      <w:pPr>
        <w:pBdr>
          <w:top w:val="single" w:color="D9EEFF" w:sz="2" w:space="6"/>
          <w:bottom w:val="single" w:color="D9EEFF" w:sz="2" w:space="6"/>
          <w:left w:val="single" w:color="0090FC" w:sz="24" w:space="10"/>
          <w:right w:val="single" w:color="D9EEFF" w:sz="2" w:space="6"/>
        </w:pBdr>
        <w:shd w:fill="D9EEFF" w:val="clear"/>
        <w:spacing w:after="160" w:before="80"/>
        <w:ind w:left="72"/>
      </w:pPr>
      <w:r>
        <w:rPr>
          <w:b/>
          <w:bCs/>
          <w:color w:val="0056A7"/>
        </w:rPr>
        <w:t xml:space="preserve">REQUIREMENT 3   </w:t>
      </w:r>
      <w:r>
        <w:rPr>
          <w:i/>
          <w:iCs/>
          <w:color w:val="293C5B"/>
        </w:rPr>
        <w:t xml:space="preserve">Handle the coding scheme properly. The questionnaire uses sentinel codes for non-response and, in places, uses them inside fields that also carry measurements. Explain how you have stored these so that the analysis team cannot mistake a sentinel for a value, and identify every place in the questionnaire where a coding category collides with a non-response code.</w:t>
      </w:r>
    </w:p>
    <w:p>
      <w:pPr>
        <w:spacing w:after="160"/>
      </w:pPr>
      <w:r>
        <w:t xml:space="preserve">Every question was checked against the paper form's own non-response convention (8/98 = don't know, 9/99 = no answer obtained, 96 = Other). Categorical fields are safe by construction — a select_one's stored value is one of its declared choices, never a number the analyst could confuse with a measurement. Two fields were not safe: question 4.05 (weight) and 4.06 (height/length), where 99 means "not measured" inside an otherwise continuous decimal field. Both are split into a status field (measured / not measured / declined) plus a numeric field that is only relevant, and only required, once the status field confirms a measurement was actually taken — a real value can never collide with the sentinel because the sentinel no longer lives in that field at all. No other numeric field on the form carries a stated sentinel.</w:t>
      </w:r>
    </w:p>
    <w:p>
      <w:pPr>
        <w:spacing w:after="320" w:before="40"/>
        <w:ind w:left="215"/>
      </w:pPr>
      <w:r>
        <w:rPr>
          <w:b/>
          <w:bCs/>
          <w:color w:val="0056A7"/>
        </w:rPr>
        <w:t xml:space="preserve">See: </w:t>
      </w:r>
      <w:hyperlink w:history="1" r:id="rIdisbnhoqyqidugpifvc0kb">
        <w:r>
          <w:rPr>
            <w:rStyle w:val="Hyperlink"/>
          </w:rPr>
          <w:t xml:space="preserve">documentation/02_sentinel_coding_scheme.md</w:t>
        </w:r>
      </w:hyperlink>
    </w:p>
    <w:p>
      <w:pPr>
        <w:pStyle w:val="Heading1"/>
        <w:spacing w:after="160" w:before="460"/>
      </w:pPr>
      <w:r>
        <w:t xml:space="preserve">Requirement 4 — Cross-question consistency</w:t>
      </w:r>
    </w:p>
    <w:p>
      <w:pPr>
        <w:pBdr>
          <w:top w:val="single" w:color="D9EEFF" w:sz="2" w:space="6"/>
          <w:bottom w:val="single" w:color="D9EEFF" w:sz="2" w:space="6"/>
          <w:left w:val="single" w:color="0090FC" w:sz="24" w:space="10"/>
          <w:right w:val="single" w:color="D9EEFF" w:sz="2" w:space="6"/>
        </w:pBdr>
        <w:shd w:fill="D9EEFF" w:val="clear"/>
        <w:spacing w:after="160" w:before="80"/>
        <w:ind w:left="72"/>
      </w:pPr>
      <w:r>
        <w:rPr>
          <w:b/>
          <w:bCs/>
          <w:color w:val="0056A7"/>
        </w:rPr>
        <w:t xml:space="preserve">REQUIREMENT 4   </w:t>
      </w:r>
      <w:r>
        <w:rPr>
          <w:i/>
          <w:iCs/>
          <w:color w:val="293C5B"/>
        </w:rPr>
        <w:t xml:space="preserve">Enforce the cross-question consistency the paper form relies on a clerk to notice. At minimum reconcile the stated household size against the roster, and the stated number of eligible children against the number of child modules completed.</w:t>
      </w:r>
    </w:p>
    <w:p>
      <w:pPr>
        <w:spacing w:after="160"/>
      </w:pPr>
      <w:r>
        <w:t xml:space="preserve">Household size (3.01) against the roster is reconciled with a soft, non-blocking on-screen note when the two disagree, and a roster_mismatch_flag recorded for office review — deliberately not a hard constraint, since a genuine mismatch between the pre-roster estimate and the actual listed count is common and analytically meaningful, not an error to force into agreement.</w:t>
      </w:r>
    </w:p>
    <w:p>
      <w:pPr>
        <w:spacing w:after="160"/>
      </w:pPr>
      <w:r>
        <w:t xml:space="preserve">Eligible children against completed child modules is not a validation rule at all. Sections 4 and 5 are nested inside each roster row and shown only when that row's own age fields say the person is age-eligible, so the count of completed child modules and the count of eligible roster rows are the same value by construction. This also resolves the paper form's own internal contradiction, where roster column (7) is marked "office use" yet is needed live in the field to answer question 3.02's routing — see Requirement 5, defect D-01.</w:t>
      </w:r>
    </w:p>
    <w:p>
      <w:pPr>
        <w:spacing w:after="320" w:before="40"/>
        <w:ind w:left="215"/>
      </w:pPr>
      <w:r>
        <w:rPr>
          <w:b/>
          <w:bCs/>
          <w:color w:val="0056A7"/>
        </w:rPr>
        <w:t xml:space="preserve">See: </w:t>
      </w:r>
      <w:hyperlink w:history="1" r:id="rIdcshhruyjyglbtl4ivswhg">
        <w:r>
          <w:rPr>
            <w:rStyle w:val="Hyperlink"/>
          </w:rPr>
          <w:t xml:space="preserve">constraint_register.csv (rows C022-C023)</w:t>
        </w:r>
      </w:hyperlink>
      <w:r>
        <w:rPr>
          <w:color w:val="6B6B6B"/>
        </w:rPr>
        <w:t xml:space="preserve">  ·  </w:t>
      </w:r>
      <w:hyperlink w:history="1" r:id="rIdxwwqwb2xx2hzk5vxuakky">
        <w:r>
          <w:rPr>
            <w:rStyle w:val="Hyperlink"/>
          </w:rPr>
          <w:t xml:space="preserve">documentation/01_defects_report.md (D-01)</w:t>
        </w:r>
      </w:hyperlink>
    </w:p>
    <w:p>
      <w:pPr>
        <w:pStyle w:val="Heading1"/>
        <w:spacing w:after="160" w:before="460"/>
      </w:pPr>
      <w:r>
        <w:t xml:space="preserve">Requirement 5 — Questionnaire defects</w:t>
      </w:r>
    </w:p>
    <w:p>
      <w:pPr>
        <w:pBdr>
          <w:top w:val="single" w:color="D9EEFF" w:sz="2" w:space="6"/>
          <w:bottom w:val="single" w:color="D9EEFF" w:sz="2" w:space="6"/>
          <w:left w:val="single" w:color="0090FC" w:sz="24" w:space="10"/>
          <w:right w:val="single" w:color="D9EEFF" w:sz="2" w:space="6"/>
        </w:pBdr>
        <w:shd w:fill="D9EEFF" w:val="clear"/>
        <w:spacing w:after="160" w:before="80"/>
        <w:ind w:left="72"/>
      </w:pPr>
      <w:r>
        <w:rPr>
          <w:b/>
          <w:bCs/>
          <w:color w:val="0056A7"/>
        </w:rPr>
        <w:t xml:space="preserve">REQUIREMENT 5   </w:t>
      </w:r>
      <w:r>
        <w:rPr>
          <w:i/>
          <w:iCs/>
          <w:color w:val="293C5B"/>
        </w:rPr>
        <w:t xml:space="preserve">Report the defects in the questionnaire. It contains internal contradictions, at least one skip instruction that is missing or ambiguous, and at least one place where the paper design permits data that cannot be analysed. List what you found, state for each whether you resolved it in the form or escalated it, and justify that choice. Silently fixing a contradiction in an ethics approved instrument is not automatically the right answer.</w:t>
      </w:r>
    </w:p>
    <w:p>
      <w:pPr>
        <w:spacing w:after="160"/>
      </w:pPr>
      <w:r>
        <w:t xml:space="preserve">Nine defects found (D-01 through D-09), each disposed of individually with a stated resolved-in-form or escalated decision and the reasoning for choosing one over the other. Headlines: D-01, the roster column (7) / question 3.02 contradiction (resolved, by computing eligibility rather than asking for it). D-05, the medicine list referenced at question 4.13 is missing from the data pack entirely (escalated — no substitute content invented; see the process record, Section 19, for the full account of how this was arrived at). D-06, the paper form has no interview start time at all, so it cannot support the exact fraud pattern named in the operating conditions (resolved, using automatic system timestamps). D-08, question 5.02 has no skip instruction for either branch (resolved with the only internally consistent reading, and flagged for ministry confirmation regardless).</w:t>
      </w:r>
    </w:p>
    <w:p>
      <w:pPr>
        <w:spacing w:after="320" w:before="40"/>
        <w:ind w:left="215"/>
      </w:pPr>
      <w:r>
        <w:rPr>
          <w:b/>
          <w:bCs/>
          <w:color w:val="0056A7"/>
        </w:rPr>
        <w:t xml:space="preserve">See: </w:t>
      </w:r>
      <w:hyperlink w:history="1" r:id="rIdmid6ezfq2gbzvhwgxk2il">
        <w:r>
          <w:rPr>
            <w:rStyle w:val="Hyperlink"/>
          </w:rPr>
          <w:t xml:space="preserve">documentation/01_defects_report.md</w:t>
        </w:r>
      </w:hyperlink>
    </w:p>
    <w:p>
      <w:pPr>
        <w:pStyle w:val="Heading1"/>
        <w:spacing w:after="160" w:before="460"/>
      </w:pPr>
      <w:r>
        <w:t xml:space="preserve">Requirement 6 — Settlement list on a 2GB device</w:t>
      </w:r>
    </w:p>
    <w:p>
      <w:pPr>
        <w:pBdr>
          <w:top w:val="single" w:color="D9EEFF" w:sz="2" w:space="6"/>
          <w:bottom w:val="single" w:color="D9EEFF" w:sz="2" w:space="6"/>
          <w:left w:val="single" w:color="0090FC" w:sz="24" w:space="10"/>
          <w:right w:val="single" w:color="D9EEFF" w:sz="2" w:space="6"/>
        </w:pBdr>
        <w:shd w:fill="D9EEFF" w:val="clear"/>
        <w:spacing w:after="160" w:before="80"/>
        <w:ind w:left="72"/>
      </w:pPr>
      <w:r>
        <w:rPr>
          <w:b/>
          <w:bCs/>
          <w:color w:val="0056A7"/>
        </w:rPr>
        <w:t xml:space="preserve">REQUIREMENT 6   </w:t>
      </w:r>
      <w:r>
        <w:rPr>
          <w:i/>
          <w:iCs/>
          <w:color w:val="293C5B"/>
        </w:rPr>
        <w:t xml:space="preserve">Explain how you serve a settlement list of more than two thousand rows to a device with two gigabytes of memory, and what you rejected in reaching that decision. A choices worksheet is not an acceptable answer, and saying so is not sufficient; describe the mechanism you used instead.</w:t>
      </w:r>
    </w:p>
    <w:p>
      <w:pPr>
        <w:spacing w:after="160"/>
      </w:pPr>
      <w:r>
        <w:t xml:space="preserve">The LGA, Ward, and Settlement pickers are cascading select_one_from_file fields, each backed by an external CSV attached as form media, filtered stage by stage so the settlement picker only ever renders the settlements in the selected ward — never the full 2,524 rows at once. An inline choices-sheet list was rejected because pyxform compiles every choices row into instance nodes and itext entries per language, held in memory for the life of the form — the documented failure mode on low-RAM Android devices. The older itemsets.csv mechanism (superseded) and a live server lookup (ruled out by the up-to-9-days-offline condition) were also rejected, with reasons stated.</w:t>
      </w:r>
    </w:p>
    <w:p>
      <w:pPr>
        <w:spacing w:after="320" w:before="40"/>
        <w:ind w:left="215"/>
      </w:pPr>
      <w:r>
        <w:rPr>
          <w:b/>
          <w:bCs/>
          <w:color w:val="0056A7"/>
        </w:rPr>
        <w:t xml:space="preserve">See: </w:t>
      </w:r>
      <w:hyperlink w:history="1" r:id="rIdrllv0iw0ybmp2jgppowvp">
        <w:r>
          <w:rPr>
            <w:rStyle w:val="Hyperlink"/>
          </w:rPr>
          <w:t xml:space="preserve">documentation/03_settlement_list_mechanism.md</w:t>
        </w:r>
      </w:hyperlink>
    </w:p>
    <w:p>
      <w:pPr>
        <w:pStyle w:val="Heading1"/>
        <w:spacing w:after="160" w:before="460"/>
      </w:pPr>
      <w:r>
        <w:t xml:space="preserve">Requirement 7 — Specimen label check digit</w:t>
      </w:r>
    </w:p>
    <w:p>
      <w:pPr>
        <w:pBdr>
          <w:top w:val="single" w:color="D9EEFF" w:sz="2" w:space="6"/>
          <w:bottom w:val="single" w:color="D9EEFF" w:sz="2" w:space="6"/>
          <w:left w:val="single" w:color="0090FC" w:sz="24" w:space="10"/>
          <w:right w:val="single" w:color="D9EEFF" w:sz="2" w:space="6"/>
        </w:pBdr>
        <w:shd w:fill="D9EEFF" w:val="clear"/>
        <w:spacing w:after="160" w:before="80"/>
        <w:ind w:left="72"/>
      </w:pPr>
      <w:r>
        <w:rPr>
          <w:b/>
          <w:bCs/>
          <w:color w:val="0056A7"/>
        </w:rPr>
        <w:t xml:space="preserve">REQUIREMENT 7   </w:t>
      </w:r>
      <w:r>
        <w:rPr>
          <w:i/>
          <w:iCs/>
          <w:color w:val="293C5B"/>
        </w:rPr>
        <w:t xml:space="preserve">Implement validation of the pre-printed specimen labels, including the check digit scheme in the allocation file. Give the test cases that demonstrate your check rejects a transposed pair of digits, rather than only that it accepts valid labels.</w:t>
      </w:r>
    </w:p>
    <w:p>
      <w:pPr>
        <w:spacing w:after="160"/>
      </w:pPr>
      <w:r>
        <w:t xml:space="preserve">The modulus-11 scheme from specimen_label_allocation.csv (weights 2-7 applied right to left, remainder 10 recorded as X) is implemented as calculated fields inside the form and mirrored in a standalone Python script for independent verification. Worked test vectors include a transposed-body case (480012 to 480021) whose recomputed check digit differs from the original, demonstrating rejection, not just acceptance — and a proof, not just an example: because every pair of adjacent weights in this scheme differs by exactly 1, the scheme catches every adjacent-digit transposition in the six-digit body, not only the one demonstrated.</w:t>
      </w:r>
    </w:p>
    <w:p>
      <w:pPr>
        <w:spacing w:after="320" w:before="40"/>
        <w:ind w:left="215"/>
      </w:pPr>
      <w:r>
        <w:rPr>
          <w:b/>
          <w:bCs/>
          <w:color w:val="0056A7"/>
        </w:rPr>
        <w:t xml:space="preserve">See: </w:t>
      </w:r>
      <w:hyperlink w:history="1" r:id="rIdzal_01q6lnojtr6mmhano">
        <w:r>
          <w:rPr>
            <w:rStyle w:val="Hyperlink"/>
          </w:rPr>
          <w:t xml:space="preserve">documentation/04_specimen_label_validation.md</w:t>
        </w:r>
      </w:hyperlink>
      <w:r>
        <w:rPr>
          <w:color w:val="6B6B6B"/>
        </w:rPr>
        <w:t xml:space="preserve">  ·  </w:t>
      </w:r>
      <w:hyperlink w:history="1" r:id="rIdbqriqzzx1uyrb1dic3pph">
        <w:r>
          <w:rPr>
            <w:rStyle w:val="Hyperlink"/>
          </w:rPr>
          <w:t xml:space="preserve">scripts/checkdigit_reference.py</w:t>
        </w:r>
      </w:hyperlink>
    </w:p>
    <w:p>
      <w:pPr>
        <w:pStyle w:val="Heading1"/>
        <w:spacing w:after="160" w:before="460"/>
      </w:pPr>
      <w:r>
        <w:t xml:space="preserve">Requirement 8 — Duplicate label detection</w:t>
      </w:r>
    </w:p>
    <w:p>
      <w:pPr>
        <w:pBdr>
          <w:top w:val="single" w:color="D9EEFF" w:sz="2" w:space="6"/>
          <w:bottom w:val="single" w:color="D9EEFF" w:sz="2" w:space="6"/>
          <w:left w:val="single" w:color="0090FC" w:sz="24" w:space="10"/>
          <w:right w:val="single" w:color="D9EEFF" w:sz="2" w:space="6"/>
        </w:pBdr>
        <w:shd w:fill="D9EEFF" w:val="clear"/>
        <w:spacing w:after="160" w:before="80"/>
        <w:ind w:left="72"/>
      </w:pPr>
      <w:r>
        <w:rPr>
          <w:b/>
          <w:bCs/>
          <w:color w:val="0056A7"/>
        </w:rPr>
        <w:t xml:space="preserve">REQUIREMENT 8   </w:t>
      </w:r>
      <w:r>
        <w:rPr>
          <w:i/>
          <w:iCs/>
          <w:color w:val="293C5B"/>
        </w:rPr>
        <w:t xml:space="preserve">The laboratory requires that a label already used in an earlier submission from the same device be rejected. State plainly whether a self contained form can enforce that. If it cannot, describe the architecture that can, and implement whatever part of the requirement is achievable in the form itself.</w:t>
      </w:r>
    </w:p>
    <w:p>
      <w:pPr>
        <w:spacing w:after="160"/>
      </w:pPr>
      <w:r>
        <w:t xml:space="preserve">Stated plainly: no, not in full. A running ODK form instance has reliable access only to its own data and, via last-saved, a snapshot of the single most recent submission on that device — not its full multi-day history. What is implemented is the achievable part: a check that the entered label has not already been used for a different child within the same household submission. The architecture that can enforce the full requirement — ODK Entities, maintaining a per-device local dataset updated after every offline finalize — is described, not implemented blind, because it could not be tested against a real Central/Collect instance with confidence at the time it was designed.</w:t>
      </w:r>
    </w:p>
    <w:p>
      <w:pPr>
        <w:spacing w:after="320" w:before="40"/>
        <w:ind w:left="215"/>
      </w:pPr>
      <w:r>
        <w:rPr>
          <w:b/>
          <w:bCs/>
          <w:color w:val="0056A7"/>
        </w:rPr>
        <w:t xml:space="preserve">See: </w:t>
      </w:r>
      <w:hyperlink w:history="1" r:id="rIdnkjv7hfwmgsb2ev3gqpwp">
        <w:r>
          <w:rPr>
            <w:rStyle w:val="Hyperlink"/>
          </w:rPr>
          <w:t xml:space="preserve">documentation/05_duplicate_label_detection.md</w:t>
        </w:r>
      </w:hyperlink>
    </w:p>
    <w:p>
      <w:pPr>
        <w:pStyle w:val="Heading1"/>
        <w:spacing w:after="160" w:before="460"/>
      </w:pPr>
      <w:r>
        <w:t xml:space="preserve">Requirement 9 — Test plan</w:t>
      </w:r>
    </w:p>
    <w:p>
      <w:pPr>
        <w:pBdr>
          <w:top w:val="single" w:color="D9EEFF" w:sz="2" w:space="6"/>
          <w:bottom w:val="single" w:color="D9EEFF" w:sz="2" w:space="6"/>
          <w:left w:val="single" w:color="0090FC" w:sz="24" w:space="10"/>
          <w:right w:val="single" w:color="D9EEFF" w:sz="2" w:space="6"/>
        </w:pBdr>
        <w:shd w:fill="D9EEFF" w:val="clear"/>
        <w:spacing w:after="160" w:before="80"/>
        <w:ind w:left="72"/>
      </w:pPr>
      <w:r>
        <w:rPr>
          <w:b/>
          <w:bCs/>
          <w:color w:val="0056A7"/>
        </w:rPr>
        <w:t xml:space="preserve">REQUIREMENT 9   </w:t>
      </w:r>
      <w:r>
        <w:rPr>
          <w:i/>
          <w:iCs/>
          <w:color w:val="293C5B"/>
        </w:rPr>
        <w:t xml:space="preserve">Produce a test plan of at least fifteen cases with expected results. It must include negative tests and must exercise the boundaries you have chosen, including the specimen eligibility cut, the measurement position change, the ends of every range you set, a date outside the fieldwork window, and a household where the roster and the stated household size disagree.</w:t>
      </w:r>
    </w:p>
    <w:p>
      <w:pPr>
        <w:spacing w:after="160"/>
      </w:pPr>
      <w:r>
        <w:t xml:space="preserve">43 cases in test_plan.csv, each with an expected result and the constraint it exercises. Every boundary named in the requirement is covered explicitly: the specimen-eligibility cut at 12 months (T20-T21), the measurement-position field, the ends of every numeric range in the constraint register, a date outside the fieldwork window (T22-T25), and a household where the stated size and the roster disagree (T26-T27) — plus negative cases for the specimen label (format, team range, transposition, within-household duplicate) and the household-asset exclusivity rule.</w:t>
      </w:r>
    </w:p>
    <w:p>
      <w:pPr>
        <w:spacing w:after="320" w:before="40"/>
        <w:ind w:left="215"/>
      </w:pPr>
      <w:r>
        <w:rPr>
          <w:b/>
          <w:bCs/>
          <w:color w:val="0056A7"/>
        </w:rPr>
        <w:t xml:space="preserve">See: </w:t>
      </w:r>
      <w:hyperlink w:history="1" r:id="rIdnnnclpwoliou3mfuvab2b">
        <w:r>
          <w:rPr>
            <w:rStyle w:val="Hyperlink"/>
          </w:rPr>
          <w:t xml:space="preserve">test_plan.csv</w:t>
        </w:r>
      </w:hyperlink>
    </w:p>
    <w:p>
      <w:pPr>
        <w:pStyle w:val="Heading1"/>
        <w:spacing w:after="160" w:before="460"/>
      </w:pPr>
      <w:r>
        <w:t xml:space="preserve">Requirement 10 — Deployment and version control</w:t>
      </w:r>
    </w:p>
    <w:p>
      <w:pPr>
        <w:pBdr>
          <w:top w:val="single" w:color="D9EEFF" w:sz="2" w:space="6"/>
          <w:bottom w:val="single" w:color="D9EEFF" w:sz="2" w:space="6"/>
          <w:left w:val="single" w:color="0090FC" w:sz="24" w:space="10"/>
          <w:right w:val="single" w:color="D9EEFF" w:sz="2" w:space="6"/>
        </w:pBdr>
        <w:shd w:fill="D9EEFF" w:val="clear"/>
        <w:spacing w:after="160" w:before="80"/>
        <w:ind w:left="72"/>
      </w:pPr>
      <w:r>
        <w:rPr>
          <w:b/>
          <w:bCs/>
          <w:color w:val="0056A7"/>
        </w:rPr>
        <w:t xml:space="preserve">REQUIREMENT 10   </w:t>
      </w:r>
      <w:r>
        <w:rPr>
          <w:i/>
          <w:iCs/>
          <w:color w:val="293C5B"/>
        </w:rPr>
        <w:t xml:space="preserve">Set out a deployment and version control plan for 120 enumerators offline for up to nine days, addressing how you push a mid round change without losing or corrupting data already collected, and how the analysis team distinguishes records collected under different versions of the form.</w:t>
      </w:r>
    </w:p>
    <w:p>
      <w:pPr>
        <w:spacing w:after="160"/>
      </w:pPr>
      <w:r>
        <w:t xml:space="preserve">form_id is fixed (hh2026_v1); version changes on every published edit, using a sortable YYYYMMDDNN string. A mid-round change cannot lose or corrupt data already collected because ODK Collect binds every in-flight draft to the exact version it was opened under — downloading a new version does not touch, migrate, or invalidate drafts already in progress. Every submission carries its formVersion as a Central system attribute, which the analysis team is instructed to always retain rather than assume a single-version dataset. This plan was exercised in practice, not only written: the form went through three published versions during this build (2026060100, 2026073100, 2026073101), each change deployed to the candidate's own self-hosted ODK Central instance.</w:t>
      </w:r>
    </w:p>
    <w:p>
      <w:pPr>
        <w:spacing w:after="320" w:before="40"/>
        <w:ind w:left="215"/>
      </w:pPr>
      <w:r>
        <w:rPr>
          <w:b/>
          <w:bCs/>
          <w:color w:val="0056A7"/>
        </w:rPr>
        <w:t xml:space="preserve">See: </w:t>
      </w:r>
      <w:hyperlink w:history="1" r:id="rIdpndi7fjqongu-4glilcff">
        <w:r>
          <w:rPr>
            <w:rStyle w:val="Hyperlink"/>
          </w:rPr>
          <w:t xml:space="preserve">documentation/07_deployment_and_version_control.md</w:t>
        </w:r>
      </w:hyperlink>
    </w:p>
    <w:p>
      <w:pPr>
        <w:pStyle w:val="Heading1"/>
        <w:spacing w:after="160" w:before="460"/>
      </w:pPr>
      <w:r>
        <w:t xml:space="preserve">Requirement 11 — Fabrication detection</w:t>
      </w:r>
    </w:p>
    <w:p>
      <w:pPr>
        <w:pBdr>
          <w:top w:val="single" w:color="D9EEFF" w:sz="2" w:space="6"/>
          <w:bottom w:val="single" w:color="D9EEFF" w:sz="2" w:space="6"/>
          <w:left w:val="single" w:color="0090FC" w:sz="24" w:space="10"/>
          <w:right w:val="single" w:color="D9EEFF" w:sz="2" w:space="6"/>
        </w:pBdr>
        <w:shd w:fill="D9EEFF" w:val="clear"/>
        <w:spacing w:after="160" w:before="80"/>
        <w:ind w:left="72"/>
      </w:pPr>
      <w:r>
        <w:rPr>
          <w:b/>
          <w:bCs/>
          <w:color w:val="0056A7"/>
        </w:rPr>
        <w:t xml:space="preserve">REQUIREMENT 11   </w:t>
      </w:r>
      <w:r>
        <w:rPr>
          <w:i/>
          <w:iCs/>
          <w:color w:val="293C5B"/>
        </w:rPr>
        <w:t xml:space="preserve">Design for fabrication detection. Identify which fields exist solely to enable back office quality assurance, and give the specific check you would run daily during fieldwork to surface the pattern described in the operating conditions. A design that only permits detection after fieldwork closes has failed this component.</w:t>
      </w:r>
    </w:p>
    <w:p>
      <w:pPr>
        <w:spacing w:after="160"/>
      </w:pPr>
      <w:r>
        <w:t xml:space="preserve">Fields added purely for QA: automatic start/end timestamps (the paper form has no interview start time at all), a device identifier, and a roster-mismatch flag. The proposed daily check groups every submission synced so far by enumerator and flags anyone whose mean interview duration and vaccination-card-sighting rate together match the pattern in the operating conditions — the 94-interview, ~4-minute-mean case — run against Central's submission API as a scheduled job, not as a one-off analysis after the round closes.</w:t>
      </w:r>
    </w:p>
    <w:p>
      <w:pPr>
        <w:spacing w:after="320" w:before="40"/>
        <w:ind w:left="215"/>
      </w:pPr>
      <w:r>
        <w:rPr>
          <w:b/>
          <w:bCs/>
          <w:color w:val="0056A7"/>
        </w:rPr>
        <w:t xml:space="preserve">See: </w:t>
      </w:r>
      <w:hyperlink w:history="1" r:id="rIdrczkefuhz7ymjn6uydyet">
        <w:r>
          <w:rPr>
            <w:rStyle w:val="Hyperlink"/>
          </w:rPr>
          <w:t xml:space="preserve">documentation/08_fabrication_detection.md</w:t>
        </w:r>
      </w:hyperlink>
    </w:p>
    <w:p>
      <w:pPr>
        <w:pStyle w:val="Heading1"/>
        <w:spacing w:after="160" w:before="460"/>
      </w:pPr>
      <w:r>
        <w:t xml:space="preserve">Requirement 12 — Data protection</w:t>
      </w:r>
    </w:p>
    <w:p>
      <w:pPr>
        <w:pBdr>
          <w:top w:val="single" w:color="D9EEFF" w:sz="2" w:space="6"/>
          <w:bottom w:val="single" w:color="D9EEFF" w:sz="2" w:space="6"/>
          <w:left w:val="single" w:color="0090FC" w:sz="24" w:space="10"/>
          <w:right w:val="single" w:color="D9EEFF" w:sz="2" w:space="6"/>
        </w:pBdr>
        <w:shd w:fill="D9EEFF" w:val="clear"/>
        <w:spacing w:after="160" w:before="80"/>
        <w:ind w:left="72"/>
      </w:pPr>
      <w:r>
        <w:rPr>
          <w:b/>
          <w:bCs/>
          <w:color w:val="0056A7"/>
        </w:rPr>
        <w:t xml:space="preserve">REQUIREMENT 12   </w:t>
      </w:r>
      <w:r>
        <w:rPr>
          <w:i/>
          <w:iCs/>
          <w:color w:val="293C5B"/>
        </w:rPr>
        <w:t xml:space="preserve">Address data protection. State what you configured, what the questionnaire collects that it arguably need not, and what you would propose removing. You are expected to have a view rather than to implement the instrument uncritically.</w:t>
      </w:r>
    </w:p>
    <w:p>
      <w:pPr>
        <w:spacing w:after="160"/>
      </w:pPr>
      <w:r>
        <w:t xml:space="preserve">Configured: the paper form's confidentiality notice and ethics reference are retained unedited; consent gates the roster and everything after it structurally, not just procedurally; specimen labels carry no name. Three items are named as collected but arguably unnecessary — full names for non-index household members, an unrestricted free-text local-settlement-name field, and an unguided free-text supervisor note — each with a stated proposal for what would be cut, while explicitly declining to unilaterally edit an ethics-approved data item without ministry sign-off.</w:t>
      </w:r>
    </w:p>
    <w:p>
      <w:pPr>
        <w:spacing w:after="320" w:before="40"/>
        <w:ind w:left="215"/>
      </w:pPr>
      <w:r>
        <w:rPr>
          <w:b/>
          <w:bCs/>
          <w:color w:val="0056A7"/>
        </w:rPr>
        <w:t xml:space="preserve">See: </w:t>
      </w:r>
      <w:hyperlink w:history="1" r:id="rIdu6qieuvmw__eki6ocuzu-">
        <w:r>
          <w:rPr>
            <w:rStyle w:val="Hyperlink"/>
          </w:rPr>
          <w:t xml:space="preserve">documentation/09_data_protection.md</w:t>
        </w:r>
      </w:hyperlink>
    </w:p>
    <w:p>
      <w:pPr>
        <w:pStyle w:val="Heading1"/>
        <w:spacing w:after="160" w:before="460"/>
      </w:pPr>
      <w:r>
        <w:t xml:space="preserve">Requirement 13 — Codebook</w:t>
      </w:r>
    </w:p>
    <w:p>
      <w:pPr>
        <w:pBdr>
          <w:top w:val="single" w:color="D9EEFF" w:sz="2" w:space="6"/>
          <w:bottom w:val="single" w:color="D9EEFF" w:sz="2" w:space="6"/>
          <w:left w:val="single" w:color="0090FC" w:sz="24" w:space="10"/>
          <w:right w:val="single" w:color="D9EEFF" w:sz="2" w:space="6"/>
        </w:pBdr>
        <w:shd w:fill="D9EEFF" w:val="clear"/>
        <w:spacing w:after="160" w:before="80"/>
        <w:ind w:left="72"/>
      </w:pPr>
      <w:r>
        <w:rPr>
          <w:b/>
          <w:bCs/>
          <w:color w:val="0056A7"/>
        </w:rPr>
        <w:t xml:space="preserve">REQUIREMENT 13   </w:t>
      </w:r>
      <w:r>
        <w:rPr>
          <w:i/>
          <w:iCs/>
          <w:color w:val="293C5B"/>
        </w:rPr>
        <w:t xml:space="preserve">Produce a codebook mapping form fields to analysis variables, including how the repeats flatten into analysable tables and what the primary keys are.</w:t>
      </w:r>
    </w:p>
    <w:p>
      <w:pPr>
        <w:spacing w:after="160"/>
      </w:pPr>
      <w:r>
        <w:t xml:space="preserve">The form has exactly one repeat (the Section 3 roster), because Sections 4 and 5 are nested inside it rather than forming a second repeat. A standard export therefore flattens to two tables: the main submission table (primary key meta/instanceID) and the roster table (primary key PARENT_KEY + line), with child- and specimen-level columns already sitting on the same row as the person's demographics — no join needed for child-level analysis. Every field is mapped to its coding, its source question, and analysis notes, including which columns must be filtered before any headline analysis (supervisor_decision) and which are placeholder pending the ministry's real medicine list.</w:t>
      </w:r>
    </w:p>
    <w:p>
      <w:pPr>
        <w:spacing w:after="320" w:before="40"/>
        <w:ind w:left="215"/>
      </w:pPr>
      <w:r>
        <w:rPr>
          <w:b/>
          <w:bCs/>
          <w:color w:val="0056A7"/>
        </w:rPr>
        <w:t xml:space="preserve">See: </w:t>
      </w:r>
      <w:hyperlink w:history="1" r:id="rIdrwdmx7k3zwv2ssjwftscf">
        <w:r>
          <w:rPr>
            <w:rStyle w:val="Hyperlink"/>
          </w:rPr>
          <w:t xml:space="preserve">documentation/10_codebook.md</w:t>
        </w:r>
      </w:hyperlink>
    </w:p>
    <w:p>
      <w:pPr>
        <w:pStyle w:val="Heading1"/>
        <w:spacing w:after="160" w:before="460"/>
      </w:pPr>
      <w:r>
        <w:t xml:space="preserve">Requirement 14 — Deliberate scope decisions</w:t>
      </w:r>
    </w:p>
    <w:p>
      <w:pPr>
        <w:pBdr>
          <w:top w:val="single" w:color="D9EEFF" w:sz="2" w:space="6"/>
          <w:bottom w:val="single" w:color="D9EEFF" w:sz="2" w:space="6"/>
          <w:left w:val="single" w:color="0090FC" w:sz="24" w:space="10"/>
          <w:right w:val="single" w:color="D9EEFF" w:sz="2" w:space="6"/>
        </w:pBdr>
        <w:shd w:fill="D9EEFF" w:val="clear"/>
        <w:spacing w:after="160" w:before="80"/>
        <w:ind w:left="72"/>
      </w:pPr>
      <w:r>
        <w:rPr>
          <w:b/>
          <w:bCs/>
          <w:color w:val="0056A7"/>
        </w:rPr>
        <w:t xml:space="preserve">REQUIREMENT 14   </w:t>
      </w:r>
      <w:r>
        <w:rPr>
          <w:i/>
          <w:iCs/>
          <w:color w:val="293C5B"/>
        </w:rPr>
        <w:t xml:space="preserve">State what you deliberately did not implement, and why. A defensible scope scores better than an exhaustive one.</w:t>
      </w:r>
    </w:p>
    <w:p>
      <w:pPr>
        <w:spacing w:after="160"/>
      </w:pPr>
      <w:r>
        <w:t xml:space="preserve">Eleven items are named as out of scope, each with a stated reason: ODK Entities (untestable here, described instead of guessed at), full Hausa translation of clinical/procedural text (a wrong translation is worse than a visible gap), audio prompts, the paper form's now-inapplicable office-use section, a formal continuation procedure for households over 12 members, image-size tuning without a real device storage budget, a supervisor-note privacy hint, infrastructure-level data protection, physical Android device field-testing specifically, and a headcount discrepancy between the operating brief and the staff roster supplied. The medicine list at question 4.13 deserves its own mention here: after two rejected attempts to fill that gap with substitute content, the field was deliberately left unable to be answered until the ministry supplies the real list — a scope boundary held under direct correction, not a convenient omission.</w:t>
      </w:r>
    </w:p>
    <w:p>
      <w:pPr>
        <w:spacing w:after="320" w:before="40"/>
        <w:ind w:left="215"/>
      </w:pPr>
      <w:r>
        <w:rPr>
          <w:b/>
          <w:bCs/>
          <w:color w:val="0056A7"/>
        </w:rPr>
        <w:t xml:space="preserve">See: </w:t>
      </w:r>
      <w:hyperlink w:history="1" r:id="rId5v6nuokp-q9lnrpb2741g">
        <w:r>
          <w:rPr>
            <w:rStyle w:val="Hyperlink"/>
          </w:rPr>
          <w:t xml:space="preserve">documentation/11_scope_and_omissions.md</w:t>
        </w:r>
      </w:hyperlink>
    </w:p>
    <w:p>
      <w:pPr>
        <w:pStyle w:val="Heading1"/>
        <w:spacing w:after="160" w:before="460"/>
      </w:pPr>
      <w:r>
        <w:t xml:space="preserve">Requirement index</w:t>
      </w:r>
    </w:p>
    <w:p>
      <w:pPr>
        <w:spacing w:after="160"/>
      </w:pPr>
      <w:r>
        <w:t xml:space="preserve">For quick cross-reference: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4000"/>
      </w:tblGrid>
      <w:tr>
        <w:trPr>
          <w:tblHeader/>
        </w:trPr>
        <w:tc>
          <w:tcPr>
            <w:tcW w:type="dxa" w:w="500"/>
            <w:shd w:fill="0090FC" w:val="clear"/>
            <w:tcMar>
              <w:top w:type="dxa" w:w="90"/>
              <w:left w:type="dxa" w:w="110"/>
              <w:bottom w:type="dxa" w:w="90"/>
              <w:right w:type="dxa" w:w="110"/>
            </w:tcMar>
          </w:tcPr>
          <w:p>
            <w:pPr>
              <w:jc w:val="center"/>
            </w:pPr>
            <w:r>
              <w:rPr>
                <w:b/>
                <w:bCs/>
                <w:color w:val="FFFFFF"/>
                <w:sz w:val="18"/>
                <w:szCs w:val="18"/>
              </w:rPr>
              <w:t xml:space="preserve">#</w:t>
            </w:r>
          </w:p>
        </w:tc>
        <w:tc>
          <w:tcPr>
            <w:tcW w:type="dxa" w:w="5200"/>
            <w:shd w:fill="0090FC" w:val="clear"/>
            <w:tcMar>
              <w:top w:type="dxa" w:w="90"/>
              <w:left w:type="dxa" w:w="110"/>
              <w:bottom w:type="dxa" w:w="90"/>
              <w:right w:type="dxa" w:w="110"/>
            </w:tcMar>
          </w:tcPr>
          <w:p>
            <w:pPr>
              <w:jc w:val="left"/>
            </w:pPr>
            <w:r>
              <w:rPr>
                <w:b/>
                <w:bCs/>
                <w:color w:val="FFFFFF"/>
                <w:sz w:val="18"/>
                <w:szCs w:val="18"/>
              </w:rPr>
              <w:t xml:space="preserve">Requirement</w:t>
            </w:r>
          </w:p>
        </w:tc>
        <w:tc>
          <w:tcPr>
            <w:tcW w:type="dxa" w:w="4000"/>
            <w:shd w:fill="0090FC" w:val="clear"/>
            <w:tcMar>
              <w:top w:type="dxa" w:w="90"/>
              <w:left w:type="dxa" w:w="110"/>
              <w:bottom w:type="dxa" w:w="90"/>
              <w:right w:type="dxa" w:w="110"/>
            </w:tcMar>
          </w:tcPr>
          <w:p>
            <w:pPr>
              <w:jc w:val="left"/>
            </w:pPr>
            <w:r>
              <w:rPr>
                <w:b/>
                <w:bCs/>
                <w:color w:val="FFFFFF"/>
                <w:sz w:val="18"/>
                <w:szCs w:val="18"/>
              </w:rPr>
              <w:t xml:space="preserve">Primary file</w:t>
            </w:r>
          </w:p>
        </w:tc>
      </w:tr>
      <w:tr>
        <w:tc>
          <w:tcPr>
            <w:tcW w:type="dxa" w:w="500"/>
            <w:shd w:fill="FFFFFF" w:val="clear"/>
            <w:tcMar>
              <w:top w:type="dxa" w:w="90"/>
              <w:left w:type="dxa" w:w="110"/>
              <w:bottom w:type="dxa" w:w="90"/>
              <w:right w:type="dxa" w:w="110"/>
            </w:tcMar>
          </w:tcPr>
          <w:p>
            <w:pPr>
              <w:jc w:val="center"/>
            </w:pPr>
            <w:r>
              <w:rPr>
                <w:b w:val="false"/>
                <w:bCs w:val="false"/>
                <w:color w:val="293C5B"/>
                <w:sz w:val="18"/>
                <w:szCs w:val="18"/>
              </w:rPr>
              <w:t xml:space="preserve">1</w:t>
            </w:r>
          </w:p>
        </w:tc>
        <w:tc>
          <w:tcPr>
            <w:tcW w:type="dxa" w:w="5200"/>
            <w:shd w:fill="FFFFFF" w:val="clear"/>
            <w:tcMar>
              <w:top w:type="dxa" w:w="90"/>
              <w:left w:type="dxa" w:w="110"/>
              <w:bottom w:type="dxa" w:w="90"/>
              <w:right w:type="dxa" w:w="110"/>
            </w:tcMar>
          </w:tcPr>
          <w:p>
            <w:pPr>
              <w:jc w:val="left"/>
            </w:pPr>
            <w:r>
              <w:rPr>
                <w:b w:val="false"/>
                <w:bCs w:val="false"/>
                <w:color w:val="212121"/>
                <w:sz w:val="18"/>
                <w:szCs w:val="18"/>
              </w:rPr>
              <w:t xml:space="preserve">Build the form; convert without error</w:t>
            </w:r>
          </w:p>
        </w:tc>
        <w:tc>
          <w:tcPr>
            <w:tcW w:type="dxa" w:w="4000"/>
            <w:shd w:fill="FFFFFF" w:val="clear"/>
            <w:tcMar>
              <w:top w:type="dxa" w:w="90"/>
              <w:left w:type="dxa" w:w="110"/>
              <w:bottom w:type="dxa" w:w="90"/>
              <w:right w:type="dxa" w:w="110"/>
            </w:tcMar>
          </w:tcPr>
          <w:p>
            <w:pPr>
              <w:jc w:val="left"/>
            </w:pPr>
            <w:r>
              <w:rPr>
                <w:b w:val="false"/>
                <w:bCs w:val="false"/>
                <w:color w:val="6B6B6B"/>
                <w:sz w:val="18"/>
                <w:szCs w:val="18"/>
              </w:rPr>
              <w:t xml:space="preserve">form/HH2026_v1.xlsx</w:t>
            </w:r>
          </w:p>
        </w:tc>
      </w:tr>
      <w:tr>
        <w:tc>
          <w:tcPr>
            <w:tcW w:type="dxa" w:w="500"/>
            <w:shd w:fill="D9EEFF" w:val="clear"/>
            <w:tcMar>
              <w:top w:type="dxa" w:w="90"/>
              <w:left w:type="dxa" w:w="110"/>
              <w:bottom w:type="dxa" w:w="90"/>
              <w:right w:type="dxa" w:w="110"/>
            </w:tcMar>
          </w:tcPr>
          <w:p>
            <w:pPr>
              <w:jc w:val="center"/>
            </w:pPr>
            <w:r>
              <w:rPr>
                <w:b w:val="false"/>
                <w:bCs w:val="false"/>
                <w:color w:val="293C5B"/>
                <w:sz w:val="18"/>
                <w:szCs w:val="18"/>
              </w:rPr>
              <w:t xml:space="preserve">2</w:t>
            </w:r>
          </w:p>
        </w:tc>
        <w:tc>
          <w:tcPr>
            <w:tcW w:type="dxa" w:w="5200"/>
            <w:shd w:fill="D9EEFF" w:val="clear"/>
            <w:tcMar>
              <w:top w:type="dxa" w:w="90"/>
              <w:left w:type="dxa" w:w="110"/>
              <w:bottom w:type="dxa" w:w="90"/>
              <w:right w:type="dxa" w:w="110"/>
            </w:tcMar>
          </w:tcPr>
          <w:p>
            <w:pPr>
              <w:jc w:val="left"/>
            </w:pPr>
            <w:r>
              <w:rPr>
                <w:b w:val="false"/>
                <w:bCs w:val="false"/>
                <w:color w:val="212121"/>
                <w:sz w:val="18"/>
                <w:szCs w:val="18"/>
              </w:rPr>
              <w:t xml:space="preserve">Constraint register</w:t>
            </w:r>
          </w:p>
        </w:tc>
        <w:tc>
          <w:tcPr>
            <w:tcW w:type="dxa" w:w="4000"/>
            <w:shd w:fill="D9EEFF" w:val="clear"/>
            <w:tcMar>
              <w:top w:type="dxa" w:w="90"/>
              <w:left w:type="dxa" w:w="110"/>
              <w:bottom w:type="dxa" w:w="90"/>
              <w:right w:type="dxa" w:w="110"/>
            </w:tcMar>
          </w:tcPr>
          <w:p>
            <w:pPr>
              <w:jc w:val="left"/>
            </w:pPr>
            <w:r>
              <w:rPr>
                <w:b w:val="false"/>
                <w:bCs w:val="false"/>
                <w:color w:val="6B6B6B"/>
                <w:sz w:val="18"/>
                <w:szCs w:val="18"/>
              </w:rPr>
              <w:t xml:space="preserve">constraint_register.csv</w:t>
            </w:r>
          </w:p>
        </w:tc>
      </w:tr>
      <w:tr>
        <w:tc>
          <w:tcPr>
            <w:tcW w:type="dxa" w:w="500"/>
            <w:shd w:fill="FFFFFF" w:val="clear"/>
            <w:tcMar>
              <w:top w:type="dxa" w:w="90"/>
              <w:left w:type="dxa" w:w="110"/>
              <w:bottom w:type="dxa" w:w="90"/>
              <w:right w:type="dxa" w:w="110"/>
            </w:tcMar>
          </w:tcPr>
          <w:p>
            <w:pPr>
              <w:jc w:val="center"/>
            </w:pPr>
            <w:r>
              <w:rPr>
                <w:b w:val="false"/>
                <w:bCs w:val="false"/>
                <w:color w:val="293C5B"/>
                <w:sz w:val="18"/>
                <w:szCs w:val="18"/>
              </w:rPr>
              <w:t xml:space="preserve">3</w:t>
            </w:r>
          </w:p>
        </w:tc>
        <w:tc>
          <w:tcPr>
            <w:tcW w:type="dxa" w:w="5200"/>
            <w:shd w:fill="FFFFFF" w:val="clear"/>
            <w:tcMar>
              <w:top w:type="dxa" w:w="90"/>
              <w:left w:type="dxa" w:w="110"/>
              <w:bottom w:type="dxa" w:w="90"/>
              <w:right w:type="dxa" w:w="110"/>
            </w:tcMar>
          </w:tcPr>
          <w:p>
            <w:pPr>
              <w:jc w:val="left"/>
            </w:pPr>
            <w:r>
              <w:rPr>
                <w:b w:val="false"/>
                <w:bCs w:val="false"/>
                <w:color w:val="212121"/>
                <w:sz w:val="18"/>
                <w:szCs w:val="18"/>
              </w:rPr>
              <w:t xml:space="preserve">Coding scheme / sentinels</w:t>
            </w:r>
          </w:p>
        </w:tc>
        <w:tc>
          <w:tcPr>
            <w:tcW w:type="dxa" w:w="4000"/>
            <w:shd w:fill="FFFFFF" w:val="clear"/>
            <w:tcMar>
              <w:top w:type="dxa" w:w="90"/>
              <w:left w:type="dxa" w:w="110"/>
              <w:bottom w:type="dxa" w:w="90"/>
              <w:right w:type="dxa" w:w="110"/>
            </w:tcMar>
          </w:tcPr>
          <w:p>
            <w:pPr>
              <w:jc w:val="left"/>
            </w:pPr>
            <w:r>
              <w:rPr>
                <w:b w:val="false"/>
                <w:bCs w:val="false"/>
                <w:color w:val="6B6B6B"/>
                <w:sz w:val="18"/>
                <w:szCs w:val="18"/>
              </w:rPr>
              <w:t xml:space="preserve">documentation/02_sentinel_coding_scheme.md</w:t>
            </w:r>
          </w:p>
        </w:tc>
      </w:tr>
      <w:tr>
        <w:tc>
          <w:tcPr>
            <w:tcW w:type="dxa" w:w="500"/>
            <w:shd w:fill="D9EEFF" w:val="clear"/>
            <w:tcMar>
              <w:top w:type="dxa" w:w="90"/>
              <w:left w:type="dxa" w:w="110"/>
              <w:bottom w:type="dxa" w:w="90"/>
              <w:right w:type="dxa" w:w="110"/>
            </w:tcMar>
          </w:tcPr>
          <w:p>
            <w:pPr>
              <w:jc w:val="center"/>
            </w:pPr>
            <w:r>
              <w:rPr>
                <w:b w:val="false"/>
                <w:bCs w:val="false"/>
                <w:color w:val="293C5B"/>
                <w:sz w:val="18"/>
                <w:szCs w:val="18"/>
              </w:rPr>
              <w:t xml:space="preserve">4</w:t>
            </w:r>
          </w:p>
        </w:tc>
        <w:tc>
          <w:tcPr>
            <w:tcW w:type="dxa" w:w="5200"/>
            <w:shd w:fill="D9EEFF" w:val="clear"/>
            <w:tcMar>
              <w:top w:type="dxa" w:w="90"/>
              <w:left w:type="dxa" w:w="110"/>
              <w:bottom w:type="dxa" w:w="90"/>
              <w:right w:type="dxa" w:w="110"/>
            </w:tcMar>
          </w:tcPr>
          <w:p>
            <w:pPr>
              <w:jc w:val="left"/>
            </w:pPr>
            <w:r>
              <w:rPr>
                <w:b w:val="false"/>
                <w:bCs w:val="false"/>
                <w:color w:val="212121"/>
                <w:sz w:val="18"/>
                <w:szCs w:val="18"/>
              </w:rPr>
              <w:t xml:space="preserve">Cross-question consistency</w:t>
            </w:r>
          </w:p>
        </w:tc>
        <w:tc>
          <w:tcPr>
            <w:tcW w:type="dxa" w:w="4000"/>
            <w:shd w:fill="D9EEFF" w:val="clear"/>
            <w:tcMar>
              <w:top w:type="dxa" w:w="90"/>
              <w:left w:type="dxa" w:w="110"/>
              <w:bottom w:type="dxa" w:w="90"/>
              <w:right w:type="dxa" w:w="110"/>
            </w:tcMar>
          </w:tcPr>
          <w:p>
            <w:pPr>
              <w:jc w:val="left"/>
            </w:pPr>
            <w:r>
              <w:rPr>
                <w:b w:val="false"/>
                <w:bCs w:val="false"/>
                <w:color w:val="6B6B6B"/>
                <w:sz w:val="18"/>
                <w:szCs w:val="18"/>
              </w:rPr>
              <w:t xml:space="preserve">constraint_register.csv (C022-C023)</w:t>
            </w:r>
          </w:p>
        </w:tc>
      </w:tr>
      <w:tr>
        <w:tc>
          <w:tcPr>
            <w:tcW w:type="dxa" w:w="500"/>
            <w:shd w:fill="FFFFFF" w:val="clear"/>
            <w:tcMar>
              <w:top w:type="dxa" w:w="90"/>
              <w:left w:type="dxa" w:w="110"/>
              <w:bottom w:type="dxa" w:w="90"/>
              <w:right w:type="dxa" w:w="110"/>
            </w:tcMar>
          </w:tcPr>
          <w:p>
            <w:pPr>
              <w:jc w:val="center"/>
            </w:pPr>
            <w:r>
              <w:rPr>
                <w:b w:val="false"/>
                <w:bCs w:val="false"/>
                <w:color w:val="293C5B"/>
                <w:sz w:val="18"/>
                <w:szCs w:val="18"/>
              </w:rPr>
              <w:t xml:space="preserve">5</w:t>
            </w:r>
          </w:p>
        </w:tc>
        <w:tc>
          <w:tcPr>
            <w:tcW w:type="dxa" w:w="5200"/>
            <w:shd w:fill="FFFFFF" w:val="clear"/>
            <w:tcMar>
              <w:top w:type="dxa" w:w="90"/>
              <w:left w:type="dxa" w:w="110"/>
              <w:bottom w:type="dxa" w:w="90"/>
              <w:right w:type="dxa" w:w="110"/>
            </w:tcMar>
          </w:tcPr>
          <w:p>
            <w:pPr>
              <w:jc w:val="left"/>
            </w:pPr>
            <w:r>
              <w:rPr>
                <w:b w:val="false"/>
                <w:bCs w:val="false"/>
                <w:color w:val="212121"/>
                <w:sz w:val="18"/>
                <w:szCs w:val="18"/>
              </w:rPr>
              <w:t xml:space="preserve">Questionnaire defects</w:t>
            </w:r>
          </w:p>
        </w:tc>
        <w:tc>
          <w:tcPr>
            <w:tcW w:type="dxa" w:w="4000"/>
            <w:shd w:fill="FFFFFF" w:val="clear"/>
            <w:tcMar>
              <w:top w:type="dxa" w:w="90"/>
              <w:left w:type="dxa" w:w="110"/>
              <w:bottom w:type="dxa" w:w="90"/>
              <w:right w:type="dxa" w:w="110"/>
            </w:tcMar>
          </w:tcPr>
          <w:p>
            <w:pPr>
              <w:jc w:val="left"/>
            </w:pPr>
            <w:r>
              <w:rPr>
                <w:b w:val="false"/>
                <w:bCs w:val="false"/>
                <w:color w:val="6B6B6B"/>
                <w:sz w:val="18"/>
                <w:szCs w:val="18"/>
              </w:rPr>
              <w:t xml:space="preserve">documentation/01_defects_report.md</w:t>
            </w:r>
          </w:p>
        </w:tc>
      </w:tr>
      <w:tr>
        <w:tc>
          <w:tcPr>
            <w:tcW w:type="dxa" w:w="500"/>
            <w:shd w:fill="D9EEFF" w:val="clear"/>
            <w:tcMar>
              <w:top w:type="dxa" w:w="90"/>
              <w:left w:type="dxa" w:w="110"/>
              <w:bottom w:type="dxa" w:w="90"/>
              <w:right w:type="dxa" w:w="110"/>
            </w:tcMar>
          </w:tcPr>
          <w:p>
            <w:pPr>
              <w:jc w:val="center"/>
            </w:pPr>
            <w:r>
              <w:rPr>
                <w:b w:val="false"/>
                <w:bCs w:val="false"/>
                <w:color w:val="293C5B"/>
                <w:sz w:val="18"/>
                <w:szCs w:val="18"/>
              </w:rPr>
              <w:t xml:space="preserve">6</w:t>
            </w:r>
          </w:p>
        </w:tc>
        <w:tc>
          <w:tcPr>
            <w:tcW w:type="dxa" w:w="5200"/>
            <w:shd w:fill="D9EEFF" w:val="clear"/>
            <w:tcMar>
              <w:top w:type="dxa" w:w="90"/>
              <w:left w:type="dxa" w:w="110"/>
              <w:bottom w:type="dxa" w:w="90"/>
              <w:right w:type="dxa" w:w="110"/>
            </w:tcMar>
          </w:tcPr>
          <w:p>
            <w:pPr>
              <w:jc w:val="left"/>
            </w:pPr>
            <w:r>
              <w:rPr>
                <w:b w:val="false"/>
                <w:bCs w:val="false"/>
                <w:color w:val="212121"/>
                <w:sz w:val="18"/>
                <w:szCs w:val="18"/>
              </w:rPr>
              <w:t xml:space="preserve">Settlement list on 2GB device</w:t>
            </w:r>
          </w:p>
        </w:tc>
        <w:tc>
          <w:tcPr>
            <w:tcW w:type="dxa" w:w="4000"/>
            <w:shd w:fill="D9EEFF" w:val="clear"/>
            <w:tcMar>
              <w:top w:type="dxa" w:w="90"/>
              <w:left w:type="dxa" w:w="110"/>
              <w:bottom w:type="dxa" w:w="90"/>
              <w:right w:type="dxa" w:w="110"/>
            </w:tcMar>
          </w:tcPr>
          <w:p>
            <w:pPr>
              <w:jc w:val="left"/>
            </w:pPr>
            <w:r>
              <w:rPr>
                <w:b w:val="false"/>
                <w:bCs w:val="false"/>
                <w:color w:val="6B6B6B"/>
                <w:sz w:val="18"/>
                <w:szCs w:val="18"/>
              </w:rPr>
              <w:t xml:space="preserve">documentation/03_settlement_list_mechanism.md</w:t>
            </w:r>
          </w:p>
        </w:tc>
      </w:tr>
      <w:tr>
        <w:tc>
          <w:tcPr>
            <w:tcW w:type="dxa" w:w="500"/>
            <w:shd w:fill="FFFFFF" w:val="clear"/>
            <w:tcMar>
              <w:top w:type="dxa" w:w="90"/>
              <w:left w:type="dxa" w:w="110"/>
              <w:bottom w:type="dxa" w:w="90"/>
              <w:right w:type="dxa" w:w="110"/>
            </w:tcMar>
          </w:tcPr>
          <w:p>
            <w:pPr>
              <w:jc w:val="center"/>
            </w:pPr>
            <w:r>
              <w:rPr>
                <w:b w:val="false"/>
                <w:bCs w:val="false"/>
                <w:color w:val="293C5B"/>
                <w:sz w:val="18"/>
                <w:szCs w:val="18"/>
              </w:rPr>
              <w:t xml:space="preserve">7</w:t>
            </w:r>
          </w:p>
        </w:tc>
        <w:tc>
          <w:tcPr>
            <w:tcW w:type="dxa" w:w="5200"/>
            <w:shd w:fill="FFFFFF" w:val="clear"/>
            <w:tcMar>
              <w:top w:type="dxa" w:w="90"/>
              <w:left w:type="dxa" w:w="110"/>
              <w:bottom w:type="dxa" w:w="90"/>
              <w:right w:type="dxa" w:w="110"/>
            </w:tcMar>
          </w:tcPr>
          <w:p>
            <w:pPr>
              <w:jc w:val="left"/>
            </w:pPr>
            <w:r>
              <w:rPr>
                <w:b w:val="false"/>
                <w:bCs w:val="false"/>
                <w:color w:val="212121"/>
                <w:sz w:val="18"/>
                <w:szCs w:val="18"/>
              </w:rPr>
              <w:t xml:space="preserve">Specimen check digit + tests</w:t>
            </w:r>
          </w:p>
        </w:tc>
        <w:tc>
          <w:tcPr>
            <w:tcW w:type="dxa" w:w="4000"/>
            <w:shd w:fill="FFFFFF" w:val="clear"/>
            <w:tcMar>
              <w:top w:type="dxa" w:w="90"/>
              <w:left w:type="dxa" w:w="110"/>
              <w:bottom w:type="dxa" w:w="90"/>
              <w:right w:type="dxa" w:w="110"/>
            </w:tcMar>
          </w:tcPr>
          <w:p>
            <w:pPr>
              <w:jc w:val="left"/>
            </w:pPr>
            <w:r>
              <w:rPr>
                <w:b w:val="false"/>
                <w:bCs w:val="false"/>
                <w:color w:val="6B6B6B"/>
                <w:sz w:val="18"/>
                <w:szCs w:val="18"/>
              </w:rPr>
              <w:t xml:space="preserve">documentation/04_specimen_label_validation.md</w:t>
            </w:r>
          </w:p>
        </w:tc>
      </w:tr>
      <w:tr>
        <w:tc>
          <w:tcPr>
            <w:tcW w:type="dxa" w:w="500"/>
            <w:shd w:fill="D9EEFF" w:val="clear"/>
            <w:tcMar>
              <w:top w:type="dxa" w:w="90"/>
              <w:left w:type="dxa" w:w="110"/>
              <w:bottom w:type="dxa" w:w="90"/>
              <w:right w:type="dxa" w:w="110"/>
            </w:tcMar>
          </w:tcPr>
          <w:p>
            <w:pPr>
              <w:jc w:val="center"/>
            </w:pPr>
            <w:r>
              <w:rPr>
                <w:b w:val="false"/>
                <w:bCs w:val="false"/>
                <w:color w:val="293C5B"/>
                <w:sz w:val="18"/>
                <w:szCs w:val="18"/>
              </w:rPr>
              <w:t xml:space="preserve">8</w:t>
            </w:r>
          </w:p>
        </w:tc>
        <w:tc>
          <w:tcPr>
            <w:tcW w:type="dxa" w:w="5200"/>
            <w:shd w:fill="D9EEFF" w:val="clear"/>
            <w:tcMar>
              <w:top w:type="dxa" w:w="90"/>
              <w:left w:type="dxa" w:w="110"/>
              <w:bottom w:type="dxa" w:w="90"/>
              <w:right w:type="dxa" w:w="110"/>
            </w:tcMar>
          </w:tcPr>
          <w:p>
            <w:pPr>
              <w:jc w:val="left"/>
            </w:pPr>
            <w:r>
              <w:rPr>
                <w:b w:val="false"/>
                <w:bCs w:val="false"/>
                <w:color w:val="212121"/>
                <w:sz w:val="18"/>
                <w:szCs w:val="18"/>
              </w:rPr>
              <w:t xml:space="preserve">Duplicate label detection</w:t>
            </w:r>
          </w:p>
        </w:tc>
        <w:tc>
          <w:tcPr>
            <w:tcW w:type="dxa" w:w="4000"/>
            <w:shd w:fill="D9EEFF" w:val="clear"/>
            <w:tcMar>
              <w:top w:type="dxa" w:w="90"/>
              <w:left w:type="dxa" w:w="110"/>
              <w:bottom w:type="dxa" w:w="90"/>
              <w:right w:type="dxa" w:w="110"/>
            </w:tcMar>
          </w:tcPr>
          <w:p>
            <w:pPr>
              <w:jc w:val="left"/>
            </w:pPr>
            <w:r>
              <w:rPr>
                <w:b w:val="false"/>
                <w:bCs w:val="false"/>
                <w:color w:val="6B6B6B"/>
                <w:sz w:val="18"/>
                <w:szCs w:val="18"/>
              </w:rPr>
              <w:t xml:space="preserve">documentation/05_duplicate_label_detection.md</w:t>
            </w:r>
          </w:p>
        </w:tc>
      </w:tr>
      <w:tr>
        <w:tc>
          <w:tcPr>
            <w:tcW w:type="dxa" w:w="500"/>
            <w:shd w:fill="FFFFFF" w:val="clear"/>
            <w:tcMar>
              <w:top w:type="dxa" w:w="90"/>
              <w:left w:type="dxa" w:w="110"/>
              <w:bottom w:type="dxa" w:w="90"/>
              <w:right w:type="dxa" w:w="110"/>
            </w:tcMar>
          </w:tcPr>
          <w:p>
            <w:pPr>
              <w:jc w:val="center"/>
            </w:pPr>
            <w:r>
              <w:rPr>
                <w:b w:val="false"/>
                <w:bCs w:val="false"/>
                <w:color w:val="293C5B"/>
                <w:sz w:val="18"/>
                <w:szCs w:val="18"/>
              </w:rPr>
              <w:t xml:space="preserve">9</w:t>
            </w:r>
          </w:p>
        </w:tc>
        <w:tc>
          <w:tcPr>
            <w:tcW w:type="dxa" w:w="5200"/>
            <w:shd w:fill="FFFFFF" w:val="clear"/>
            <w:tcMar>
              <w:top w:type="dxa" w:w="90"/>
              <w:left w:type="dxa" w:w="110"/>
              <w:bottom w:type="dxa" w:w="90"/>
              <w:right w:type="dxa" w:w="110"/>
            </w:tcMar>
          </w:tcPr>
          <w:p>
            <w:pPr>
              <w:jc w:val="left"/>
            </w:pPr>
            <w:r>
              <w:rPr>
                <w:b w:val="false"/>
                <w:bCs w:val="false"/>
                <w:color w:val="212121"/>
                <w:sz w:val="18"/>
                <w:szCs w:val="18"/>
              </w:rPr>
              <w:t xml:space="preserve">Test plan, 15+ cases</w:t>
            </w:r>
          </w:p>
        </w:tc>
        <w:tc>
          <w:tcPr>
            <w:tcW w:type="dxa" w:w="4000"/>
            <w:shd w:fill="FFFFFF" w:val="clear"/>
            <w:tcMar>
              <w:top w:type="dxa" w:w="90"/>
              <w:left w:type="dxa" w:w="110"/>
              <w:bottom w:type="dxa" w:w="90"/>
              <w:right w:type="dxa" w:w="110"/>
            </w:tcMar>
          </w:tcPr>
          <w:p>
            <w:pPr>
              <w:jc w:val="left"/>
            </w:pPr>
            <w:r>
              <w:rPr>
                <w:b w:val="false"/>
                <w:bCs w:val="false"/>
                <w:color w:val="6B6B6B"/>
                <w:sz w:val="18"/>
                <w:szCs w:val="18"/>
              </w:rPr>
              <w:t xml:space="preserve">test_plan.csv</w:t>
            </w:r>
          </w:p>
        </w:tc>
      </w:tr>
      <w:tr>
        <w:tc>
          <w:tcPr>
            <w:tcW w:type="dxa" w:w="500"/>
            <w:shd w:fill="D9EEFF" w:val="clear"/>
            <w:tcMar>
              <w:top w:type="dxa" w:w="90"/>
              <w:left w:type="dxa" w:w="110"/>
              <w:bottom w:type="dxa" w:w="90"/>
              <w:right w:type="dxa" w:w="110"/>
            </w:tcMar>
          </w:tcPr>
          <w:p>
            <w:pPr>
              <w:jc w:val="center"/>
            </w:pPr>
            <w:r>
              <w:rPr>
                <w:b w:val="false"/>
                <w:bCs w:val="false"/>
                <w:color w:val="293C5B"/>
                <w:sz w:val="18"/>
                <w:szCs w:val="18"/>
              </w:rPr>
              <w:t xml:space="preserve">10</w:t>
            </w:r>
          </w:p>
        </w:tc>
        <w:tc>
          <w:tcPr>
            <w:tcW w:type="dxa" w:w="5200"/>
            <w:shd w:fill="D9EEFF" w:val="clear"/>
            <w:tcMar>
              <w:top w:type="dxa" w:w="90"/>
              <w:left w:type="dxa" w:w="110"/>
              <w:bottom w:type="dxa" w:w="90"/>
              <w:right w:type="dxa" w:w="110"/>
            </w:tcMar>
          </w:tcPr>
          <w:p>
            <w:pPr>
              <w:jc w:val="left"/>
            </w:pPr>
            <w:r>
              <w:rPr>
                <w:b w:val="false"/>
                <w:bCs w:val="false"/>
                <w:color w:val="212121"/>
                <w:sz w:val="18"/>
                <w:szCs w:val="18"/>
              </w:rPr>
              <w:t xml:space="preserve">Deployment / version control</w:t>
            </w:r>
          </w:p>
        </w:tc>
        <w:tc>
          <w:tcPr>
            <w:tcW w:type="dxa" w:w="4000"/>
            <w:shd w:fill="D9EEFF" w:val="clear"/>
            <w:tcMar>
              <w:top w:type="dxa" w:w="90"/>
              <w:left w:type="dxa" w:w="110"/>
              <w:bottom w:type="dxa" w:w="90"/>
              <w:right w:type="dxa" w:w="110"/>
            </w:tcMar>
          </w:tcPr>
          <w:p>
            <w:pPr>
              <w:jc w:val="left"/>
            </w:pPr>
            <w:r>
              <w:rPr>
                <w:b w:val="false"/>
                <w:bCs w:val="false"/>
                <w:color w:val="6B6B6B"/>
                <w:sz w:val="18"/>
                <w:szCs w:val="18"/>
              </w:rPr>
              <w:t xml:space="preserve">documentation/07_deployment_and_version_control.md</w:t>
            </w:r>
          </w:p>
        </w:tc>
      </w:tr>
      <w:tr>
        <w:tc>
          <w:tcPr>
            <w:tcW w:type="dxa" w:w="500"/>
            <w:shd w:fill="FFFFFF" w:val="clear"/>
            <w:tcMar>
              <w:top w:type="dxa" w:w="90"/>
              <w:left w:type="dxa" w:w="110"/>
              <w:bottom w:type="dxa" w:w="90"/>
              <w:right w:type="dxa" w:w="110"/>
            </w:tcMar>
          </w:tcPr>
          <w:p>
            <w:pPr>
              <w:jc w:val="center"/>
            </w:pPr>
            <w:r>
              <w:rPr>
                <w:b w:val="false"/>
                <w:bCs w:val="false"/>
                <w:color w:val="293C5B"/>
                <w:sz w:val="18"/>
                <w:szCs w:val="18"/>
              </w:rPr>
              <w:t xml:space="preserve">11</w:t>
            </w:r>
          </w:p>
        </w:tc>
        <w:tc>
          <w:tcPr>
            <w:tcW w:type="dxa" w:w="5200"/>
            <w:shd w:fill="FFFFFF" w:val="clear"/>
            <w:tcMar>
              <w:top w:type="dxa" w:w="90"/>
              <w:left w:type="dxa" w:w="110"/>
              <w:bottom w:type="dxa" w:w="90"/>
              <w:right w:type="dxa" w:w="110"/>
            </w:tcMar>
          </w:tcPr>
          <w:p>
            <w:pPr>
              <w:jc w:val="left"/>
            </w:pPr>
            <w:r>
              <w:rPr>
                <w:b w:val="false"/>
                <w:bCs w:val="false"/>
                <w:color w:val="212121"/>
                <w:sz w:val="18"/>
                <w:szCs w:val="18"/>
              </w:rPr>
              <w:t xml:space="preserve">Fabrication detection</w:t>
            </w:r>
          </w:p>
        </w:tc>
        <w:tc>
          <w:tcPr>
            <w:tcW w:type="dxa" w:w="4000"/>
            <w:shd w:fill="FFFFFF" w:val="clear"/>
            <w:tcMar>
              <w:top w:type="dxa" w:w="90"/>
              <w:left w:type="dxa" w:w="110"/>
              <w:bottom w:type="dxa" w:w="90"/>
              <w:right w:type="dxa" w:w="110"/>
            </w:tcMar>
          </w:tcPr>
          <w:p>
            <w:pPr>
              <w:jc w:val="left"/>
            </w:pPr>
            <w:r>
              <w:rPr>
                <w:b w:val="false"/>
                <w:bCs w:val="false"/>
                <w:color w:val="6B6B6B"/>
                <w:sz w:val="18"/>
                <w:szCs w:val="18"/>
              </w:rPr>
              <w:t xml:space="preserve">documentation/08_fabrication_detection.md</w:t>
            </w:r>
          </w:p>
        </w:tc>
      </w:tr>
      <w:tr>
        <w:tc>
          <w:tcPr>
            <w:tcW w:type="dxa" w:w="500"/>
            <w:shd w:fill="D9EEFF" w:val="clear"/>
            <w:tcMar>
              <w:top w:type="dxa" w:w="90"/>
              <w:left w:type="dxa" w:w="110"/>
              <w:bottom w:type="dxa" w:w="90"/>
              <w:right w:type="dxa" w:w="110"/>
            </w:tcMar>
          </w:tcPr>
          <w:p>
            <w:pPr>
              <w:jc w:val="center"/>
            </w:pPr>
            <w:r>
              <w:rPr>
                <w:b w:val="false"/>
                <w:bCs w:val="false"/>
                <w:color w:val="293C5B"/>
                <w:sz w:val="18"/>
                <w:szCs w:val="18"/>
              </w:rPr>
              <w:t xml:space="preserve">12</w:t>
            </w:r>
          </w:p>
        </w:tc>
        <w:tc>
          <w:tcPr>
            <w:tcW w:type="dxa" w:w="5200"/>
            <w:shd w:fill="D9EEFF" w:val="clear"/>
            <w:tcMar>
              <w:top w:type="dxa" w:w="90"/>
              <w:left w:type="dxa" w:w="110"/>
              <w:bottom w:type="dxa" w:w="90"/>
              <w:right w:type="dxa" w:w="110"/>
            </w:tcMar>
          </w:tcPr>
          <w:p>
            <w:pPr>
              <w:jc w:val="left"/>
            </w:pPr>
            <w:r>
              <w:rPr>
                <w:b w:val="false"/>
                <w:bCs w:val="false"/>
                <w:color w:val="212121"/>
                <w:sz w:val="18"/>
                <w:szCs w:val="18"/>
              </w:rPr>
              <w:t xml:space="preserve">Data protection</w:t>
            </w:r>
          </w:p>
        </w:tc>
        <w:tc>
          <w:tcPr>
            <w:tcW w:type="dxa" w:w="4000"/>
            <w:shd w:fill="D9EEFF" w:val="clear"/>
            <w:tcMar>
              <w:top w:type="dxa" w:w="90"/>
              <w:left w:type="dxa" w:w="110"/>
              <w:bottom w:type="dxa" w:w="90"/>
              <w:right w:type="dxa" w:w="110"/>
            </w:tcMar>
          </w:tcPr>
          <w:p>
            <w:pPr>
              <w:jc w:val="left"/>
            </w:pPr>
            <w:r>
              <w:rPr>
                <w:b w:val="false"/>
                <w:bCs w:val="false"/>
                <w:color w:val="6B6B6B"/>
                <w:sz w:val="18"/>
                <w:szCs w:val="18"/>
              </w:rPr>
              <w:t xml:space="preserve">documentation/09_data_protection.md</w:t>
            </w:r>
          </w:p>
        </w:tc>
      </w:tr>
      <w:tr>
        <w:tc>
          <w:tcPr>
            <w:tcW w:type="dxa" w:w="500"/>
            <w:shd w:fill="FFFFFF" w:val="clear"/>
            <w:tcMar>
              <w:top w:type="dxa" w:w="90"/>
              <w:left w:type="dxa" w:w="110"/>
              <w:bottom w:type="dxa" w:w="90"/>
              <w:right w:type="dxa" w:w="110"/>
            </w:tcMar>
          </w:tcPr>
          <w:p>
            <w:pPr>
              <w:jc w:val="center"/>
            </w:pPr>
            <w:r>
              <w:rPr>
                <w:b w:val="false"/>
                <w:bCs w:val="false"/>
                <w:color w:val="293C5B"/>
                <w:sz w:val="18"/>
                <w:szCs w:val="18"/>
              </w:rPr>
              <w:t xml:space="preserve">13</w:t>
            </w:r>
          </w:p>
        </w:tc>
        <w:tc>
          <w:tcPr>
            <w:tcW w:type="dxa" w:w="5200"/>
            <w:shd w:fill="FFFFFF" w:val="clear"/>
            <w:tcMar>
              <w:top w:type="dxa" w:w="90"/>
              <w:left w:type="dxa" w:w="110"/>
              <w:bottom w:type="dxa" w:w="90"/>
              <w:right w:type="dxa" w:w="110"/>
            </w:tcMar>
          </w:tcPr>
          <w:p>
            <w:pPr>
              <w:jc w:val="left"/>
            </w:pPr>
            <w:r>
              <w:rPr>
                <w:b w:val="false"/>
                <w:bCs w:val="false"/>
                <w:color w:val="212121"/>
                <w:sz w:val="18"/>
                <w:szCs w:val="18"/>
              </w:rPr>
              <w:t xml:space="preserve">Codebook</w:t>
            </w:r>
          </w:p>
        </w:tc>
        <w:tc>
          <w:tcPr>
            <w:tcW w:type="dxa" w:w="4000"/>
            <w:shd w:fill="FFFFFF" w:val="clear"/>
            <w:tcMar>
              <w:top w:type="dxa" w:w="90"/>
              <w:left w:type="dxa" w:w="110"/>
              <w:bottom w:type="dxa" w:w="90"/>
              <w:right w:type="dxa" w:w="110"/>
            </w:tcMar>
          </w:tcPr>
          <w:p>
            <w:pPr>
              <w:jc w:val="left"/>
            </w:pPr>
            <w:r>
              <w:rPr>
                <w:b w:val="false"/>
                <w:bCs w:val="false"/>
                <w:color w:val="6B6B6B"/>
                <w:sz w:val="18"/>
                <w:szCs w:val="18"/>
              </w:rPr>
              <w:t xml:space="preserve">documentation/10_codebook.md</w:t>
            </w:r>
          </w:p>
        </w:tc>
      </w:tr>
      <w:tr>
        <w:tc>
          <w:tcPr>
            <w:tcW w:type="dxa" w:w="500"/>
            <w:shd w:fill="D9EEFF" w:val="clear"/>
            <w:tcMar>
              <w:top w:type="dxa" w:w="90"/>
              <w:left w:type="dxa" w:w="110"/>
              <w:bottom w:type="dxa" w:w="90"/>
              <w:right w:type="dxa" w:w="110"/>
            </w:tcMar>
          </w:tcPr>
          <w:p>
            <w:pPr>
              <w:jc w:val="center"/>
            </w:pPr>
            <w:r>
              <w:rPr>
                <w:b w:val="false"/>
                <w:bCs w:val="false"/>
                <w:color w:val="293C5B"/>
                <w:sz w:val="18"/>
                <w:szCs w:val="18"/>
              </w:rPr>
              <w:t xml:space="preserve">14</w:t>
            </w:r>
          </w:p>
        </w:tc>
        <w:tc>
          <w:tcPr>
            <w:tcW w:type="dxa" w:w="5200"/>
            <w:shd w:fill="D9EEFF" w:val="clear"/>
            <w:tcMar>
              <w:top w:type="dxa" w:w="90"/>
              <w:left w:type="dxa" w:w="110"/>
              <w:bottom w:type="dxa" w:w="90"/>
              <w:right w:type="dxa" w:w="110"/>
            </w:tcMar>
          </w:tcPr>
          <w:p>
            <w:pPr>
              <w:jc w:val="left"/>
            </w:pPr>
            <w:r>
              <w:rPr>
                <w:b w:val="false"/>
                <w:bCs w:val="false"/>
                <w:color w:val="212121"/>
                <w:sz w:val="18"/>
                <w:szCs w:val="18"/>
              </w:rPr>
              <w:t xml:space="preserve">Deliberate scope decisions</w:t>
            </w:r>
          </w:p>
        </w:tc>
        <w:tc>
          <w:tcPr>
            <w:tcW w:type="dxa" w:w="4000"/>
            <w:shd w:fill="D9EEFF" w:val="clear"/>
            <w:tcMar>
              <w:top w:type="dxa" w:w="90"/>
              <w:left w:type="dxa" w:w="110"/>
              <w:bottom w:type="dxa" w:w="90"/>
              <w:right w:type="dxa" w:w="110"/>
            </w:tcMar>
          </w:tcPr>
          <w:p>
            <w:pPr>
              <w:jc w:val="left"/>
            </w:pPr>
            <w:r>
              <w:rPr>
                <w:b w:val="false"/>
                <w:bCs w:val="false"/>
                <w:color w:val="6B6B6B"/>
                <w:sz w:val="18"/>
                <w:szCs w:val="18"/>
              </w:rPr>
              <w:t xml:space="preserve">documentation/11_scope_and_omissions.md</w:t>
            </w:r>
          </w:p>
        </w:tc>
      </w:tr>
    </w:tbl>
    <w:p>
      <w:pPr>
        <w:pStyle w:val="Heading1"/>
        <w:spacing w:after="160" w:before="460"/>
      </w:pPr>
      <w:r>
        <w:t xml:space="preserve">A note on process</w:t>
      </w:r>
    </w:p>
    <w:p>
      <w:pPr>
        <w:spacing w:after="160"/>
      </w:pPr>
      <w:r>
        <w:t xml:space="preserve">This response was produced with AI assistance (Claude, Anthropic), disclosed in full in AI_USE.md, including corrections made during review — most notably an instance where the AI twice attempted to fill the missing-medicine-list gap with substitute content before being explicitly redirected to report the gap instead. That correction, and the live-testing process that found two further real bugs after the form first converted cleanly, are recorded in Q3_Process_and_Design_Record.docx rather than left out of the account.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E64" w:sz="10" w:space="4"/>
      </w:pBdr>
      <w:spacing w:before="60"/>
      <w:jc w:val="center"/>
    </w:pPr>
    <w:r>
      <w:rPr>
        <w:color w:val="6B6B6B"/>
        <w:sz w:val="16"/>
        <w:szCs w:val="16"/>
      </w:rPr>
      <w:t xml:space="preserve">Page </w:t>
    </w:r>
    <w:r>
      <w:rPr>
        <w:b/>
        <w:bCs/>
        <w:color w:val="293C5B"/>
        <w:sz w:val="16"/>
        <w:szCs w:val="16"/>
      </w:rPr>
      <w:fldChar w:fldCharType="begin"/>
      <w:instrText xml:space="preserve">PAGE</w:instrText>
      <w:fldChar w:fldCharType="separate"/>
      <w:fldChar w:fldCharType="end"/>
    </w:r>
    <w:r>
      <w:rPr>
        <w:color w:val="6B6B6B"/>
        <w:sz w:val="16"/>
        <w:szCs w:val="16"/>
      </w:rPr>
      <w:t xml:space="preserve"> of </w:t>
    </w:r>
    <w:r>
      <w:rPr>
        <w:b/>
        <w:bCs/>
        <w:color w:val="293C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0FC" w:sz="6" w:space="4"/>
      </w:pBdr>
      <w:spacing w:after="60"/>
      <w:jc w:val="right"/>
    </w:pPr>
    <w:r>
      <w:rPr>
        <w:b/>
        <w:bCs/>
        <w:color w:val="0056A7"/>
        <w:sz w:val="16"/>
        <w:szCs w:val="16"/>
      </w:rPr>
      <w:t xml:space="preserve">eHealth Africa</w:t>
    </w:r>
    <w:r>
      <w:rPr>
        <w:color w:val="6B6B6B"/>
        <w:sz w:val="16"/>
        <w:szCs w:val="16"/>
      </w:rPr>
      <w:t xml:space="preserve">  ·  Technical Assessment — Response to Question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90FC" w:sz="16" w:space="6"/>
      </w:pBdr>
      <w:spacing w:after="160" w:before="460"/>
    </w:pPr>
    <w:rPr>
      <w:rFonts w:ascii="Georgia" w:cs="Georgia" w:eastAsia="Georgia" w:hAnsi="Georgia"/>
      <w:b/>
      <w:bCs/>
      <w:color w:val="293C5B"/>
      <w:sz w:val="30"/>
      <w:szCs w:val="30"/>
    </w:rPr>
  </w:style>
  <w:style w:type="paragraph" w:styleId="Heading2">
    <w:name w:val="Heading 2"/>
    <w:basedOn w:val="Normal"/>
    <w:next w:val="Normal"/>
    <w:qFormat/>
    <w:pPr>
      <w:spacing w:after="100" w:before="240"/>
    </w:pPr>
    <w:rPr>
      <w:rFonts w:ascii="Georgia" w:cs="Georgia" w:eastAsia="Georgia" w:hAnsi="Georgia"/>
      <w:b/>
      <w:bCs/>
      <w:color w:val="0056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_fuyzghfgrs8t5j38f4p" Type="http://schemas.openxmlformats.org/officeDocument/2006/relationships/hyperlink" Target="https://github.com/umary1063/eHealth_Africa_Senior_Coordinator_GIS_Assessment/tree/main/Q3_Digital_Form_Development" TargetMode="External"/><Relationship Id="rIdua9wguqta0tq5bjjxv9ry" Type="http://schemas.openxmlformats.org/officeDocument/2006/relationships/hyperlink" Target="https://github.com/umary1063/eHealth_Africa_Senior_Coordinator_GIS_Assessment/blob/main/Q3_Digital_Form_Development/form/HH2026_v1.xlsx" TargetMode="External"/><Relationship Id="rIdpmqouogwtuofe37ektqz9" Type="http://schemas.openxmlformats.org/officeDocument/2006/relationships/hyperlink" Target="https://github.com/umary1063/eHealth_Africa_Senior_Coordinator_GIS_Assessment/blob/main/Q3_Digital_Form_Development/form/HH2026_v1.xlsx" TargetMode="External"/><Relationship Id="rIdepdceqncse6iludhannxo" Type="http://schemas.openxmlformats.org/officeDocument/2006/relationships/hyperlink" Target="https://github.com/umary1063/eHealth_Africa_Senior_Coordinator_GIS_Assessment/blob/main/Q3_Digital_Form_Development/conversion/HH2026_v1.xml" TargetMode="External"/><Relationship Id="rIdd_conjbhm1_-f8meom2ya" Type="http://schemas.openxmlformats.org/officeDocument/2006/relationships/hyperlink" Target="https://github.com/umary1063/eHealth_Africa_Senior_Coordinator_GIS_Assessment/blob/main/Q3_Digital_Form_Development/conversion/conversion_log.txt" TargetMode="External"/><Relationship Id="rIdcldvlkqpfmzrolwdcr4jf" Type="http://schemas.openxmlformats.org/officeDocument/2006/relationships/hyperlink" Target="https://github.com/umary1063/eHealth_Africa_Senior_Coordinator_GIS_Assessment/blob/main/Q3_Digital_Form_Development/scripts/build_form.py" TargetMode="External"/><Relationship Id="rIdxtn9hldsbfmk1i3daq5ol" Type="http://schemas.openxmlformats.org/officeDocument/2006/relationships/hyperlink" Target="https://github.com/umary1063/eHealth_Africa_Senior_Coordinator_GIS_Assessment/blob/main/Q3_Digital_Form_Development/constraint_register.csv" TargetMode="External"/><Relationship Id="rIdv8prvhxflgw22f9cla4fg" Type="http://schemas.openxmlformats.org/officeDocument/2006/relationships/hyperlink" Target="https://github.com/umary1063/eHealth_Africa_Senior_Coordinator_GIS_Assessment/blob/main/Q3_Digital_Form_Development/scripts/build_form.py" TargetMode="External"/><Relationship Id="rIdisbnhoqyqidugpifvc0kb" Type="http://schemas.openxmlformats.org/officeDocument/2006/relationships/hyperlink" Target="https://github.com/umary1063/eHealth_Africa_Senior_Coordinator_GIS_Assessment/blob/main/Q3_Digital_Form_Development/documentation/02_sentinel_coding_scheme.md" TargetMode="External"/><Relationship Id="rIdcshhruyjyglbtl4ivswhg" Type="http://schemas.openxmlformats.org/officeDocument/2006/relationships/hyperlink" Target="https://github.com/umary1063/eHealth_Africa_Senior_Coordinator_GIS_Assessment/blob/main/Q3_Digital_Form_Development/constraint_register.csv" TargetMode="External"/><Relationship Id="rIdxwwqwb2xx2hzk5vxuakky" Type="http://schemas.openxmlformats.org/officeDocument/2006/relationships/hyperlink" Target="https://github.com/umary1063/eHealth_Africa_Senior_Coordinator_GIS_Assessment/blob/main/Q3_Digital_Form_Development/documentation/01_defects_report.md" TargetMode="External"/><Relationship Id="rIdmid6ezfq2gbzvhwgxk2il" Type="http://schemas.openxmlformats.org/officeDocument/2006/relationships/hyperlink" Target="https://github.com/umary1063/eHealth_Africa_Senior_Coordinator_GIS_Assessment/blob/main/Q3_Digital_Form_Development/documentation/01_defects_report.md" TargetMode="External"/><Relationship Id="rIdrllv0iw0ybmp2jgppowvp" Type="http://schemas.openxmlformats.org/officeDocument/2006/relationships/hyperlink" Target="https://github.com/umary1063/eHealth_Africa_Senior_Coordinator_GIS_Assessment/blob/main/Q3_Digital_Form_Development/documentation/03_settlement_list_mechanism.md" TargetMode="External"/><Relationship Id="rIdzal_01q6lnojtr6mmhano" Type="http://schemas.openxmlformats.org/officeDocument/2006/relationships/hyperlink" Target="https://github.com/umary1063/eHealth_Africa_Senior_Coordinator_GIS_Assessment/blob/main/Q3_Digital_Form_Development/documentation/04_specimen_label_validation.md" TargetMode="External"/><Relationship Id="rIdbqriqzzx1uyrb1dic3pph" Type="http://schemas.openxmlformats.org/officeDocument/2006/relationships/hyperlink" Target="https://github.com/umary1063/eHealth_Africa_Senior_Coordinator_GIS_Assessment/blob/main/Q3_Digital_Form_Development/scripts/checkdigit_reference.py" TargetMode="External"/><Relationship Id="rIdnkjv7hfwmgsb2ev3gqpwp" Type="http://schemas.openxmlformats.org/officeDocument/2006/relationships/hyperlink" Target="https://github.com/umary1063/eHealth_Africa_Senior_Coordinator_GIS_Assessment/blob/main/Q3_Digital_Form_Development/documentation/05_duplicate_label_detection.md" TargetMode="External"/><Relationship Id="rIdnnnclpwoliou3mfuvab2b" Type="http://schemas.openxmlformats.org/officeDocument/2006/relationships/hyperlink" Target="https://github.com/umary1063/eHealth_Africa_Senior_Coordinator_GIS_Assessment/blob/main/Q3_Digital_Form_Development/test_plan.csv" TargetMode="External"/><Relationship Id="rIdpndi7fjqongu-4glilcff" Type="http://schemas.openxmlformats.org/officeDocument/2006/relationships/hyperlink" Target="https://github.com/umary1063/eHealth_Africa_Senior_Coordinator_GIS_Assessment/blob/main/Q3_Digital_Form_Development/documentation/07_deployment_and_version_control.md" TargetMode="External"/><Relationship Id="rIdrczkefuhz7ymjn6uydyet" Type="http://schemas.openxmlformats.org/officeDocument/2006/relationships/hyperlink" Target="https://github.com/umary1063/eHealth_Africa_Senior_Coordinator_GIS_Assessment/blob/main/Q3_Digital_Form_Development/documentation/08_fabrication_detection.md" TargetMode="External"/><Relationship Id="rIdu6qieuvmw__eki6ocuzu-" Type="http://schemas.openxmlformats.org/officeDocument/2006/relationships/hyperlink" Target="https://github.com/umary1063/eHealth_Africa_Senior_Coordinator_GIS_Assessment/blob/main/Q3_Digital_Form_Development/documentation/09_data_protection.md" TargetMode="External"/><Relationship Id="rIdrwdmx7k3zwv2ssjwftscf" Type="http://schemas.openxmlformats.org/officeDocument/2006/relationships/hyperlink" Target="https://github.com/umary1063/eHealth_Africa_Senior_Coordinator_GIS_Assessment/blob/main/Q3_Digital_Form_Development/documentation/10_codebook.md" TargetMode="External"/><Relationship Id="rId5v6nuokp-q9lnrpb2741g" Type="http://schemas.openxmlformats.org/officeDocument/2006/relationships/hyperlink" Target="https://github.com/umary1063/eHealth_Africa_Senior_Coordinator_GIS_Assessment/blob/main/Q3_Digital_Form_Development/documentation/11_scope_and_omissions.md"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2026-07-31T09:25:08.140Z</dcterms:created>
  <dcterms:modified xsi:type="dcterms:W3CDTF">2026-07-31T09:25:08.141Z</dcterms:modified>
</cp:coreProperties>
</file>

<file path=docProps/custom.xml><?xml version="1.0" encoding="utf-8"?>
<Properties xmlns="http://schemas.openxmlformats.org/officeDocument/2006/custom-properties" xmlns:vt="http://schemas.openxmlformats.org/officeDocument/2006/docPropsVTypes"/>
</file>