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0"/>
          <w:szCs w:val="30"/>
        </w:rPr>
        <w:t xml:space="preserve">Question 5 — Coordinating Delivery Through the Round</w:t>
      </w:r>
    </w:p>
    <w:p>
      <w:pPr>
        <w:spacing w:after="40"/>
      </w:pPr>
      <w:r>
        <w:rPr>
          <w:i/>
          <w:iCs/>
          <w:sz w:val="18"/>
          <w:szCs w:val="18"/>
        </w:rPr>
        <w:t xml:space="preserve">Candidate: Yahaya Umar Muhammad  |  Part 3 (compulsory)  |  Maximum 3 pages</w:t>
      </w:r>
    </w:p>
    <w:p>
      <w:pPr>
        <w:pBdr>
          <w:bottom w:val="single" w:color="999999" w:sz="6" w:space="4"/>
        </w:pBdr>
        <w:spacing w:after="200"/>
      </w:pPr>
      <w:r>
        <w:rPr>
          <w:i/>
          <w:iCs/>
          <w:color w:val="555555"/>
          <w:sz w:val="18"/>
          <w:szCs w:val="18"/>
        </w:rPr>
        <w:t xml:space="preserve">Repository: github.com/umary1063/eHealth_Africa_Senior_Coordinator_GIS_Assessment</w:t>
      </w:r>
    </w:p>
    <w:p>
      <w:pPr>
        <w:spacing w:after="120" w:line="264"/>
      </w:pPr>
      <w:r>
        <w:t xml:space="preserve">Four things land at once on day three of seven. Two are irreversible if mishandled today: a database duplication that compounds with every further edit, and a national-level discrepancy that hardens into a narrative the longer it goes unaddressed. Two are real but tolerate delay: the partner report is due in nine days, and a training-date request can wait for a considered answer. The first twenty-four hours are sequenced by reversibility and compounding cost, not by who raises their issue loudest.</w:t>
      </w:r>
    </w:p>
    <w:p>
      <w:pPr>
        <w:pStyle w:val="Heading2"/>
        <w:spacing w:after="80" w:before="200"/>
      </w:pPr>
      <w:r>
        <w:rPr>
          <w:b/>
          <w:bCs/>
        </w:rPr>
        <w:t xml:space="preserve">1. Sequence of actions in the first 24 hours</w:t>
      </w:r>
    </w:p>
    <w:p>
      <w:pPr>
        <w:spacing w:after="120" w:line="264"/>
      </w:pPr>
      <w:r>
        <w:rPr>
          <w:b/>
          <w:bCs/>
        </w:rPr>
        <w:t xml:space="preserve">Hours 0–2 — freeze, don't fix, the shared database. </w:t>
      </w:r>
      <w:r>
        <w:t xml:space="preserve">New edits to the settlement layer go into a reconciliation hold the moment duplication is flagged — not a rollback. Every additional edit-hour on a layer with unresolved duplicate provenance makes root-causing harder, and deleting duplicates now would destroy the evidence needed to separate a database bug from the coverage discrepancy in item 2.</w:t>
      </w:r>
    </w:p>
    <w:p>
      <w:pPr>
        <w:spacing w:after="120" w:line="264"/>
      </w:pPr>
      <w:r>
        <w:rPr>
          <w:b/>
          <w:bCs/>
        </w:rPr>
        <w:t xml:space="preserve">Hours 0–4, in parallel — get the coverage facts on the table without publishing a number. </w:t>
      </w:r>
      <w:r>
        <w:t xml:space="preserve">I ask the data engineer and the state analyst independently for their source data and derivation steps before comparing the two, so neither anchors on the other's figure.</w:t>
      </w:r>
    </w:p>
    <w:p>
      <w:pPr>
        <w:spacing w:after="120" w:line="264"/>
      </w:pPr>
      <w:r>
        <w:rPr>
          <w:b/>
          <w:bCs/>
        </w:rPr>
        <w:t xml:space="preserve">Hours 2–6 — send a holding statement to national level. </w:t>
      </w:r>
      <w:r>
        <w:t xml:space="preserve">This goes out within hours, not once the cause is known (item 2).</w:t>
      </w:r>
    </w:p>
    <w:p>
      <w:pPr>
        <w:spacing w:after="120" w:line="264"/>
      </w:pPr>
      <w:r>
        <w:rPr>
          <w:b/>
          <w:bCs/>
        </w:rPr>
        <w:t xml:space="preserve">Hours 4–8 — exit conversations with both departing analysts. </w:t>
      </w:r>
      <w:r>
        <w:t xml:space="preserve">Tacit knowledge — contested settlements, which LGA contact actually answers, undocumented workarounds — degrades from the moment resignation is announced. I capture it before the department reorganises around their absence.</w:t>
      </w:r>
    </w:p>
    <w:p>
      <w:pPr>
        <w:spacing w:after="120" w:line="264"/>
      </w:pPr>
      <w:r>
        <w:rPr>
          <w:b/>
          <w:bCs/>
        </w:rPr>
        <w:t xml:space="preserve">Hours 8–24 — stand up the recovery structure. </w:t>
      </w:r>
      <w:r>
        <w:t xml:space="preserve">A technical lead for the database conflict, a technical lead for coverage reconciliation, and confirmed interim coverage of the two vacated states for the rest of this round. Only then do I turn to the partner report and the training-date request.</w:t>
      </w:r>
    </w:p>
    <w:p>
      <w:pPr>
        <w:spacing w:after="120" w:line="264"/>
      </w:pPr>
      <w:r>
        <w:rPr>
          <w:b/>
          <w:bCs/>
        </w:rPr>
        <w:t xml:space="preserve">What I deliberately do not do first: </w:t>
      </w:r>
      <w:r>
        <w:t xml:space="preserve">I do not personally resolve the database conflict or reconcile the coverage figures — someone needs to be doing that technical work while I hold coordination and communication, or everything not directly in front of me stalls, which is the single-point-of-failure problem item 6 asks about directly. I also do not commit to training dates in the first 24 hours beyond acknowledging the request: committing before I know whether two of six state analysts are about to become the delivery bottleneck for the capability commitment in Question 6 risks a promise I may have to break, which costs more than a short, explained delay.</w:t>
      </w:r>
    </w:p>
    <w:p>
      <w:pPr>
        <w:pStyle w:val="Heading2"/>
        <w:spacing w:after="80" w:before="200"/>
      </w:pPr>
      <w:r>
        <w:rPr>
          <w:b/>
          <w:bCs/>
        </w:rPr>
        <w:t xml:space="preserve">2. A single authoritative figure, root cause, and communicating under uncertainty</w:t>
      </w:r>
    </w:p>
    <w:p>
      <w:pPr>
        <w:spacing w:after="120" w:line="264"/>
      </w:pPr>
      <w:r>
        <w:rPr>
          <w:b/>
          <w:bCs/>
        </w:rPr>
        <w:t xml:space="preserve">Authoritative figure. </w:t>
      </w:r>
      <w:r>
        <w:t xml:space="preserve">I designate the pipeline-generated daily coverage product — not a spreadsheet, not the state's own count — as the figure of record, because it is the only one of the three with a reproducible, inspectable derivation, and I say this explicitly to the state and to national level: this is the number we stand behind procedurally, and it may still be wrong, which is why it is being checked.</w:t>
      </w:r>
    </w:p>
    <w:p>
      <w:pPr>
        <w:spacing w:after="120" w:line="264"/>
      </w:pPr>
      <w:r>
        <w:rPr>
          <w:b/>
          <w:bCs/>
        </w:rPr>
        <w:t xml:space="preserve">Root cause, checked in this order, cheapest explanation first: </w:t>
      </w:r>
      <w:r>
        <w:t xml:space="preserve">(i) definitional — same settlement list, same target population, same cutoff time on both sides; (ii) timing — one figure a reporting day behind the other; (iii) the database duplication itself — I specifically check whether the duplicated records fall inside the state and LGA raising the complaint, because a coincidence at this scale is not one I assume away; (iv) genuine state-side reporting error, checked last because it is the explanation most likely to damage the relationship if asserted and wrong.</w:t>
      </w:r>
    </w:p>
    <w:p>
      <w:pPr>
        <w:spacing w:after="120" w:line="264"/>
      </w:pPr>
      <w:r>
        <w:rPr>
          <w:b/>
          <w:bCs/>
        </w:rPr>
        <w:t xml:space="preserve">Communicating before the cause is known. </w:t>
      </w:r>
      <w:r>
        <w:t xml:space="preserve">I state three things to national level and no more: that a discrepancy exists and its size; that a named reconciliation process is underway with a committed update within 24 hours, not a resolution; and that neither figure should be treated as confirmed meanwhile. I do not say which side is more likely right, I do not raise the database bug until I have checked it, and I do not let the window pass in silence — an EOC that hears nothing fills the gap with its own, usually least charitable, theory.</w:t>
      </w:r>
    </w:p>
    <w:p>
      <w:pPr>
        <w:pStyle w:val="Heading2"/>
        <w:spacing w:after="80" w:before="200"/>
      </w:pPr>
      <w:r>
        <w:rPr>
          <w:b/>
          <w:bCs/>
        </w:rPr>
        <w:t xml:space="preserve">3. Concurrent editing without duplication or lost edits</w:t>
      </w:r>
    </w:p>
    <w:p>
      <w:pPr>
        <w:spacing w:after="120" w:line="264"/>
      </w:pPr>
      <w:r>
        <w:t xml:space="preserve">The shared database runs on PostGIS with </w:t>
      </w:r>
      <w:r>
        <w:rPr>
          <w:b/>
          <w:bCs/>
        </w:rPr>
        <w:t xml:space="preserve">GeoGig</w:t>
      </w:r>
      <w:r>
        <w:t xml:space="preserve"> as the versioning layer — open source, purpose-built for this exact problem, and the mechanism is what matters, not the brand. Each analyst edits a personal branch checked out from the central campaign branch, whether in QGIS locally or offline in the field; edits are committed as atomic, attributed changesets rather than applied directly to the shared layer. Merging a branch back triggers a feature-level diff: where two analysts have touched the same feature, the merge is blocked and surfaced as a named conflict for manual resolution rather than silently taking one side — exactly the failure mode that produced today's duplicates, where two analysts wrote to overlapping areas with no merge step between them.</w:t>
      </w:r>
    </w:p>
    <w:p>
      <w:pPr>
        <w:spacing w:after="120" w:line="264"/>
      </w:pPr>
      <w:r>
        <w:rPr>
          <w:b/>
          <w:bCs/>
        </w:rPr>
        <w:t xml:space="preserve">Unique identifiers </w:t>
      </w:r>
      <w:r>
        <w:t xml:space="preserve">are UUIDs minted client-side at feature creation, not database-assigned serials, so two analysts creating features offline in the same window can never collide on identifier before either has seen the other's edits.</w:t>
      </w:r>
    </w:p>
    <w:p>
      <w:pPr>
        <w:spacing w:after="120" w:line="264"/>
      </w:pPr>
      <w:r>
        <w:rPr>
          <w:b/>
          <w:bCs/>
        </w:rPr>
        <w:t xml:space="preserve">Automated validation </w:t>
      </w:r>
      <w:r>
        <w:t xml:space="preserve">runs as a pre-merge gate, not a post-hoc check: geometry validity, correct CRS, ward-containment (a settlement point must fall inside its declared ward), and a duplicate-proximity check must all pass before a branch can merge to campaign. A branch that fails sits in review; it does not get force-merged.</w:t>
      </w:r>
    </w:p>
    <w:p>
      <w:pPr>
        <w:spacing w:after="120" w:line="264"/>
      </w:pPr>
      <w:r>
        <w:rPr>
          <w:b/>
          <w:bCs/>
        </w:rPr>
        <w:t xml:space="preserve">Audit trail </w:t>
      </w:r>
      <w:r>
        <w:t xml:space="preserve">is the commit history itself — every change is attributed, timestamped, and reversible to a prior state, which is what lets me answer who introduced a duplicate and when in minutes rather than days once this is in place.</w:t>
      </w:r>
    </w:p>
    <w:p>
      <w:pPr>
        <w:pStyle w:val="Heading2"/>
        <w:spacing w:after="80" w:before="200"/>
      </w:pPr>
      <w:r>
        <w:rPr>
          <w:b/>
          <w:bCs/>
        </w:rPr>
        <w:t xml:space="preserve">4. Data quality rules: what blocks a change and what flags it</w:t>
      </w:r>
    </w:p>
    <w:p>
      <w:pPr>
        <w:spacing w:after="120" w:line="264"/>
      </w:pPr>
      <w:r>
        <w:rPr>
          <w:b/>
          <w:bCs/>
        </w:rPr>
        <w:t xml:space="preserve">Blocking, because these are objectively wrong regardless of field context: </w:t>
      </w:r>
      <w:r>
        <w:t xml:space="preserve">invalid geometry, a missing or colliding unique ID, a foreign key to a ward or LGA that does not exist, and an exact duplicate (matching name within tolerance of an existing point). There is no cost to stopping these at the gate.</w:t>
      </w:r>
    </w:p>
    <w:p>
      <w:pPr>
        <w:spacing w:after="120" w:line="264"/>
      </w:pPr>
      <w:r>
        <w:rPr>
          <w:b/>
          <w:bCs/>
        </w:rPr>
        <w:t xml:space="preserve">Flagging, because these require judgement about field reality that an automated rule cannot make safely: </w:t>
      </w:r>
      <w:r>
        <w:t xml:space="preserve">a position shifted more than a set distance from the prior version (a GPS correction, or an error), an edit outside expected duty hours, a population or type value that is a statistical outlier but not impossible, and any edit touching a feature another analyst modified in the same window even where the merge succeeded cleanly. Blocking these mid-campaign would stop legitimate field corrections from reaching the shared database during a live round — a cost higher than a flagged edit sitting in review for a day.</w:t>
      </w:r>
    </w:p>
    <w:p>
      <w:pPr>
        <w:pStyle w:val="Heading2"/>
        <w:spacing w:after="80" w:before="200"/>
      </w:pPr>
      <w:r>
        <w:rPr>
          <w:b/>
          <w:bCs/>
        </w:rPr>
        <w:t xml:space="preserve">5. Handover for the two departing analysts</w:t>
      </w:r>
    </w:p>
    <w:p>
      <w:pPr>
        <w:spacing w:after="120" w:line="264"/>
      </w:pPr>
      <w:r>
        <w:rPr>
          <w:b/>
          <w:bCs/>
        </w:rPr>
        <w:t xml:space="preserve">Protected first: </w:t>
      </w:r>
      <w:r>
        <w:t xml:space="preserve">anything that exists only in their heads or on their own devices — informally known contested or inaccessible settlements beyond what the masterlist states, which LGA contact actually responds, and any undocumented workaround to a recurring data problem. This goes onto a structured handover template — not a blank page, so the conversation has shape under time pressure — in the first exit conversation, not the last week of notice.</w:t>
      </w:r>
    </w:p>
    <w:p>
      <w:pPr>
        <w:spacing w:after="120" w:line="264"/>
      </w:pPr>
      <w:r>
        <w:rPr>
          <w:b/>
          <w:bCs/>
        </w:rPr>
        <w:t xml:space="preserve">Accepted as lost: </w:t>
      </w:r>
      <w:r>
        <w:t xml:space="preserve">documentation polish and their personal filing style — a successor needs the same outcomes, not the same habits — and some context that will not transfer in ten days against a live round. That gap is written down as a named, known limitation for the incoming analyst, not hidden by a handover document that looks complete.</w:t>
      </w:r>
    </w:p>
    <w:p>
      <w:pPr>
        <w:spacing w:after="120" w:line="264"/>
      </w:pPr>
      <w:r>
        <w:rPr>
          <w:b/>
          <w:bCs/>
        </w:rPr>
        <w:t xml:space="preserve">Mechanism: </w:t>
      </w:r>
      <w:r>
        <w:t xml:space="preserve">paired shadowing with interim or incoming coverage for whatever notice days overlap with continued field access, and an exit conversation structured around "what breaks in the next four days of this round if you leave today," not a generic knowledge dump.</w:t>
      </w:r>
    </w:p>
    <w:p>
      <w:pPr>
        <w:pStyle w:val="Heading2"/>
        <w:spacing w:after="80" w:before="200"/>
      </w:pPr>
      <w:r>
        <w:rPr>
          <w:b/>
          <w:bCs/>
        </w:rPr>
        <w:t xml:space="preserve">6. Delegating without becoming the single point of failure</w:t>
      </w:r>
    </w:p>
    <w:p>
      <w:pPr>
        <w:spacing w:after="120" w:line="264"/>
      </w:pPr>
      <w:r>
        <w:t xml:space="preserve">I assign named technical leads by workstream, not by title: one owns database conflict resolution, one owns coverage reconciliation, one owns liaison with the counterpart agency on training dates. I personally hold only national-level communication and the decision on which analysts cover the vacated states. Each lead has explicit authority to decide and merge within their workstream without routing through me first.</w:t>
      </w:r>
    </w:p>
    <w:p>
      <w:pPr>
        <w:spacing w:after="120" w:line="264"/>
      </w:pPr>
      <w:r>
        <w:t xml:space="preserve">Quality supervision is by exception: the validation gate and audit trail in item 3 mean I review flagged items and merge conflicts, not every edit, and a short daily sync with the three leads surfaces what needs my decision rather than requiring my constant availability. The answer to not becoming the bottleneck is the same whenever a team outgrows one coordinator's bandwidth — build the checking into the system, and reserve personal attention for what the system flags as exceptional.</w:t>
      </w:r>
    </w:p>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2026-07-31T10:08:43.418Z</dcterms:created>
  <dcterms:modified xsi:type="dcterms:W3CDTF">2026-07-31T10:08:43.420Z</dcterms:modified>
</cp:coreProperties>
</file>

<file path=docProps/custom.xml><?xml version="1.0" encoding="utf-8"?>
<Properties xmlns="http://schemas.openxmlformats.org/officeDocument/2006/custom-properties" xmlns:vt="http://schemas.openxmlformats.org/officeDocument/2006/docPropsVTypes"/>
</file>