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0"/>
          <w:szCs w:val="30"/>
        </w:rPr>
        <w:t xml:space="preserve">Question 6 — Building Capability in the Counterpart Agency</w:t>
      </w:r>
    </w:p>
    <w:p>
      <w:pPr>
        <w:spacing w:after="40"/>
      </w:pPr>
      <w:r>
        <w:rPr>
          <w:i/>
          <w:iCs/>
          <w:sz w:val="18"/>
          <w:szCs w:val="18"/>
        </w:rPr>
        <w:t xml:space="preserve">Candidate: Yahaya Umar Muhammad  |  Part 3 (compulsory)  |  Maximum 6 pages excluding annexes</w:t>
      </w:r>
    </w:p>
    <w:p>
      <w:pPr>
        <w:pBdr>
          <w:bottom w:val="single" w:color="999999" w:sz="6" w:space="4"/>
        </w:pBdr>
        <w:spacing w:after="200"/>
      </w:pPr>
      <w:r>
        <w:rPr>
          <w:i/>
          <w:iCs/>
          <w:color w:val="555555"/>
          <w:sz w:val="18"/>
          <w:szCs w:val="18"/>
        </w:rPr>
        <w:t xml:space="preserve">Repository: github.com/umary1063/eHealth_Africa_Senior_Coordinator_GIS_Assessment</w:t>
      </w:r>
    </w:p>
    <w:p>
      <w:pPr>
        <w:pStyle w:val="Heading1"/>
        <w:spacing w:after="100" w:before="280"/>
      </w:pPr>
      <w:r>
        <w:rPr>
          <w:b/>
          <w:bCs/>
        </w:rPr>
        <w:t xml:space="preserve">a. Interpreting the evidence before designing anything</w:t>
      </w:r>
    </w:p>
    <w:p>
      <w:pPr>
        <w:spacing w:after="110" w:line="258"/>
      </w:pPr>
      <w:r>
        <w:t xml:space="preserve">A self-rating-to-tested-knowledge correlation of 0.11 means the department's own sense of what it needs is not a usable needs-assessment input on its own — a module list built from "what do you want to learn" would be built on noise, and the near-universal stated demand across every competency area confirms it: when everyone says they want everything, stated demand carries no discriminating information. I do not discard self-report; I use the objective 12-item test and observed behaviour as the primary input to sequencing, and treat self-report only as a signal about confidence and morale, which matters for the first hour in the room but not for curriculum content.</w:t>
      </w:r>
    </w:p>
    <w:p>
      <w:pPr>
        <w:spacing w:after="110" w:line="258"/>
      </w:pPr>
      <w:r>
        <w:t xml:space="preserve">It also changes how I open the room. A group whose self-assessment is uncorrelated with a 57 per cent mean objective score and a 36-out-of-100 composite includes people who believe, in good faith, that they are already competent. Presenting the numbers cold, individually, or as a deficiency finding risks defensiveness that closes the room before teaching starts. I open day one with the aggregate, anonymised result, framed explicitly as the shared starting point the course was built around — not an individual finding. Each participant's own pre-test score is returned to them privately alongside their post-test on day five, so the comparison that matters to them is their own before-and-after, not a ranking against colleagues.</w:t>
      </w:r>
    </w:p>
    <w:p>
      <w:pPr>
        <w:spacing w:after="110" w:line="258"/>
      </w:pPr>
      <w:r>
        <w:t xml:space="preserve">Zero of twenty-one respondents having access to QGIS or ArcGIS is the binding constraint on the whole programme, not a footnote to it. Curriculum quality is not the limiting factor: a perfectly designed five-day course produces nothing durable if trainees return to desks with no GIS software, because there is no way to practise, make the mistakes that build real competence, or apply anything to departmental work in the ninety days that follow. I treat removing this constraint as a prerequisite deliverable. QGIS is open source and free to install, so day one's first practical activity is installing it on every participant's own department machine — solving the part of the constraint that sits inside the training programme's own control. Licensing-gated tools, server access, or data procurement sit outside that control, and I flag them to programme leadership explicitly as a parallel workstream the training cannot substitute for.</w:t>
      </w:r>
    </w:p>
    <w:p>
      <w:pPr>
        <w:pStyle w:val="Heading1"/>
        <w:spacing w:after="100" w:before="280"/>
      </w:pPr>
      <w:r>
        <w:rPr>
          <w:b/>
          <w:bCs/>
        </w:rPr>
        <w:t xml:space="preserve">b. Competency framework</w:t>
      </w:r>
    </w:p>
    <w:p>
      <w:pPr>
        <w:spacing w:after="110" w:line="258"/>
      </w:pPr>
      <w:r>
        <w:t xml:space="preserve">A generic beginner / intermediate / advanced scale cannot separate "cannot do the task" from "can do it with the manual open" from "did it correctly, unsupervised" — and that distinction is the whole design problem here. The weakest measured competency, documenting a reproducible workflow, scored 1.5 out of 5; a beginner label tells me nothing about what a 1.5 can and cannot yet do. Four levels, each anchored to an observable behaviour across five competency domains, are set out in full in </w:t>
      </w:r>
      <w:r>
        <w:rPr>
          <w:i/>
          <w:iCs/>
        </w:rPr>
        <w:t xml:space="preserve">Annex A</w:t>
      </w:r>
      <w:r>
        <w:t xml:space="preserve">. The evidenced starting point — a composite of 36 against an objective mean of 57 per cent — puts most of the cohort below a defended Level 2 in every domain, which is where the course has to start, not where it would be more interesting to start.</w:t>
      </w:r>
    </w:p>
    <w:p>
      <w:pPr>
        <w:pStyle w:val="Heading1"/>
        <w:spacing w:after="100" w:before="280"/>
      </w:pPr>
      <w:r>
        <w:rPr>
          <w:b/>
          <w:bCs/>
        </w:rPr>
        <w:t xml:space="preserve">c. Five-day course design</w:t>
      </w:r>
    </w:p>
    <w:p>
      <w:pPr>
        <w:spacing w:after="110" w:line="258"/>
      </w:pPr>
      <w:r>
        <w:t xml:space="preserve">Given a composite score of 36 and zero baseline tool access, the course is built to move the cohort from below Level 1 to a defended Level 2 in a small number of domains, rather than to a shallow pass through every domain the group says it wants. Hands-on time is 80 per cent of scheduled time; direct instruction runs in blocks no longer than 25 minutes, each followed immediately by practice, because a cohort scoring this low retains procedural skill from doing, not from listening.</w:t>
      </w:r>
    </w:p>
    <w:p>
      <w:pPr>
        <w:spacing w:after="110" w:line="258"/>
      </w:pPr>
      <w:r>
        <w:rPr>
          <w:b/>
          <w:bCs/>
        </w:rPr>
        <w:t xml:space="preserve">Day 1 — Environment and foundations. </w:t>
      </w:r>
      <w:r>
        <w:rPr>
          <w:i/>
          <w:iCs/>
        </w:rPr>
        <w:t xml:space="preserve">Outcome: </w:t>
      </w:r>
      <w:r>
        <w:t xml:space="preserve">unsupervised, participants open QGIS, load a provided dataset, and describe what they are looking at (remember/understand, moving into apply). Morning: install QGIS on every participant's own machine — the course's direct answer to the access constraint, done first so four more days of practice are possible on it. Afternoon: guided walkthrough of the department's own settlement-type data, deliberately carrying real naming and coordinate defects, so day five's capstone is credible rather than a clean-data fiction. Pre-test administered at the start of the day, framed as a baseline calibration exercise, not an exam.</w:t>
      </w:r>
    </w:p>
    <w:p>
      <w:pPr>
        <w:spacing w:after="110" w:line="258"/>
      </w:pPr>
      <w:r>
        <w:rPr>
          <w:b/>
          <w:bCs/>
        </w:rPr>
        <w:t xml:space="preserve">Day 2 — Data handling, QA, and reproducible documentation. </w:t>
      </w:r>
      <w:r>
        <w:rPr>
          <w:i/>
          <w:iCs/>
        </w:rPr>
        <w:t xml:space="preserve">Outcome: </w:t>
      </w:r>
      <w:r>
        <w:t xml:space="preserve">participants clean a messy dataset and produce a written log sufficient for a colleague to repeat it (apply, aimed directly at the weakest measured competency). This is the session developed in full in </w:t>
      </w:r>
      <w:r>
        <w:rPr>
          <w:i/>
          <w:iCs/>
        </w:rPr>
        <w:t xml:space="preserve">Annex B</w:t>
      </w:r>
      <w:r>
        <w:t xml:space="preserve">.</w:t>
      </w:r>
    </w:p>
    <w:p>
      <w:pPr>
        <w:spacing w:after="110" w:line="258"/>
      </w:pPr>
      <w:r>
        <w:rPr>
          <w:b/>
          <w:bCs/>
        </w:rPr>
        <w:t xml:space="preserve">Day 3 — Cartography and map production. </w:t>
      </w:r>
      <w:r>
        <w:rPr>
          <w:i/>
          <w:iCs/>
        </w:rPr>
        <w:t xml:space="preserve">Outcome: </w:t>
      </w:r>
      <w:r>
        <w:t xml:space="preserve">a correctly classified, correctly projected map with the elements required for a Nigerian audience (apply/analyse). Sequenced third deliberately: it is the cohort's strongest stated demand and the most visibly rewarding skill, and placing it mid-week sustains motivation once the less immediately gratifying documentation work is behind them — but it is taught anchored to classification and projection correctness, not decoration, so it does not become the one thing recalled the way a writing-heavy exercise can crowd out substance.</w:t>
      </w:r>
    </w:p>
    <w:p>
      <w:pPr>
        <w:spacing w:after="110" w:line="258"/>
      </w:pPr>
      <w:r>
        <w:rPr>
          <w:b/>
          <w:bCs/>
        </w:rPr>
        <w:t xml:space="preserve">Day 4 — Basic spatial analysis on a real departmental question. </w:t>
      </w:r>
      <w:r>
        <w:rPr>
          <w:i/>
          <w:iCs/>
        </w:rPr>
        <w:t xml:space="preserve">Outcome: </w:t>
      </w:r>
      <w:r>
        <w:t xml:space="preserve">a join or buffer-based proximity analysis tied to an actual departmental deliverable, and one sentence stating what the result does and does not show (apply/analyse). Kept deliberately basic — see (d).</w:t>
      </w:r>
    </w:p>
    <w:p>
      <w:pPr>
        <w:spacing w:after="110" w:line="258"/>
      </w:pPr>
      <w:r>
        <w:rPr>
          <w:b/>
          <w:bCs/>
        </w:rPr>
        <w:t xml:space="preserve">Day 5 — Capstone and consolidation. </w:t>
      </w:r>
      <w:r>
        <w:rPr>
          <w:i/>
          <w:iCs/>
        </w:rPr>
        <w:t xml:space="preserve">Outcome: </w:t>
      </w:r>
      <w:r>
        <w:t xml:space="preserve">participants independently repeat, from raw data, a small documented workflow combining days two to four, and each pair peer-reviews the other's documentation against the day-two standard — a Level 3 behaviour. Post-test uses the identical item set as the pre-test (</w:t>
      </w:r>
      <w:r>
        <w:rPr>
          <w:i/>
          <w:iCs/>
        </w:rPr>
        <w:t xml:space="preserve">Annex C</w:t>
      </w:r>
      <w:r>
        <w:t xml:space="preserve">), followed by the 90-day plan in (g), so the course does not end at a certificate.</w:t>
      </w:r>
    </w:p>
    <w:p>
      <w:pPr>
        <w:pStyle w:val="Heading1"/>
        <w:spacing w:after="100" w:before="280"/>
      </w:pPr>
      <w:r>
        <w:rPr>
          <w:b/>
          <w:bCs/>
        </w:rPr>
        <w:t xml:space="preserve">d. What I am deliberately not teaching, and why</w:t>
      </w:r>
    </w:p>
    <w:p>
      <w:pPr>
        <w:spacing w:after="110" w:line="258"/>
      </w:pPr>
      <w:r>
        <w:t xml:space="preserve">I am not teaching spatial statistics, remote sensing, web mapping, or automation and scripting in this course. A five-day course promising all four to a cohort scoring 36 out of 100 is a design failure, and the evidence here is stronger than a general caution: a self-rating-to-tested-knowledge correlation of 0.11 means I cannot trust the cohort's own sense of readiness for advanced content, and the weakest measured competency is the most foundational item on the list, not a specialised one. Teaching automation to a department that cannot yet document a manual workflow reproducibly would not transfer — it would produce five days of content recall and no change in what the department reliably delivers afterward. These four areas are named explicitly to programme leadership as Phase 2 candidates, conditional on the software-access constraint being resolved outside the training budget, and on the 90-day follow-up in (g) showing the cohort has reached a defended Level 2 in the foundational domains taught here.</w:t>
      </w:r>
    </w:p>
    <w:p>
      <w:pPr>
        <w:pStyle w:val="Heading1"/>
        <w:spacing w:after="100" w:before="280"/>
      </w:pPr>
      <w:r>
        <w:rPr>
          <w:b/>
          <w:bCs/>
        </w:rPr>
        <w:t xml:space="preserve">e. Ninety-minute session, developed in full</w:t>
      </w:r>
    </w:p>
    <w:p>
      <w:pPr>
        <w:spacing w:after="110" w:line="258"/>
      </w:pPr>
      <w:r>
        <w:t xml:space="preserve">Provided in full as </w:t>
      </w:r>
      <w:r>
        <w:rPr>
          <w:i/>
          <w:iCs/>
        </w:rPr>
        <w:t xml:space="preserve">Annex B</w:t>
      </w:r>
      <w:r>
        <w:t xml:space="preserve">: "From a Messy Settlement List to a Documented, Reproducible Workflow" (day two). Includes a facilitator guide with minute-by-minute timing, the participant exercise brief, the specification of the deliberately imperfect dataset used, a model answer, and the specific errors expected from participants with the intervention for each.</w:t>
      </w:r>
    </w:p>
    <w:p>
      <w:pPr>
        <w:pStyle w:val="Heading1"/>
        <w:spacing w:after="100" w:before="280"/>
      </w:pPr>
      <w:r>
        <w:rPr>
          <w:b/>
          <w:bCs/>
        </w:rPr>
        <w:t xml:space="preserve">f. Pre- and post-assessment instrument</w:t>
      </w:r>
    </w:p>
    <w:p>
      <w:pPr>
        <w:spacing w:after="110" w:line="258"/>
      </w:pPr>
      <w:r>
        <w:t xml:space="preserve">The instrument is a 12-item practical skills checklist — matched in item count to the objective knowledge test already administered, so the two are comparable in scope — administered as an observed task, not a written quiz, because the requirement is demonstrated capability, not recall or confidence. Each item is scored 0 (cannot attempt), 1 (completes with facilitator prompting), or 2 (completes correctly, unsupervised, within a set time), watched live by the facilitator on the participant's own machine, using the same rubric at both administrations so the scores are comparable. The full item set and rubric are </w:t>
      </w:r>
      <w:r>
        <w:rPr>
          <w:i/>
          <w:iCs/>
        </w:rPr>
        <w:t xml:space="preserve">Annex C</w:t>
      </w:r>
      <w:r>
        <w:t xml:space="preserve">. Pre-test runs day one morning before any instruction, framed as calibration rather than exam, for the reason given in (a). Post-test uses the identical item set on day five afternoon. A third administration, using the same instrument, runs at the 90-day mark in the field — see (g) — because a course-end score only tells me whether the training worked in the training room.</w:t>
      </w:r>
    </w:p>
    <w:p>
      <w:pPr>
        <w:pStyle w:val="Heading1"/>
        <w:spacing w:after="100" w:before="280"/>
      </w:pPr>
      <w:r>
        <w:rPr>
          <w:b/>
          <w:bCs/>
        </w:rPr>
        <w:t xml:space="preserve">g. Ninety-day plan</w:t>
      </w:r>
    </w:p>
    <w:p>
      <w:pPr>
        <w:spacing w:after="110" w:line="258"/>
      </w:pPr>
      <w:r>
        <w:rPr>
          <w:b/>
          <w:bCs/>
        </w:rPr>
        <w:t xml:space="preserve">Weeks 1–2: </w:t>
      </w:r>
      <w:r>
        <w:t xml:space="preserve">confirm the day-one QGIS installation has survived the department's normal IT reset cycle — a real risk on shared or reimaged machines — and escalate the broader software-access question to programme leadership as a procurement item the training cannot substitute for, naming one internal power-user per participating unit as a peer-support point in the meantime.</w:t>
      </w:r>
    </w:p>
    <w:p>
      <w:pPr>
        <w:spacing w:after="110" w:line="258"/>
      </w:pPr>
      <w:r>
        <w:rPr>
          <w:b/>
          <w:bCs/>
        </w:rPr>
        <w:t xml:space="preserve">Weeks 2–8: </w:t>
      </w:r>
      <w:r>
        <w:t xml:space="preserve">each participant is assigned two real, low-stakes departmental tasks using the day two to four skills against actual departmental data, not a hypothetical exercise, reviewed by a named mentor against the Annex A observable behaviours rather than against a satisfaction measure.</w:t>
      </w:r>
    </w:p>
    <w:p>
      <w:pPr>
        <w:spacing w:after="110" w:line="258"/>
      </w:pPr>
      <w:r>
        <w:rPr>
          <w:b/>
          <w:bCs/>
        </w:rPr>
        <w:t xml:space="preserve">Day 30, 60, 90: </w:t>
      </w:r>
      <w:r>
        <w:t xml:space="preserve">the same 12-item practical instrument from (f) is re-administered on real work, not a lab exercise, producing a transfer measure the training-end score cannot: the proportion of participants who have moved from below Level 2 to a defended, mentor-verified Level 2 or above on the foundational domains, applied to actual departmental output. This is the number reported against the contractual capability commitment — not attendance, and not a satisfaction score. A training that was enjoyed and a department that can independently produce a documented, reproducible output are not the same finding, and only the second is what was contracted for.</w:t>
      </w:r>
    </w:p>
    <w:p>
      <w:pPr>
        <w:pageBreakBefore/>
        <w:spacing w:after="60"/>
      </w:pPr>
      <w:r>
        <w:rPr>
          <w:b/>
          <w:bCs/>
          <w:sz w:val="26"/>
          <w:szCs w:val="26"/>
        </w:rPr>
        <w:t xml:space="preserve">Annex A — Competency Framework</w:t>
      </w:r>
    </w:p>
    <w:p>
      <w:pPr>
        <w:spacing w:after="110" w:line="258"/>
      </w:pPr>
      <w:r>
        <w:rPr>
          <w:i/>
          <w:iCs/>
        </w:rPr>
        <w:t xml:space="preserve">Five domains — data handling &amp; QA, reproducible documentation, cartography &amp; map production, basic spatial analysis, and communication of results — are each assessed against the same four levels. Data handling, documentation, and cartography/analysis are shown in full below; communication of results uses the same anchor definitions applied to a results memo rather than a map or a script.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0"/>
            <w:shd w:fill="DDDDDD" w:val="clear"/>
            <w:tcMar>
              <w:top w:type="dxa" w:w="60"/>
              <w:left w:type="dxa" w:w="80"/>
              <w:bottom w:type="dxa" w:w="60"/>
              <w:right w:type="dxa" w:w="80"/>
            </w:tcMar>
          </w:tcPr>
          <w:p>
            <w:pPr>
              <w:spacing w:after="0" w:line="240"/>
            </w:pPr>
            <w:r>
              <w:rPr>
                <w:b/>
                <w:bCs/>
                <w:sz w:val="18"/>
                <w:szCs w:val="18"/>
              </w:rPr>
              <w:t xml:space="preserve">Level</w:t>
            </w:r>
          </w:p>
        </w:tc>
        <w:tc>
          <w:tcPr>
            <w:tcW w:type="dxa" w:w="2450"/>
            <w:shd w:fill="DDDDDD" w:val="clear"/>
            <w:tcMar>
              <w:top w:type="dxa" w:w="60"/>
              <w:left w:type="dxa" w:w="80"/>
              <w:bottom w:type="dxa" w:w="60"/>
              <w:right w:type="dxa" w:w="80"/>
            </w:tcMar>
          </w:tcPr>
          <w:p>
            <w:pPr>
              <w:spacing w:after="0" w:line="240"/>
            </w:pPr>
            <w:r>
              <w:rPr>
                <w:b/>
                <w:bCs/>
                <w:sz w:val="18"/>
                <w:szCs w:val="18"/>
              </w:rPr>
              <w:t xml:space="preserve">Behavioural anchor</w:t>
            </w:r>
          </w:p>
        </w:tc>
        <w:tc>
          <w:tcPr>
            <w:tcW w:type="dxa" w:w="2265"/>
            <w:shd w:fill="DDDDDD" w:val="clear"/>
            <w:tcMar>
              <w:top w:type="dxa" w:w="60"/>
              <w:left w:type="dxa" w:w="80"/>
              <w:bottom w:type="dxa" w:w="60"/>
              <w:right w:type="dxa" w:w="80"/>
            </w:tcMar>
          </w:tcPr>
          <w:p>
            <w:pPr>
              <w:spacing w:after="0" w:line="240"/>
            </w:pPr>
            <w:r>
              <w:rPr>
                <w:b/>
                <w:bCs/>
                <w:sz w:val="18"/>
                <w:szCs w:val="18"/>
              </w:rPr>
              <w:t xml:space="preserve">Data handling &amp; QA</w:t>
            </w:r>
          </w:p>
        </w:tc>
        <w:tc>
          <w:tcPr>
            <w:tcW w:type="dxa" w:w="2265"/>
            <w:shd w:fill="DDDDDD" w:val="clear"/>
            <w:tcMar>
              <w:top w:type="dxa" w:w="60"/>
              <w:left w:type="dxa" w:w="80"/>
              <w:bottom w:type="dxa" w:w="60"/>
              <w:right w:type="dxa" w:w="80"/>
            </w:tcMar>
          </w:tcPr>
          <w:p>
            <w:pPr>
              <w:spacing w:after="0" w:line="240"/>
            </w:pPr>
            <w:r>
              <w:rPr>
                <w:b/>
                <w:bCs/>
                <w:sz w:val="18"/>
                <w:szCs w:val="18"/>
              </w:rPr>
              <w:t xml:space="preserve">Reproducible documentation</w:t>
            </w:r>
          </w:p>
        </w:tc>
        <w:tc>
          <w:tcPr>
            <w:tcW w:type="dxa" w:w="2200"/>
            <w:shd w:fill="DDDDDD" w:val="clear"/>
            <w:tcMar>
              <w:top w:type="dxa" w:w="60"/>
              <w:left w:type="dxa" w:w="80"/>
              <w:bottom w:type="dxa" w:w="60"/>
              <w:right w:type="dxa" w:w="80"/>
            </w:tcMar>
          </w:tcPr>
          <w:p>
            <w:pPr>
              <w:spacing w:after="0" w:line="240"/>
            </w:pPr>
            <w:r>
              <w:rPr>
                <w:b/>
                <w:bCs/>
                <w:sz w:val="18"/>
                <w:szCs w:val="18"/>
              </w:rPr>
              <w:t xml:space="preserve">Cartography &amp; spatial analysis</w:t>
            </w:r>
          </w:p>
        </w:tc>
      </w:tr>
      <w:tr>
        <w:tc>
          <w:tcPr>
            <w:tcW w:type="dxa" w:w="900"/>
            <w:tcMar>
              <w:top w:type="dxa" w:w="60"/>
              <w:left w:type="dxa" w:w="80"/>
              <w:bottom w:type="dxa" w:w="60"/>
              <w:right w:type="dxa" w:w="80"/>
            </w:tcMar>
          </w:tcPr>
          <w:p>
            <w:pPr>
              <w:spacing w:after="0" w:line="240"/>
            </w:pPr>
            <w:r>
              <w:rPr>
                <w:b w:val="false"/>
                <w:bCs w:val="false"/>
                <w:sz w:val="18"/>
                <w:szCs w:val="18"/>
              </w:rPr>
              <w:t xml:space="preserve">1
Guided execution</w:t>
            </w:r>
          </w:p>
        </w:tc>
        <w:tc>
          <w:tcPr>
            <w:tcW w:type="dxa" w:w="2450"/>
            <w:tcMar>
              <w:top w:type="dxa" w:w="60"/>
              <w:left w:type="dxa" w:w="80"/>
              <w:bottom w:type="dxa" w:w="60"/>
              <w:right w:type="dxa" w:w="80"/>
            </w:tcMar>
          </w:tcPr>
          <w:p>
            <w:pPr>
              <w:spacing w:after="0" w:line="240"/>
            </w:pPr>
            <w:r>
              <w:rPr>
                <w:b w:val="false"/>
                <w:bCs w:val="false"/>
                <w:sz w:val="18"/>
                <w:szCs w:val="18"/>
              </w:rPr>
              <w:t xml:space="preserve">Completes a named task correctly only while following a written, step-by-step procedure and a working example file. Cannot tell, unprompted, that own output is wrong.</w:t>
            </w:r>
          </w:p>
        </w:tc>
        <w:tc>
          <w:tcPr>
            <w:tcW w:type="dxa" w:w="2265"/>
            <w:tcMar>
              <w:top w:type="dxa" w:w="60"/>
              <w:left w:type="dxa" w:w="80"/>
              <w:bottom w:type="dxa" w:w="60"/>
              <w:right w:type="dxa" w:w="80"/>
            </w:tcMar>
          </w:tcPr>
          <w:p>
            <w:pPr>
              <w:spacing w:after="0" w:line="240"/>
            </w:pPr>
            <w:r>
              <w:rPr>
                <w:b w:val="false"/>
                <w:bCs w:val="false"/>
                <w:sz w:val="18"/>
                <w:szCs w:val="18"/>
              </w:rPr>
              <w:t xml:space="preserve">Cleans a dataset by copying steps from a demonstration; cannot say which step fixed which problem.</w:t>
            </w:r>
          </w:p>
        </w:tc>
        <w:tc>
          <w:tcPr>
            <w:tcW w:type="dxa" w:w="2265"/>
            <w:tcMar>
              <w:top w:type="dxa" w:w="60"/>
              <w:left w:type="dxa" w:w="80"/>
              <w:bottom w:type="dxa" w:w="60"/>
              <w:right w:type="dxa" w:w="80"/>
            </w:tcMar>
          </w:tcPr>
          <w:p>
            <w:pPr>
              <w:spacing w:after="0" w:line="240"/>
            </w:pPr>
            <w:r>
              <w:rPr>
                <w:b w:val="false"/>
                <w:bCs w:val="false"/>
                <w:sz w:val="18"/>
                <w:szCs w:val="18"/>
              </w:rPr>
              <w:t xml:space="preserve">Produces no written record of what was done, or a record too incomplete for anyone else to follow.</w:t>
            </w:r>
          </w:p>
        </w:tc>
        <w:tc>
          <w:tcPr>
            <w:tcW w:type="dxa" w:w="2200"/>
            <w:tcMar>
              <w:top w:type="dxa" w:w="60"/>
              <w:left w:type="dxa" w:w="80"/>
              <w:bottom w:type="dxa" w:w="60"/>
              <w:right w:type="dxa" w:w="80"/>
            </w:tcMar>
          </w:tcPr>
          <w:p>
            <w:pPr>
              <w:spacing w:after="0" w:line="240"/>
            </w:pPr>
            <w:r>
              <w:rPr>
                <w:b w:val="false"/>
                <w:bCs w:val="false"/>
                <w:sz w:val="18"/>
                <w:szCs w:val="18"/>
              </w:rPr>
              <w:t xml:space="preserve">Reproduces a demonstrated map exactly; cannot choose classification or projection without being told which.</w:t>
            </w:r>
          </w:p>
        </w:tc>
      </w:tr>
      <w:tr>
        <w:tc>
          <w:tcPr>
            <w:tcW w:type="dxa" w:w="900"/>
            <w:tcMar>
              <w:top w:type="dxa" w:w="60"/>
              <w:left w:type="dxa" w:w="80"/>
              <w:bottom w:type="dxa" w:w="60"/>
              <w:right w:type="dxa" w:w="80"/>
            </w:tcMar>
          </w:tcPr>
          <w:p>
            <w:pPr>
              <w:spacing w:after="0" w:line="240"/>
            </w:pPr>
            <w:r>
              <w:rPr>
                <w:b w:val="false"/>
                <w:bCs w:val="false"/>
                <w:sz w:val="18"/>
                <w:szCs w:val="18"/>
              </w:rPr>
              <w:t xml:space="preserve">2
Independent execution</w:t>
            </w:r>
          </w:p>
        </w:tc>
        <w:tc>
          <w:tcPr>
            <w:tcW w:type="dxa" w:w="2450"/>
            <w:tcMar>
              <w:top w:type="dxa" w:w="60"/>
              <w:left w:type="dxa" w:w="80"/>
              <w:bottom w:type="dxa" w:w="60"/>
              <w:right w:type="dxa" w:w="80"/>
            </w:tcMar>
          </w:tcPr>
          <w:p>
            <w:pPr>
              <w:spacing w:after="0" w:line="240"/>
            </w:pPr>
            <w:r>
              <w:rPr>
                <w:b w:val="false"/>
                <w:bCs w:val="false"/>
                <w:sz w:val="18"/>
                <w:szCs w:val="18"/>
              </w:rPr>
              <w:t xml:space="preserve">Completes a standard task unsupervised from a stated objective, not a step list, and stops to check when output looks implausible.</w:t>
            </w:r>
          </w:p>
        </w:tc>
        <w:tc>
          <w:tcPr>
            <w:tcW w:type="dxa" w:w="2265"/>
            <w:tcMar>
              <w:top w:type="dxa" w:w="60"/>
              <w:left w:type="dxa" w:w="80"/>
              <w:bottom w:type="dxa" w:w="60"/>
              <w:right w:type="dxa" w:w="80"/>
            </w:tcMar>
          </w:tcPr>
          <w:p>
            <w:pPr>
              <w:spacing w:after="0" w:line="240"/>
            </w:pPr>
            <w:r>
              <w:rPr>
                <w:b w:val="false"/>
                <w:bCs w:val="false"/>
                <w:sz w:val="18"/>
                <w:szCs w:val="18"/>
              </w:rPr>
              <w:t xml:space="preserve">Given a raw file and an objective, cleans it to a stated standard and flags records that do not fit.</w:t>
            </w:r>
          </w:p>
        </w:tc>
        <w:tc>
          <w:tcPr>
            <w:tcW w:type="dxa" w:w="2265"/>
            <w:tcMar>
              <w:top w:type="dxa" w:w="60"/>
              <w:left w:type="dxa" w:w="80"/>
              <w:bottom w:type="dxa" w:w="60"/>
              <w:right w:type="dxa" w:w="80"/>
            </w:tcMar>
          </w:tcPr>
          <w:p>
            <w:pPr>
              <w:spacing w:after="0" w:line="240"/>
            </w:pPr>
            <w:r>
              <w:rPr>
                <w:b w:val="false"/>
                <w:bCs w:val="false"/>
                <w:sz w:val="18"/>
                <w:szCs w:val="18"/>
              </w:rPr>
              <w:t xml:space="preserve">Writes a log of the cleaning steps taken; the log covers what was done but assumes reader familiarity with the data.</w:t>
            </w:r>
          </w:p>
        </w:tc>
        <w:tc>
          <w:tcPr>
            <w:tcW w:type="dxa" w:w="2200"/>
            <w:tcMar>
              <w:top w:type="dxa" w:w="60"/>
              <w:left w:type="dxa" w:w="80"/>
              <w:bottom w:type="dxa" w:w="60"/>
              <w:right w:type="dxa" w:w="80"/>
            </w:tcMar>
          </w:tcPr>
          <w:p>
            <w:pPr>
              <w:spacing w:after="0" w:line="240"/>
            </w:pPr>
            <w:r>
              <w:rPr>
                <w:b w:val="false"/>
                <w:bCs w:val="false"/>
                <w:sz w:val="18"/>
                <w:szCs w:val="18"/>
              </w:rPr>
              <w:t xml:space="preserve">Chooses a defensible classification and the correct projection for Nigeria without prompting.</w:t>
            </w:r>
          </w:p>
        </w:tc>
      </w:tr>
      <w:tr>
        <w:tc>
          <w:tcPr>
            <w:tcW w:type="dxa" w:w="900"/>
            <w:tcMar>
              <w:top w:type="dxa" w:w="60"/>
              <w:left w:type="dxa" w:w="80"/>
              <w:bottom w:type="dxa" w:w="60"/>
              <w:right w:type="dxa" w:w="80"/>
            </w:tcMar>
          </w:tcPr>
          <w:p>
            <w:pPr>
              <w:spacing w:after="0" w:line="240"/>
            </w:pPr>
            <w:r>
              <w:rPr>
                <w:b w:val="false"/>
                <w:bCs w:val="false"/>
                <w:sz w:val="18"/>
                <w:szCs w:val="18"/>
              </w:rPr>
              <w:t xml:space="preserve">3
Adapting execution</w:t>
            </w:r>
          </w:p>
        </w:tc>
        <w:tc>
          <w:tcPr>
            <w:tcW w:type="dxa" w:w="2450"/>
            <w:tcMar>
              <w:top w:type="dxa" w:w="60"/>
              <w:left w:type="dxa" w:w="80"/>
              <w:bottom w:type="dxa" w:w="60"/>
              <w:right w:type="dxa" w:w="80"/>
            </w:tcMar>
          </w:tcPr>
          <w:p>
            <w:pPr>
              <w:spacing w:after="0" w:line="240"/>
            </w:pPr>
            <w:r>
              <w:rPr>
                <w:b w:val="false"/>
                <w:bCs w:val="false"/>
                <w:sz w:val="18"/>
                <w:szCs w:val="18"/>
              </w:rPr>
              <w:t xml:space="preserve">Modifies a standard procedure to fit a new but related situation, and documents it so a colleague can reproduce the work without a clarifying question.</w:t>
            </w:r>
          </w:p>
        </w:tc>
        <w:tc>
          <w:tcPr>
            <w:tcW w:type="dxa" w:w="2265"/>
            <w:tcMar>
              <w:top w:type="dxa" w:w="60"/>
              <w:left w:type="dxa" w:w="80"/>
              <w:bottom w:type="dxa" w:w="60"/>
              <w:right w:type="dxa" w:w="80"/>
            </w:tcMar>
          </w:tcPr>
          <w:p>
            <w:pPr>
              <w:spacing w:after="0" w:line="240"/>
            </w:pPr>
            <w:r>
              <w:rPr>
                <w:b w:val="false"/>
                <w:bCs w:val="false"/>
                <w:sz w:val="18"/>
                <w:szCs w:val="18"/>
              </w:rPr>
              <w:t xml:space="preserve">Adapts the standard cleaning procedure to a dataset with a defect not seen in training, and explains why the adaptation was needed.</w:t>
            </w:r>
          </w:p>
        </w:tc>
        <w:tc>
          <w:tcPr>
            <w:tcW w:type="dxa" w:w="2265"/>
            <w:tcMar>
              <w:top w:type="dxa" w:w="60"/>
              <w:left w:type="dxa" w:w="80"/>
              <w:bottom w:type="dxa" w:w="60"/>
              <w:right w:type="dxa" w:w="80"/>
            </w:tcMar>
          </w:tcPr>
          <w:p>
            <w:pPr>
              <w:spacing w:after="0" w:line="240"/>
            </w:pPr>
            <w:r>
              <w:rPr>
                <w:b w:val="false"/>
                <w:bCs w:val="false"/>
                <w:sz w:val="18"/>
                <w:szCs w:val="18"/>
              </w:rPr>
              <w:t xml:space="preserve">Produces a log a colleague can execute unaided, including why each threshold or rule was chosen.</w:t>
            </w:r>
          </w:p>
        </w:tc>
        <w:tc>
          <w:tcPr>
            <w:tcW w:type="dxa" w:w="2200"/>
            <w:tcMar>
              <w:top w:type="dxa" w:w="60"/>
              <w:left w:type="dxa" w:w="80"/>
              <w:bottom w:type="dxa" w:w="60"/>
              <w:right w:type="dxa" w:w="80"/>
            </w:tcMar>
          </w:tcPr>
          <w:p>
            <w:pPr>
              <w:spacing w:after="0" w:line="240"/>
            </w:pPr>
            <w:r>
              <w:rPr>
                <w:b w:val="false"/>
                <w:bCs w:val="false"/>
                <w:sz w:val="18"/>
                <w:szCs w:val="18"/>
              </w:rPr>
              <w:t xml:space="preserve">Adjusts a standard map spec to a new audience or area and justifies the change made.</w:t>
            </w:r>
          </w:p>
        </w:tc>
      </w:tr>
      <w:tr>
        <w:tc>
          <w:tcPr>
            <w:tcW w:type="dxa" w:w="900"/>
            <w:tcMar>
              <w:top w:type="dxa" w:w="60"/>
              <w:left w:type="dxa" w:w="80"/>
              <w:bottom w:type="dxa" w:w="60"/>
              <w:right w:type="dxa" w:w="80"/>
            </w:tcMar>
          </w:tcPr>
          <w:p>
            <w:pPr>
              <w:spacing w:after="0" w:line="240"/>
            </w:pPr>
            <w:r>
              <w:rPr>
                <w:b w:val="false"/>
                <w:bCs w:val="false"/>
                <w:sz w:val="18"/>
                <w:szCs w:val="18"/>
              </w:rPr>
              <w:t xml:space="preserve">4
Reviewing &amp; owning</w:t>
            </w:r>
          </w:p>
        </w:tc>
        <w:tc>
          <w:tcPr>
            <w:tcW w:type="dxa" w:w="2450"/>
            <w:tcMar>
              <w:top w:type="dxa" w:w="60"/>
              <w:left w:type="dxa" w:w="80"/>
              <w:bottom w:type="dxa" w:w="60"/>
              <w:right w:type="dxa" w:w="80"/>
            </w:tcMar>
          </w:tcPr>
          <w:p>
            <w:pPr>
              <w:spacing w:after="0" w:line="240"/>
            </w:pPr>
            <w:r>
              <w:rPr>
                <w:b w:val="false"/>
                <w:bCs w:val="false"/>
                <w:sz w:val="18"/>
                <w:szCs w:val="18"/>
              </w:rPr>
              <w:t xml:space="preserve">Reads a colleague's output, names the specific error, and explains the fix. Owns a departmental workflow end to end, including when it breaks.</w:t>
            </w:r>
          </w:p>
        </w:tc>
        <w:tc>
          <w:tcPr>
            <w:tcW w:type="dxa" w:w="2265"/>
            <w:tcMar>
              <w:top w:type="dxa" w:w="60"/>
              <w:left w:type="dxa" w:w="80"/>
              <w:bottom w:type="dxa" w:w="60"/>
              <w:right w:type="dxa" w:w="80"/>
            </w:tcMar>
          </w:tcPr>
          <w:p>
            <w:pPr>
              <w:spacing w:after="0" w:line="240"/>
            </w:pPr>
            <w:r>
              <w:rPr>
                <w:b w:val="false"/>
                <w:bCs w:val="false"/>
                <w:sz w:val="18"/>
                <w:szCs w:val="18"/>
              </w:rPr>
              <w:t xml:space="preserve">Reviews a colleague's cleaned dataset, finds the specific rule that was mis-applied, and corrects it.</w:t>
            </w:r>
          </w:p>
        </w:tc>
        <w:tc>
          <w:tcPr>
            <w:tcW w:type="dxa" w:w="2265"/>
            <w:tcMar>
              <w:top w:type="dxa" w:w="60"/>
              <w:left w:type="dxa" w:w="80"/>
              <w:bottom w:type="dxa" w:w="60"/>
              <w:right w:type="dxa" w:w="80"/>
            </w:tcMar>
          </w:tcPr>
          <w:p>
            <w:pPr>
              <w:spacing w:after="0" w:line="240"/>
            </w:pPr>
            <w:r>
              <w:rPr>
                <w:b w:val="false"/>
                <w:bCs w:val="false"/>
                <w:sz w:val="18"/>
                <w:szCs w:val="18"/>
              </w:rPr>
              <w:t xml:space="preserve">Reviews a colleague's log for a gap that would block reproduction, and names the missing step.</w:t>
            </w:r>
          </w:p>
        </w:tc>
        <w:tc>
          <w:tcPr>
            <w:tcW w:type="dxa" w:w="2200"/>
            <w:tcMar>
              <w:top w:type="dxa" w:w="60"/>
              <w:left w:type="dxa" w:w="80"/>
              <w:bottom w:type="dxa" w:w="60"/>
              <w:right w:type="dxa" w:w="80"/>
            </w:tcMar>
          </w:tcPr>
          <w:p>
            <w:pPr>
              <w:spacing w:after="0" w:line="240"/>
            </w:pPr>
            <w:r>
              <w:rPr>
                <w:b w:val="false"/>
                <w:bCs w:val="false"/>
                <w:sz w:val="18"/>
                <w:szCs w:val="18"/>
              </w:rPr>
              <w:t xml:space="preserve">Reviews a colleague's map, identifies a classification or projection choice that misleads, and explains the correction.</w:t>
            </w:r>
          </w:p>
        </w:tc>
      </w:tr>
    </w:tbl>
    <w:p>
      <w:pPr>
        <w:pageBreakBefore/>
        <w:spacing w:after="60"/>
      </w:pPr>
      <w:r>
        <w:rPr>
          <w:b/>
          <w:bCs/>
          <w:sz w:val="26"/>
          <w:szCs w:val="26"/>
        </w:rPr>
        <w:t xml:space="preserve">Annex B — Day 2 Session, in Full: From a Messy Settlement List to a Documented, Reproducible Workflow</w:t>
      </w:r>
    </w:p>
    <w:p>
      <w:pPr>
        <w:pStyle w:val="Heading2"/>
        <w:spacing w:after="80" w:before="200"/>
      </w:pPr>
      <w:r>
        <w:rPr>
          <w:b/>
          <w:bCs/>
        </w:rPr>
        <w:t xml:space="preserve">Facilitator guide (90 minutes)</w:t>
      </w:r>
    </w:p>
    <w:p>
      <w:pPr>
        <w:spacing w:after="110" w:line="258"/>
      </w:pPr>
      <w:r>
        <w:rPr>
          <w:b/>
          <w:bCs/>
        </w:rPr>
        <w:t xml:space="preserve">0–8 min, framing. </w:t>
      </w:r>
      <w:r>
        <w:t xml:space="preserve">State the outcome in one sentence: "by the end, everyone will have cleaned a real settlement list and written a log a colleague could follow without asking you a question." Show, do not tell, why this matters: display the same file cleaned two ways, one with a log and one without, and ask which one the facilitator could mark correct without the original author present.</w:t>
      </w:r>
    </w:p>
    <w:p>
      <w:pPr>
        <w:spacing w:after="110" w:line="258"/>
      </w:pPr>
      <w:r>
        <w:rPr>
          <w:b/>
          <w:bCs/>
        </w:rPr>
        <w:t xml:space="preserve">8–20 min, mini-demonstration. </w:t>
      </w:r>
      <w:r>
        <w:t xml:space="preserve">Facilitator cleans the first five rows of the dataset live in QGIS, narrating every decision out loud and writing each into a plain-text log as it happens — not after. Participants are told explicitly they will repeat this on the remaining rows themselves.</w:t>
      </w:r>
    </w:p>
    <w:p>
      <w:pPr>
        <w:spacing w:after="110" w:line="258"/>
      </w:pPr>
      <w:r>
        <w:rPr>
          <w:b/>
          <w:bCs/>
        </w:rPr>
        <w:t xml:space="preserve">20–70 min, guided practice. </w:t>
      </w:r>
      <w:r>
        <w:t xml:space="preserve">Participants clean the remaining dataset individually, writing their own log alongside. Facilitator circulates rather than lecturing, intervening only against the common errors below.</w:t>
      </w:r>
    </w:p>
    <w:p>
      <w:pPr>
        <w:spacing w:after="110" w:line="258"/>
      </w:pPr>
      <w:r>
        <w:rPr>
          <w:b/>
          <w:bCs/>
        </w:rPr>
        <w:t xml:space="preserve">70–85 min, peer documentation swap. </w:t>
      </w:r>
      <w:r>
        <w:t xml:space="preserve">Participants exchange logs, not files, with a neighbour and attempt to reproduce one cleaning step from the log alone, without asking the author. Where reproduction fails, the pair identifies together which step the log did not capture.</w:t>
      </w:r>
    </w:p>
    <w:p>
      <w:pPr>
        <w:spacing w:after="110" w:line="258"/>
      </w:pPr>
      <w:r>
        <w:rPr>
          <w:b/>
          <w:bCs/>
        </w:rPr>
        <w:t xml:space="preserve">85–90 min, debrief. </w:t>
      </w:r>
      <w:r>
        <w:t xml:space="preserve">One volunteer states, in one sentence, the one thing their log was missing that the swap revealed. Facilitator closes by linking this directly to day five's capstone, where the same log will be handed to someone who was not in the room.</w:t>
      </w:r>
    </w:p>
    <w:p>
      <w:pPr>
        <w:pStyle w:val="Heading2"/>
        <w:spacing w:after="80" w:before="200"/>
      </w:pPr>
      <w:r>
        <w:rPr>
          <w:b/>
          <w:bCs/>
        </w:rPr>
        <w:t xml:space="preserve">Participant exercise brief</w:t>
      </w:r>
    </w:p>
    <w:p>
      <w:pPr>
        <w:spacing w:after="110" w:line="258"/>
      </w:pPr>
      <w:r>
        <w:t xml:space="preserve">You have a settlement list for one LGA with known problems. Clean it so that a colleague who was not in this room could use only your written log to reach the same result from the original file. You are not being scored on how clean the data ends up; you are being scored on whether your log lets someone else get there.</w:t>
      </w:r>
    </w:p>
    <w:p>
      <w:pPr>
        <w:pStyle w:val="Heading2"/>
        <w:spacing w:after="80" w:before="200"/>
      </w:pPr>
      <w:r>
        <w:rPr>
          <w:b/>
          <w:bCs/>
        </w:rPr>
        <w:t xml:space="preserve">Dataset specification</w:t>
      </w:r>
    </w:p>
    <w:p>
      <w:pPr>
        <w:spacing w:after="110" w:line="258"/>
      </w:pPr>
      <w:r>
        <w:t xml:space="preserve">A 60-row extract of settlement records (name, type, LGA, ward, latitude, longitude, target population) seeded with defects mirroring this submission's Q1/Q2 data: 4 duplicate settlement names with materially different coordinates, 6 records with an LGA name spelt inconsistently against the administrative boundary layer, 3 records with coordinates transposed (latitude and longitude swapped, placing the point outside Nigeria), 2 records with a missing target population coded as "0" rather than left blank, and one column header rename part-way through the file, simulating a mid-collection tool change.</w:t>
      </w:r>
    </w:p>
    <w:p>
      <w:pPr>
        <w:pStyle w:val="Heading2"/>
        <w:spacing w:after="80" w:before="200"/>
      </w:pPr>
      <w:r>
        <w:rPr>
          <w:b/>
          <w:bCs/>
        </w:rPr>
        <w:t xml:space="preserve">Model answer</w:t>
      </w:r>
    </w:p>
    <w:p>
      <w:pPr>
        <w:spacing w:after="110" w:line="258"/>
      </w:pPr>
      <w:r>
        <w:t xml:space="preserve">A log with one line per action, each stating: which record(s), what was found, what was done, and why — for example, "Rows 14, 27: latitude/longitude values fall outside Nigeria's extent; swapped the two fields based on plausible range; flagged for field confirmation rather than deleted." The model answer treats the "0" population values as a sentinel-versus-measurement collision, not a real zero, and documents that judgement explicitly rather than silently recoding it.</w:t>
      </w:r>
    </w:p>
    <w:p>
      <w:pPr>
        <w:pStyle w:val="Heading2"/>
        <w:spacing w:after="80" w:before="200"/>
      </w:pPr>
      <w:r>
        <w:rPr>
          <w:b/>
          <w:bCs/>
        </w:rPr>
        <w:t xml:space="preserve">Common errors and interventions</w:t>
      </w:r>
    </w:p>
    <w:p>
      <w:pPr>
        <w:spacing w:after="110" w:line="258"/>
      </w:pPr>
      <w:r>
        <w:rPr>
          <w:b/>
          <w:bCs/>
        </w:rPr>
        <w:t xml:space="preserve">Cleans in place without logging as they go, then tries to reconstruct the log afterward from memory. </w:t>
      </w:r>
      <w:r>
        <w:t xml:space="preserve">Intervention: stop the participant mid-task and ask, "if the file crashed right now, could you tell me what you've done so far?" — the honest no is the teaching moment.</w:t>
      </w:r>
    </w:p>
    <w:p>
      <w:pPr>
        <w:spacing w:after="110" w:line="258"/>
      </w:pPr>
      <w:r>
        <w:rPr>
          <w:b/>
          <w:bCs/>
        </w:rPr>
        <w:t xml:space="preserve">Deletes the duplicate or out-of-range records instead of flagging them. </w:t>
      </w:r>
      <w:r>
        <w:t xml:space="preserve">Intervention: ask what evidence they have that the record is wrong rather than merely unusual, tying back to the assessment's own instruction not to silently drop records.</w:t>
      </w:r>
    </w:p>
    <w:p>
      <w:pPr>
        <w:spacing w:after="110" w:line="258"/>
      </w:pPr>
      <w:r>
        <w:rPr>
          <w:b/>
          <w:bCs/>
        </w:rPr>
        <w:t xml:space="preserve">Writes a log describing what the tool did, not what they decided. </w:t>
      </w:r>
      <w:r>
        <w:t xml:space="preserve">Intervention: ask them to read their own log aloud and identify the sentence where a human made a choice — if there is none, the log has not yet captured the judgement that matters.</w:t>
      </w:r>
    </w:p>
    <w:p>
      <w:pPr>
        <w:pageBreakBefore/>
        <w:spacing w:after="60"/>
      </w:pPr>
      <w:r>
        <w:rPr>
          <w:b/>
          <w:bCs/>
          <w:sz w:val="26"/>
          <w:szCs w:val="26"/>
        </w:rPr>
        <w:t xml:space="preserve">Annex C — Pre/Post Practical Assessment Instrument</w:t>
      </w:r>
    </w:p>
    <w:p>
      <w:pPr>
        <w:spacing w:after="110" w:line="258"/>
      </w:pPr>
      <w:r>
        <w:t xml:space="preserve">Twelve items, each an observed task on the participant's own machine, scored 0 (cannot attempt) / 1 (completes with facilitator prompting) / 2 (completes correctly, unsupervised, within a set time). Composite score is the sum out of 24. The same twelve items are used unchanged at day-one pre-test, day-five post-test, and the day-30/60/90 field administrations, so scores are directly comparable across time.</w:t>
      </w:r>
    </w:p>
    <w:p>
      <w:pPr>
        <w:spacing w:after="110" w:line="258"/>
      </w:pPr>
      <w:r>
        <w:rPr>
          <w:b/>
          <w:bCs/>
        </w:rPr>
        <w:t xml:space="preserve">Data handling &amp; QA (items 1–3): </w:t>
      </w:r>
      <w:r>
        <w:t xml:space="preserve">1) open a provided file in QGIS and correctly identify its CRS; 2) identify, from a 20-row extract, which records fail a stated validity rule; 3) correct one flagged record and state in writing why the correction is defensible.</w:t>
      </w:r>
    </w:p>
    <w:p>
      <w:pPr>
        <w:spacing w:after="110" w:line="258"/>
      </w:pPr>
      <w:r>
        <w:rPr>
          <w:b/>
          <w:bCs/>
        </w:rPr>
        <w:t xml:space="preserve">Reproducible documentation (items 4–6): </w:t>
      </w:r>
      <w:r>
        <w:t xml:space="preserve">4) write a log entry for a cleaning action just performed; 5) reproduce a colleague's cleaning step using only their log; 6) identify a specific gap in a provided log that would block reproduction.</w:t>
      </w:r>
    </w:p>
    <w:p>
      <w:pPr>
        <w:spacing w:after="110" w:line="258"/>
      </w:pPr>
      <w:r>
        <w:rPr>
          <w:b/>
          <w:bCs/>
        </w:rPr>
        <w:t xml:space="preserve">Cartography (items 7–9): </w:t>
      </w:r>
      <w:r>
        <w:t xml:space="preserve">7) select an appropriate classification method for a provided choropleth variable; 8) select the correct projection for an area-comparison map of a Nigerian state; 9) identify a missing required map element from a provided draft.</w:t>
      </w:r>
    </w:p>
    <w:p>
      <w:pPr>
        <w:spacing w:after="110" w:line="258"/>
      </w:pPr>
      <w:r>
        <w:rPr>
          <w:b/>
          <w:bCs/>
        </w:rPr>
        <w:t xml:space="preserve">Basic spatial analysis (items 10–11): </w:t>
      </w:r>
      <w:r>
        <w:t xml:space="preserve">10) perform a stated join or buffer operation to answer a specific question; 11) state, in one sentence, a limitation of the result just produced.</w:t>
      </w:r>
    </w:p>
    <w:p>
      <w:pPr>
        <w:spacing w:after="110" w:line="258"/>
      </w:pPr>
      <w:r>
        <w:rPr>
          <w:b/>
          <w:bCs/>
        </w:rPr>
        <w:t xml:space="preserve">Communication of results (item 12): </w:t>
      </w:r>
      <w:r>
        <w:t xml:space="preserve">12) write a two-sentence summary of a provided analysis result for a non-technical departmental head, without overstating certainty.</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2026-07-31T10:12:41.153Z</dcterms:created>
  <dcterms:modified xsi:type="dcterms:W3CDTF">2026-07-31T10:12:41.154Z</dcterms:modified>
</cp:coreProperties>
</file>

<file path=docProps/custom.xml><?xml version="1.0" encoding="utf-8"?>
<Properties xmlns="http://schemas.openxmlformats.org/officeDocument/2006/custom-properties" xmlns:vt="http://schemas.openxmlformats.org/officeDocument/2006/docPropsVTypes"/>
</file>