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eHealth Africa</w:t>
      </w:r>
    </w:p>
    <w:p>
      <w:pPr>
        <w:jc w:val="center"/>
      </w:pPr>
      <w:r>
        <w:rPr>
          <w:b/>
        </w:rPr>
        <w:t>Senior Coordinator, Data and GIS Analytics Technical Assessment</w:t>
      </w:r>
    </w:p>
    <w:p>
      <w:pPr>
        <w:pStyle w:val="Subtitle"/>
        <w:jc w:val="center"/>
      </w:pPr>
      <w:r>
        <w:t>Question 1: Campaign Team Tracking and Coverage Reconciliation</w:t>
      </w:r>
    </w:p>
    <w:p>
      <w:pPr>
        <w:jc w:val="center"/>
      </w:pPr>
      <w:r>
        <w:t>Candidate: Yahaya Umar Muhammad</w:t>
      </w:r>
    </w:p>
    <w:p>
      <w:pPr>
        <w:pStyle w:val="Heading1"/>
      </w:pPr>
      <w:r>
        <w:t>Requirement 5: Missed-Settlement Spatial Cluster Analysis</w:t>
      </w:r>
    </w:p>
    <w:p>
      <w:r>
        <w:t>Purpose. Identify whether the observed GPS-derived missed-settlement indicator is spatially concentrated, while retaining explicit uncertainty and avoiding causal claims.</w:t>
      </w:r>
    </w:p>
    <w:p>
      <w:pPr>
        <w:pStyle w:val="Heading2"/>
      </w:pPr>
      <w:r>
        <w:t>Analysis population and definition</w:t>
      </w:r>
    </w:p>
    <w:p>
      <w:r>
        <w:t>The primary analysis used the baseline_30m settlement-attribution scenario. It included 2,382 non-ambiguous planned settlements: 2,168 GPS unvisited settlements were coded as missed (1), and 214 GPS visited settlements were coded as not missed (0). The 180 ambiguous settlements were excluded from the primary analysis rather than assumed missed.</w:t>
      </w:r>
    </w:p>
    <w:p>
      <w:pPr>
        <w:pStyle w:val="Heading2"/>
      </w:pPr>
      <w:r>
        <w:t>Spatial weights and inference</w:t>
      </w:r>
    </w:p>
    <w:p>
      <w:pPr>
        <w:pStyle w:val="ListBullet"/>
      </w:pPr>
      <w:r>
        <w:t>Primary weights: binary, row-standardized k-nearest-neighbour (k=8) weights calculated in EPSG:32632.</w:t>
      </w:r>
    </w:p>
    <w:p>
      <w:pPr>
        <w:pStyle w:val="ListBullet"/>
      </w:pPr>
      <w:r>
        <w:t>Primary graph diagnostics: 0 islands, 1 connected component, and exactly 8 neighbours per settlement.</w:t>
      </w:r>
    </w:p>
    <w:p>
      <w:pPr>
        <w:pStyle w:val="ListBullet"/>
      </w:pPr>
      <w:r>
        <w:t>Inference: Global and Local Moran's I using 999 permutations, seed 20260730, alpha 0.05.</w:t>
      </w:r>
    </w:p>
    <w:p>
      <w:pPr>
        <w:pStyle w:val="ListBullet"/>
      </w:pPr>
      <w:r>
        <w:t>Local inference: raw permutation p-values are retained and Benjamini-Hochberg FDR correction defines the primary local interpretation.</w:t>
      </w:r>
    </w:p>
    <w:p>
      <w:pPr>
        <w:pStyle w:val="ListBullet"/>
      </w:pPr>
      <w:r>
        <w:t>Sensitivities: a 9,050 m binary row-standardized distance band (0 islands; median 45 and maximum 108 neighbours) and a k=8 analysis including all 2,562 settlements with ambiguous cases treated as missed.</w:t>
      </w:r>
    </w:p>
    <w:p>
      <w:pPr>
        <w:pStyle w:val="Heading2"/>
      </w:pPr>
      <w:r>
        <w:t>Global Moran's I results</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val="true"/>
        </w:trPr>
        <w:tc>
          <w:tcPr>
            <w:tcW w:type="dxa" w:w="1930"/>
            <w:shd w:fill="D9EAF7"/>
            <w:vAlign w:val="center"/>
          </w:tcPr>
          <w:p>
            <w:r>
              <w:t>Scenario</w:t>
            </w:r>
          </w:p>
        </w:tc>
        <w:tc>
          <w:tcPr>
            <w:tcW w:type="dxa" w:w="1930"/>
            <w:shd w:fill="D9EAF7"/>
            <w:vAlign w:val="center"/>
          </w:tcPr>
          <w:p>
            <w:r>
              <w:t>Moran's I</w:t>
            </w:r>
          </w:p>
        </w:tc>
        <w:tc>
          <w:tcPr>
            <w:tcW w:type="dxa" w:w="1930"/>
            <w:shd w:fill="D9EAF7"/>
            <w:vAlign w:val="center"/>
          </w:tcPr>
          <w:p>
            <w:r>
              <w:t>Expected I</w:t>
            </w:r>
          </w:p>
        </w:tc>
        <w:tc>
          <w:tcPr>
            <w:tcW w:type="dxa" w:w="1930"/>
            <w:shd w:fill="D9EAF7"/>
            <w:vAlign w:val="center"/>
          </w:tcPr>
          <w:p>
            <w:r>
              <w:t>z-score</w:t>
            </w:r>
          </w:p>
        </w:tc>
        <w:tc>
          <w:tcPr>
            <w:tcW w:type="dxa" w:w="1930"/>
            <w:shd w:fill="D9EAF7"/>
            <w:vAlign w:val="center"/>
          </w:tcPr>
          <w:p>
            <w:r>
              <w:t>Permutation p</w:t>
            </w:r>
          </w:p>
        </w:tc>
      </w:tr>
      <w:tr>
        <w:tc>
          <w:tcPr>
            <w:tcW w:type="dxa" w:w="1930"/>
            <w:vAlign w:val="center"/>
          </w:tcPr>
          <w:p>
            <w:r>
              <w:t>Primary: k=8, ambiguous excluded</w:t>
            </w:r>
          </w:p>
        </w:tc>
        <w:tc>
          <w:tcPr>
            <w:tcW w:type="dxa" w:w="1930"/>
            <w:vAlign w:val="center"/>
          </w:tcPr>
          <w:p>
            <w:r>
              <w:t>0.046612</w:t>
            </w:r>
          </w:p>
        </w:tc>
        <w:tc>
          <w:tcPr>
            <w:tcW w:type="dxa" w:w="1930"/>
            <w:vAlign w:val="center"/>
          </w:tcPr>
          <w:p>
            <w:r>
              <w:t>-0.000420</w:t>
            </w:r>
          </w:p>
        </w:tc>
        <w:tc>
          <w:tcPr>
            <w:tcW w:type="dxa" w:w="1930"/>
            <w:vAlign w:val="center"/>
          </w:tcPr>
          <w:p>
            <w:r>
              <w:t>4.821064</w:t>
            </w:r>
          </w:p>
        </w:tc>
        <w:tc>
          <w:tcPr>
            <w:tcW w:type="dxa" w:w="1930"/>
            <w:vAlign w:val="center"/>
          </w:tcPr>
          <w:p>
            <w:r>
              <w:t>0.001</w:t>
            </w:r>
          </w:p>
        </w:tc>
      </w:tr>
      <w:tr>
        <w:tc>
          <w:tcPr>
            <w:tcW w:type="dxa" w:w="1930"/>
            <w:vAlign w:val="center"/>
          </w:tcPr>
          <w:p>
            <w:r>
              <w:t>Sensitivity: 9,050 m distance band</w:t>
            </w:r>
          </w:p>
        </w:tc>
        <w:tc>
          <w:tcPr>
            <w:tcW w:type="dxa" w:w="1930"/>
            <w:vAlign w:val="center"/>
          </w:tcPr>
          <w:p>
            <w:r>
              <w:t>0.040196</w:t>
            </w:r>
          </w:p>
        </w:tc>
        <w:tc>
          <w:tcPr>
            <w:tcW w:type="dxa" w:w="1930"/>
            <w:vAlign w:val="center"/>
          </w:tcPr>
          <w:p>
            <w:r>
              <w:t>-0.000420</w:t>
            </w:r>
          </w:p>
        </w:tc>
        <w:tc>
          <w:tcPr>
            <w:tcW w:type="dxa" w:w="1930"/>
            <w:vAlign w:val="center"/>
          </w:tcPr>
          <w:p>
            <w:r>
              <w:t>8.401129</w:t>
            </w:r>
          </w:p>
        </w:tc>
        <w:tc>
          <w:tcPr>
            <w:tcW w:type="dxa" w:w="1930"/>
            <w:vAlign w:val="center"/>
          </w:tcPr>
          <w:p>
            <w:r>
              <w:t>0.001</w:t>
            </w:r>
          </w:p>
        </w:tc>
      </w:tr>
      <w:tr>
        <w:tc>
          <w:tcPr>
            <w:tcW w:type="dxa" w:w="1930"/>
            <w:vAlign w:val="center"/>
          </w:tcPr>
          <w:p>
            <w:r>
              <w:t>Sensitivity: ambiguous treated as missed</w:t>
            </w:r>
          </w:p>
        </w:tc>
        <w:tc>
          <w:tcPr>
            <w:tcW w:type="dxa" w:w="1930"/>
            <w:vAlign w:val="center"/>
          </w:tcPr>
          <w:p>
            <w:r>
              <w:t>0.043926</w:t>
            </w:r>
          </w:p>
        </w:tc>
        <w:tc>
          <w:tcPr>
            <w:tcW w:type="dxa" w:w="1930"/>
            <w:vAlign w:val="center"/>
          </w:tcPr>
          <w:p>
            <w:r>
              <w:t>-0.000390</w:t>
            </w:r>
          </w:p>
        </w:tc>
        <w:tc>
          <w:tcPr>
            <w:tcW w:type="dxa" w:w="1930"/>
            <w:vAlign w:val="center"/>
          </w:tcPr>
          <w:p>
            <w:r>
              <w:t>5.004061</w:t>
            </w:r>
          </w:p>
        </w:tc>
        <w:tc>
          <w:tcPr>
            <w:tcW w:type="dxa" w:w="1930"/>
            <w:vAlign w:val="center"/>
          </w:tcPr>
          <w:p>
            <w:r>
              <w:t>0.001</w:t>
            </w:r>
          </w:p>
        </w:tc>
      </w:tr>
    </w:tbl>
    <w:p>
      <w:pPr>
        <w:pStyle w:val="Heading2"/>
      </w:pPr>
      <w:r>
        <w:t>Local Moran's I results</w:t>
      </w:r>
    </w:p>
    <w:p>
      <w:r>
        <w:t>Primary raw permutation screening identified 58 Low-Low visited clusters, 15 Low-High outliers, one High-Low outlier, and 2,308 not-significant settlements. After Benjamini-Hochberg FDR correction, all 2,382 primary settlements were not significant.</w:t>
      </w:r>
    </w:p>
    <w:p>
      <w:r>
        <w:t>The distance-band sensitivity had raw counts of 118 Low-Low, 38 Low-High, eight High-Low, and 2,218 not significant; all 2,382 were not significant after FDR correction. The ambiguity sensitivity had 52 Low-Low, 29 Low-High, and 2,481 not significant; all 2,562 were not significant after FDR correction.</w:t>
      </w:r>
    </w:p>
    <w:p>
      <w:pPr>
        <w:pStyle w:val="Heading2"/>
      </w:pPr>
      <w:r>
        <w:t>Plain-language interpretation for the technical assessor</w:t>
      </w:r>
    </w:p>
    <w:p>
      <w:r>
        <w:t>The Global Moran results show that the observed GPS-derived missed-settlement pattern is more spatially concentrated than expected under the permutation reference distribution. However, after accounting for the large number of local tests, no individual local area remains statistically significant. The raw local patterns should therefore be used only to guide exploratory operational review, not presented as confirmed hotspots or direct evidence of underperformance.</w:t>
      </w:r>
    </w:p>
    <w:p>
      <w:pPr>
        <w:pStyle w:val="Heading2"/>
      </w:pPr>
      <w:r>
        <w:t>Limitations and decision use</w:t>
      </w:r>
    </w:p>
    <w:p>
      <w:pPr>
        <w:pStyle w:val="ListBullet"/>
      </w:pPr>
      <w:r>
        <w:t>The statistic identifies spatial concentration only; it does not establish why a settlement was classified as missed.</w:t>
      </w:r>
    </w:p>
    <w:p>
      <w:pPr>
        <w:pStyle w:val="ListBullet"/>
      </w:pPr>
      <w:r>
        <w:t>It does not prove an individual settlement was truly unvisited, establish team misconduct, or establish whether individual children were vaccinated.</w:t>
      </w:r>
    </w:p>
    <w:p>
      <w:pPr>
        <w:pStyle w:val="ListBullet"/>
      </w:pPr>
      <w:r>
        <w:t>Results depend on GPS QA, settlement attribution, the missed-settlement definition, spatial weights, permutation inference, and FDR correction.</w:t>
      </w:r>
    </w:p>
    <w:p>
      <w:pPr>
        <w:pStyle w:val="ListBullet"/>
      </w:pPr>
      <w:r>
        <w:t>The high prevalence of the missed indicator limits contrast between local categories.</w:t>
      </w:r>
    </w:p>
    <w:p>
      <w:r>
        <w:t>Operational recommendation. Present the reconciled GPS and e-tally product to the Incident Manager. Use disagreement and raw spatial-screening patterns to prioritize rapid verification, not automatic mop-up conclusions.</w:t>
      </w:r>
    </w:p>
    <w:p>
      <w:r>
        <w:br w:type="page"/>
      </w:r>
    </w:p>
    <w:p>
      <w:pPr>
        <w:pStyle w:val="Heading1"/>
      </w:pPr>
      <w:r>
        <w:t>Requirement 6: Evidence-Based Decision Products</w:t>
      </w:r>
    </w:p>
    <w:p>
      <w:r>
        <w:t>Guiding principle: absence of GPS evidence is not evidence of operational failure. A settlement without a confirmed GPS track may have been genuinely missed, visited with a logger failure or non-use, affected by signal loss, subject to attribution uncertainty, or affected by reporting, identifier, timing, or processing mismatch.</w:t>
      </w:r>
    </w:p>
    <w:p>
      <w:pPr>
        <w:pStyle w:val="Heading2"/>
      </w:pPr>
      <w:r>
        <w:t>Observed evidence, inference, and confidence</w:t>
      </w:r>
    </w:p>
    <w:p>
      <w:r>
        <w:t>The final products separate what the datasets directly show from operational inference. The technical map shows observed evidence classes; the Incident Manager brief converts them into verification priorities. Neither product treats missing GPS evidence as proof that a settlement was not visited.</w:t>
      </w:r>
    </w:p>
    <w:p>
      <w:pPr>
        <w:pStyle w:val="ListBullet"/>
      </w:pPr>
      <w:r>
        <w:t>High confidence: GPS and e-tally corroborate a recorded visit, or a directly measured source metric is reported within its own scope.</w:t>
      </w:r>
    </w:p>
    <w:p>
      <w:pPr>
        <w:pStyle w:val="ListBullet"/>
      </w:pPr>
      <w:r>
        <w:t>Moderate confidence: one source provides evidence while the other is unavailable or ambiguous.</w:t>
      </w:r>
    </w:p>
    <w:p>
      <w:pPr>
        <w:pStyle w:val="ListBullet"/>
      </w:pPr>
      <w:r>
        <w:t>Low confidence: sources disagree, attribution is ambiguous, material GPS QA concerns apply, or identifiers are unmatched.</w:t>
      </w:r>
    </w:p>
    <w:p>
      <w:pPr>
        <w:pStyle w:val="ListBullet"/>
      </w:pPr>
      <w:r>
        <w:t>Unknown: available evidence is insufficient for an operational conclusion.</w:t>
      </w:r>
    </w:p>
    <w:p>
      <w:pPr>
        <w:pStyle w:val="Heading2"/>
      </w:pPr>
      <w:r>
        <w:t>Technical map and statistical interpretation</w:t>
      </w:r>
    </w:p>
    <w:p>
      <w:r>
        <w:t>The A3 technical map presents planned settlement evidence classes, ward and LGA boundaries, inaccessible settlements, coordinate grid, projection, data sources, and method notes. The primary Global Moran result is significant (I=0.046612; expected I=-0.000420; z=4.821064; 999-permutation p=0.001), showing positive global spatial autocorrelation in the observed GPS-derived indicator.</w:t>
      </w:r>
    </w:p>
    <w:p>
      <w:r>
        <w:t>No Local Moran finding survived Benjamini-Hochberg FDR correction. The map therefore does not portray exploratory Local Moran patterns as confirmed hotspots. This prevents an analytical screening signal from being presented as evidence of a genuine programme failure.</w:t>
      </w:r>
    </w:p>
    <w:p>
      <w:pPr>
        <w:pStyle w:val="Heading2"/>
      </w:pPr>
      <w:r>
        <w:t>Final operational recommendations</w:t>
      </w:r>
    </w:p>
    <w:p>
      <w:pPr>
        <w:pStyle w:val="ListBullet"/>
      </w:pPr>
      <w:r>
        <w:t>Priority 1: rapidly verify 1,639 e-tally-reported settlements without confirmed GPS visit evidence. This is low confidence for a conclusion of non-visit, but high priority for supervisor verification, device inspection, repeat-visit confirmation, and team/date/settlement reconciliation.</w:t>
      </w:r>
    </w:p>
    <w:p>
      <w:pPr>
        <w:pStyle w:val="ListBullet"/>
      </w:pPr>
      <w:r>
        <w:t>Priority 2: verify 529 settlements with neither confirmed GPS visit evidence nor e-tally report. Confirm access status, field records, device capture, and supervisory evidence before scheduling repeat visits.</w:t>
      </w:r>
    </w:p>
    <w:p>
      <w:pPr>
        <w:pStyle w:val="ListBullet"/>
      </w:pPr>
      <w:r>
        <w:t>Priority 3: resolve 180 ambiguous GPS-attribution cases before classifying them as visited or missed. Reconcile coordinates, movement context, and e-tally with supervisor records.</w:t>
      </w:r>
    </w:p>
    <w:p>
      <w:pPr>
        <w:pStyle w:val="ListBullet"/>
      </w:pPr>
      <w:r>
        <w:t>Reconcile seven unmatched e-tally identifiers separately. Do not treat them as planned-settlement performance evidence until identifiers are resolved.</w:t>
      </w:r>
    </w:p>
    <w:p>
      <w:pPr>
        <w:pStyle w:val="Heading2"/>
      </w:pPr>
      <w:r>
        <w:t>Assessment reflection</w:t>
      </w:r>
    </w:p>
    <w:p>
      <w:r>
        <w:t>This assessment deliberately avoids conflating a data artefact with a programme failure. GPS is stronger evidence of physical presence; e-tally is stronger evidence of reported service delivery and doses. Neither alone establishes both physical arrival and vaccination. The reconciled product and confidence framework make uncertainty explicit and direct the Incident Manager toward rapid verification rather than unsupported disciplinary or mop-up decisions.</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Q1 Technical Response | Requirement 5 | eHealth Africa assessment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