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2A77C" w14:textId="77777777" w:rsidR="00AB248D" w:rsidRDefault="00000000">
      <w:pPr>
        <w:jc w:val="center"/>
      </w:pPr>
      <w:r>
        <w:rPr>
          <w:b/>
          <w:color w:val="1F4E79"/>
          <w:sz w:val="44"/>
        </w:rPr>
        <w:t>eHealth Africa</w:t>
      </w:r>
    </w:p>
    <w:p w14:paraId="563FFDA3" w14:textId="77777777" w:rsidR="00AB248D" w:rsidRDefault="00000000">
      <w:pPr>
        <w:jc w:val="center"/>
      </w:pPr>
      <w:r>
        <w:rPr>
          <w:b/>
        </w:rPr>
        <w:t>Senior Coordinator, Data and GIS Analytics Technical Assessment</w:t>
      </w:r>
    </w:p>
    <w:p w14:paraId="6FF23BE4" w14:textId="77777777" w:rsidR="00AB248D" w:rsidRDefault="00000000">
      <w:pPr>
        <w:pStyle w:val="Subtitle"/>
        <w:jc w:val="center"/>
      </w:pPr>
      <w:r>
        <w:t>Question 1: Campaign Team Tracking and Coverage Reconciliation</w:t>
      </w:r>
    </w:p>
    <w:p w14:paraId="3AF08653" w14:textId="77777777" w:rsidR="00AB248D" w:rsidRDefault="00000000">
      <w:pPr>
        <w:jc w:val="center"/>
      </w:pPr>
      <w:r>
        <w:t>Candidate: Yahaya Umar Muhammad</w:t>
      </w:r>
    </w:p>
    <w:p w14:paraId="385DF897" w14:textId="77777777" w:rsidR="00AB248D" w:rsidRDefault="00000000">
      <w:pPr>
        <w:pStyle w:val="Heading1"/>
      </w:pPr>
      <w:r>
        <w:t>Requirement 5: Missed-Settlement Spatial Cluster Analysis</w:t>
      </w:r>
    </w:p>
    <w:p w14:paraId="08169BEA" w14:textId="77777777" w:rsidR="00AB248D" w:rsidRDefault="00000000" w:rsidP="00FF7B28">
      <w:pPr>
        <w:jc w:val="both"/>
      </w:pPr>
      <w:r>
        <w:t>Purpose. Check whether the GPS-based “missed settlement” pattern clusters together on the map, while being clear about the uncertainty involved and not claiming to know why.</w:t>
      </w:r>
    </w:p>
    <w:p w14:paraId="6668186D" w14:textId="77777777" w:rsidR="00AB248D" w:rsidRDefault="00000000">
      <w:pPr>
        <w:pStyle w:val="Heading2"/>
      </w:pPr>
      <w:r>
        <w:t>Analysis population and definition</w:t>
      </w:r>
    </w:p>
    <w:p w14:paraId="427E052F" w14:textId="77777777" w:rsidR="00AB248D" w:rsidRDefault="00000000" w:rsidP="00FF7B28">
      <w:pPr>
        <w:jc w:val="both"/>
      </w:pPr>
      <w:r>
        <w:t>The main analysis used the baseline_30m settlement-attribution scenario, covering 2,318 planned settlements that were not ambiguous: 2,179 were coded as missed because GPS showed no visit, and 139 were coded as visited. The other 244 ambiguous settlements were left out of the main analysis rather than assumed missed. (Fully revised 2026-07-31 after four compounding defects were found and fixed in the GPS pipeline; the original, wrong figures were 2,382 / 2,168 / 214 / 180 — see technical_decisions.md.)</w:t>
      </w:r>
    </w:p>
    <w:p w14:paraId="7799B204" w14:textId="77777777" w:rsidR="00AB248D" w:rsidRDefault="00000000">
      <w:pPr>
        <w:pStyle w:val="Heading2"/>
      </w:pPr>
      <w:r>
        <w:t>Spatial weights and inference</w:t>
      </w:r>
    </w:p>
    <w:p w14:paraId="5E4F2A67" w14:textId="77777777" w:rsidR="00AB248D" w:rsidRDefault="00000000" w:rsidP="00FF7B28">
      <w:pPr>
        <w:pStyle w:val="ListBullet"/>
        <w:numPr>
          <w:ilvl w:val="0"/>
          <w:numId w:val="10"/>
        </w:numPr>
        <w:jc w:val="both"/>
      </w:pPr>
      <w:r>
        <w:t>Primary spatial weights: each settlement is connected to its 8 nearest neighbours (binary, row-standardized k-nearest-neighbour weights, k=8), calculated in projected coordinates (EPSG:32632).</w:t>
      </w:r>
    </w:p>
    <w:p w14:paraId="1E1AA170" w14:textId="77777777" w:rsidR="00AB248D" w:rsidRDefault="00000000" w:rsidP="00FF7B28">
      <w:pPr>
        <w:pStyle w:val="ListBullet"/>
        <w:numPr>
          <w:ilvl w:val="0"/>
          <w:numId w:val="10"/>
        </w:numPr>
        <w:jc w:val="both"/>
      </w:pPr>
      <w:r>
        <w:t>Diagnostics on that neighbour network: no isolated settlements (“islands”), everything forms one connected group, and every settlement has exactly 8 neighbours.</w:t>
      </w:r>
    </w:p>
    <w:p w14:paraId="7EB00E5D" w14:textId="77777777" w:rsidR="00AB248D" w:rsidRDefault="00000000" w:rsidP="00FF7B28">
      <w:pPr>
        <w:pStyle w:val="ListBullet"/>
        <w:numPr>
          <w:ilvl w:val="0"/>
          <w:numId w:val="10"/>
        </w:numPr>
        <w:jc w:val="both"/>
      </w:pPr>
      <w:r>
        <w:t xml:space="preserve">Statistical test: Global and Local Moran's I, using 999 random permutations (random seed 20260730) and a significance threshold of 0.05.</w:t>
      </w:r>
    </w:p>
    <w:p w14:paraId="43240D55" w14:textId="77777777" w:rsidR="00AB248D" w:rsidRDefault="00000000" w:rsidP="00FF7B28">
      <w:pPr>
        <w:pStyle w:val="ListBullet"/>
        <w:numPr>
          <w:ilvl w:val="0"/>
          <w:numId w:val="10"/>
        </w:numPr>
        <w:jc w:val="both"/>
      </w:pPr>
      <w:r>
        <w:t xml:space="preserve">For the local results, the raw p-values are kept for reference, but the primary interpretation applies the Benjamini-Hochberg correction, which adjusts for testing thousands of areas at once so the pattern is not overstated.</w:t>
      </w:r>
    </w:p>
    <w:p w14:paraId="59203FFB" w14:textId="77777777" w:rsidR="00AB248D" w:rsidRDefault="00000000" w:rsidP="00FF7B28">
      <w:pPr>
        <w:pStyle w:val="ListBullet"/>
        <w:numPr>
          <w:ilvl w:val="0"/>
          <w:numId w:val="10"/>
        </w:numPr>
        <w:jc w:val="both"/>
      </w:pPr>
      <w:r>
        <w:t xml:space="preserve">Two alternative versions were also run to check how much the choices above matter: one using a 9,050 m distance-based neighbour definition instead of nearest-neighbours (no isolated settlements; each has between 44 and 109 neighbours, median 44), and one using the same k=8 neighbours but treating the 244 ambiguous settlements as missed instead of excluding them.</w:t>
      </w:r>
    </w:p>
    <w:p w14:paraId="454372AD" w14:textId="77777777" w:rsidR="00AB248D" w:rsidRDefault="00000000">
      <w:pPr>
        <w:pStyle w:val="Heading2"/>
      </w:pPr>
      <w:r>
        <w:t xml:space="preserve">Global Moran's I results</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AB248D" w14:paraId="519B0F8A" w14:textId="77777777">
        <w:trPr>
          <w:tblHeader/>
          <w:jc w:val="center"/>
        </w:trPr>
        <w:tc>
          <w:tcPr>
            <w:tcW w:w="1930" w:type="dxa"/>
            <w:shd w:val="clear" w:color="auto" w:fill="D9EAF7"/>
            <w:vAlign w:val="center"/>
          </w:tcPr>
          <w:p w14:paraId="47931F4E" w14:textId="77777777" w:rsidR="00AB248D" w:rsidRDefault="00000000">
            <w:r>
              <w:t>Scenario</w:t>
            </w:r>
          </w:p>
        </w:tc>
        <w:tc>
          <w:tcPr>
            <w:tcW w:w="1930" w:type="dxa"/>
            <w:shd w:val="clear" w:color="auto" w:fill="D9EAF7"/>
            <w:vAlign w:val="center"/>
          </w:tcPr>
          <w:p w14:paraId="7224BF9C" w14:textId="77777777" w:rsidR="00AB248D" w:rsidRDefault="00000000">
            <w:r>
              <w:t>Moran's I</w:t>
            </w:r>
          </w:p>
        </w:tc>
        <w:tc>
          <w:tcPr>
            <w:tcW w:w="1930" w:type="dxa"/>
            <w:shd w:val="clear" w:color="auto" w:fill="D9EAF7"/>
            <w:vAlign w:val="center"/>
          </w:tcPr>
          <w:p w14:paraId="06D7C06E" w14:textId="77777777" w:rsidR="00AB248D" w:rsidRDefault="00000000">
            <w:r>
              <w:t>Expected I</w:t>
            </w:r>
          </w:p>
        </w:tc>
        <w:tc>
          <w:tcPr>
            <w:tcW w:w="1930" w:type="dxa"/>
            <w:shd w:val="clear" w:color="auto" w:fill="D9EAF7"/>
            <w:vAlign w:val="center"/>
          </w:tcPr>
          <w:p w14:paraId="1DFE0013" w14:textId="77777777" w:rsidR="00AB248D" w:rsidRDefault="00000000">
            <w:r>
              <w:t>z-score</w:t>
            </w:r>
          </w:p>
        </w:tc>
        <w:tc>
          <w:tcPr>
            <w:tcW w:w="1930" w:type="dxa"/>
            <w:shd w:val="clear" w:color="auto" w:fill="D9EAF7"/>
            <w:vAlign w:val="center"/>
          </w:tcPr>
          <w:p w14:paraId="345590A6" w14:textId="77777777" w:rsidR="00AB248D" w:rsidRDefault="00000000">
            <w:r>
              <w:t>Permutation p</w:t>
            </w:r>
          </w:p>
        </w:tc>
      </w:tr>
      <w:tr w:rsidR="00AB248D" w14:paraId="7B4420FA" w14:textId="77777777">
        <w:trPr>
          <w:jc w:val="center"/>
        </w:trPr>
        <w:tc>
          <w:tcPr>
            <w:tcW w:w="1930" w:type="dxa"/>
            <w:vAlign w:val="center"/>
          </w:tcPr>
          <w:p w14:paraId="44AFF5CD" w14:textId="77777777" w:rsidR="00AB248D" w:rsidRDefault="00000000">
            <w:r>
              <w:t>Primary: k=8, ambiguous excluded</w:t>
            </w:r>
          </w:p>
        </w:tc>
        <w:tc>
          <w:tcPr>
            <w:tcW w:w="1930" w:type="dxa"/>
            <w:vAlign w:val="center"/>
          </w:tcPr>
          <w:p w14:paraId="2D759D0E" w14:textId="77777777" w:rsidR="00AB248D" w:rsidRDefault="00000000">
            <w:r>
              <w:t>0.046612</w:t>
            </w:r>
          </w:p>
        </w:tc>
        <w:tc>
          <w:tcPr>
            <w:tcW w:w="1930" w:type="dxa"/>
            <w:vAlign w:val="center"/>
          </w:tcPr>
          <w:p w14:paraId="1416E4ED" w14:textId="77777777" w:rsidR="00AB248D" w:rsidRDefault="00000000">
            <w:r>
              <w:t>-0.000420</w:t>
            </w:r>
          </w:p>
        </w:tc>
        <w:tc>
          <w:tcPr>
            <w:tcW w:w="1930" w:type="dxa"/>
            <w:vAlign w:val="center"/>
          </w:tcPr>
          <w:p w14:paraId="4D590C79" w14:textId="77777777" w:rsidR="00AB248D" w:rsidRDefault="00000000">
            <w:r>
              <w:t>4.821064</w:t>
            </w:r>
          </w:p>
        </w:tc>
        <w:tc>
          <w:tcPr>
            <w:tcW w:w="1930" w:type="dxa"/>
            <w:vAlign w:val="center"/>
          </w:tcPr>
          <w:p w14:paraId="6C405685" w14:textId="77777777" w:rsidR="00AB248D" w:rsidRDefault="00000000">
            <w:r>
              <w:t>0.001</w:t>
            </w:r>
          </w:p>
        </w:tc>
      </w:tr>
      <w:tr w:rsidR="00AB248D" w14:paraId="6CDEADD0" w14:textId="77777777">
        <w:trPr>
          <w:jc w:val="center"/>
        </w:trPr>
        <w:tc>
          <w:tcPr>
            <w:tcW w:w="1930" w:type="dxa"/>
            <w:vAlign w:val="center"/>
          </w:tcPr>
          <w:p w14:paraId="7FB20FFA" w14:textId="77777777" w:rsidR="00AB248D" w:rsidRDefault="00000000">
            <w:r>
              <w:t>Sensitivity: 9,050 m distance band</w:t>
            </w:r>
          </w:p>
        </w:tc>
        <w:tc>
          <w:tcPr>
            <w:tcW w:w="1930" w:type="dxa"/>
            <w:vAlign w:val="center"/>
          </w:tcPr>
          <w:p w14:paraId="6D1BDF15" w14:textId="77777777" w:rsidR="00AB248D" w:rsidRDefault="00000000">
            <w:r>
              <w:t>0.040196</w:t>
            </w:r>
          </w:p>
        </w:tc>
        <w:tc>
          <w:tcPr>
            <w:tcW w:w="1930" w:type="dxa"/>
            <w:vAlign w:val="center"/>
          </w:tcPr>
          <w:p w14:paraId="614A0CCE" w14:textId="77777777" w:rsidR="00AB248D" w:rsidRDefault="00000000">
            <w:r>
              <w:t>-0.000420</w:t>
            </w:r>
          </w:p>
        </w:tc>
        <w:tc>
          <w:tcPr>
            <w:tcW w:w="1930" w:type="dxa"/>
            <w:vAlign w:val="center"/>
          </w:tcPr>
          <w:p w14:paraId="70DA357E" w14:textId="77777777" w:rsidR="00AB248D" w:rsidRDefault="00000000">
            <w:r>
              <w:t>8.401129</w:t>
            </w:r>
          </w:p>
        </w:tc>
        <w:tc>
          <w:tcPr>
            <w:tcW w:w="1930" w:type="dxa"/>
            <w:vAlign w:val="center"/>
          </w:tcPr>
          <w:p w14:paraId="7E4309DF" w14:textId="77777777" w:rsidR="00AB248D" w:rsidRDefault="00000000">
            <w:r>
              <w:t>0.001</w:t>
            </w:r>
          </w:p>
        </w:tc>
      </w:tr>
      <w:tr w:rsidR="00AB248D" w14:paraId="664DD6BB" w14:textId="77777777">
        <w:trPr>
          <w:jc w:val="center"/>
        </w:trPr>
        <w:tc>
          <w:tcPr>
            <w:tcW w:w="1930" w:type="dxa"/>
            <w:vAlign w:val="center"/>
          </w:tcPr>
          <w:p w14:paraId="35BF03DE" w14:textId="77777777" w:rsidR="00AB248D" w:rsidRDefault="00000000">
            <w:r>
              <w:t>Sensitivity: ambiguous treated as missed</w:t>
            </w:r>
          </w:p>
        </w:tc>
        <w:tc>
          <w:tcPr>
            <w:tcW w:w="1930" w:type="dxa"/>
            <w:vAlign w:val="center"/>
          </w:tcPr>
          <w:p w14:paraId="7C042680" w14:textId="77777777" w:rsidR="00AB248D" w:rsidRDefault="00000000">
            <w:r>
              <w:t>0.043926</w:t>
            </w:r>
          </w:p>
        </w:tc>
        <w:tc>
          <w:tcPr>
            <w:tcW w:w="1930" w:type="dxa"/>
            <w:vAlign w:val="center"/>
          </w:tcPr>
          <w:p w14:paraId="4645E7F2" w14:textId="77777777" w:rsidR="00AB248D" w:rsidRDefault="00000000">
            <w:r>
              <w:t>-0.000390</w:t>
            </w:r>
          </w:p>
        </w:tc>
        <w:tc>
          <w:tcPr>
            <w:tcW w:w="1930" w:type="dxa"/>
            <w:vAlign w:val="center"/>
          </w:tcPr>
          <w:p w14:paraId="02E01B0A" w14:textId="77777777" w:rsidR="00AB248D" w:rsidRDefault="00000000">
            <w:r>
              <w:t>5.004061</w:t>
            </w:r>
          </w:p>
        </w:tc>
        <w:tc>
          <w:tcPr>
            <w:tcW w:w="1930" w:type="dxa"/>
            <w:vAlign w:val="center"/>
          </w:tcPr>
          <w:p w14:paraId="6A7A063A" w14:textId="77777777" w:rsidR="00AB248D" w:rsidRDefault="00000000">
            <w:r>
              <w:t>0.001</w:t>
            </w:r>
          </w:p>
        </w:tc>
      </w:tr>
    </w:tbl>
    <w:p w14:paraId="5333B7D9" w14:textId="77777777" w:rsidR="00AB248D" w:rsidRDefault="00000000">
      <w:pPr>
        <w:pStyle w:val="Heading2"/>
      </w:pPr>
      <w:r>
        <w:t>Local Moran's I results</w:t>
      </w:r>
    </w:p>
    <w:p w14:paraId="0220D99A" w14:textId="77777777" w:rsidR="00AB248D" w:rsidRDefault="00000000" w:rsidP="00FF7B28">
      <w:pPr>
        <w:jc w:val="both"/>
      </w:pPr>
      <w:r>
        <w:t>Before correction, the main analysis flagged 63 clusters of visited settlements sitting near each other (“Low-Low”), 4 outlier settlements, and no “High-Low” outliers, leaving 2,251 settlements with no pattern. After applying the Benjamini-Hochberg correction, none of the 2,318 settlements remained statistically significant.</w:t>
      </w:r>
    </w:p>
    <w:p w14:paraId="41488D49" w14:textId="77777777" w:rsidR="00AB248D" w:rsidRDefault="00000000">
      <w:r>
        <w:lastRenderedPageBreak/>
        <w:t>The distance-band version found 78 Low-Low, 40 Low-High, and 54 High-Low settlements before correction, with 2,146 showing no pattern; after correction, none of the 2,318 settlements were significant. The version that treats ambiguous settlements as missed found 53 Low-Low, 86 Low-High, and 10 High-Low settlements before correction, with 2,413 showing no pattern; after correction, again none of the 2,562 settlements were significant — and unlike the other two versions, this one's overall (Global Moran's I) result also stops being statistically significant on its own (p=0.140).</w:t>
      </w:r>
    </w:p>
    <w:p w14:paraId="17610709" w14:textId="77777777" w:rsidR="00AB248D" w:rsidRDefault="00000000">
      <w:pPr>
        <w:pStyle w:val="Heading2"/>
      </w:pPr>
      <w:r>
        <w:t>Plain-language interpretation for the technical assessor</w:t>
      </w:r>
    </w:p>
    <w:p w14:paraId="0057A2C4" w14:textId="77777777" w:rsidR="00AB248D" w:rsidRDefault="00000000" w:rsidP="00FF7B28">
      <w:pPr>
        <w:jc w:val="both"/>
      </w:pPr>
      <w:r>
        <w:t>In plain terms: overall, missed settlements are more clustered on the map than you would expect by chance. But once you account for the fact that thousands of small areas were tested individually, none of them stays statistically significant on its own. So the local patterns are useful as a starting point for where to look, not as confirmed hotspots or proof that any particular area under-performed.</w:t>
      </w:r>
    </w:p>
    <w:p w14:paraId="3D0BD90C" w14:textId="77777777" w:rsidR="00AB248D" w:rsidRDefault="00000000">
      <w:pPr>
        <w:pStyle w:val="Heading2"/>
      </w:pPr>
      <w:r>
        <w:t>Limitations and decision use</w:t>
      </w:r>
    </w:p>
    <w:p w14:paraId="0A9282C5" w14:textId="77777777" w:rsidR="00AB248D" w:rsidRDefault="00000000" w:rsidP="00FF7B28">
      <w:pPr>
        <w:pStyle w:val="ListBullet"/>
        <w:numPr>
          <w:ilvl w:val="0"/>
          <w:numId w:val="11"/>
        </w:numPr>
      </w:pPr>
      <w:r>
        <w:t>The statistic only shows clustering. It does not explain why any particular settlement was classified as missed.</w:t>
      </w:r>
    </w:p>
    <w:p w14:paraId="31AF8686" w14:textId="77777777" w:rsidR="00AB248D" w:rsidRDefault="00000000" w:rsidP="00FF7B28">
      <w:pPr>
        <w:pStyle w:val="ListBullet"/>
        <w:numPr>
          <w:ilvl w:val="0"/>
          <w:numId w:val="11"/>
        </w:numPr>
      </w:pPr>
      <w:r>
        <w:t>It does not prove that any one settlement was genuinely unvisited, that a team did anything wrong, or whether any individual child was vaccinated.</w:t>
      </w:r>
    </w:p>
    <w:p w14:paraId="35C89D0B" w14:textId="77777777" w:rsidR="00AB248D" w:rsidRDefault="00000000" w:rsidP="00FF7B28">
      <w:pPr>
        <w:pStyle w:val="ListBullet"/>
        <w:numPr>
          <w:ilvl w:val="0"/>
          <w:numId w:val="11"/>
        </w:numPr>
      </w:pPr>
      <w:r>
        <w:t>The result depends on every earlier choice made along the way: the GPS quality checks, how points were matched to settlements, how “missed” was defined, the neighbour weights, and the statistical correction.</w:t>
      </w:r>
    </w:p>
    <w:p w14:paraId="6C3D8B15" w14:textId="77777777" w:rsidR="00AB248D" w:rsidRDefault="00000000" w:rsidP="00FF7B28">
      <w:pPr>
        <w:pStyle w:val="ListBullet"/>
        <w:numPr>
          <w:ilvl w:val="0"/>
          <w:numId w:val="11"/>
        </w:numPr>
      </w:pPr>
      <w:r>
        <w:t>Because so many settlements are flagged as missed, there is less contrast for the local test to work with.</w:t>
      </w:r>
    </w:p>
    <w:p w14:paraId="100D878A" w14:textId="77777777" w:rsidR="00AB248D" w:rsidRDefault="00000000">
      <w:r>
        <w:t>Recommendation. Give the Incident Manager the reconciled GPS-and-tally figure. Use where the two sources disagree, and the raw spatial patterns, to decide what to verify first — not as an automatic trigger for a mop-up round.</w:t>
      </w:r>
    </w:p>
    <w:p w14:paraId="7215639D" w14:textId="77777777" w:rsidR="00AB248D" w:rsidRDefault="00000000">
      <w:r>
        <w:br w:type="page"/>
      </w:r>
    </w:p>
    <w:p w14:paraId="399B7DDD" w14:textId="77777777" w:rsidR="00AB248D" w:rsidRDefault="00000000">
      <w:pPr>
        <w:pStyle w:val="Heading1"/>
      </w:pPr>
      <w:r>
        <w:lastRenderedPageBreak/>
        <w:t>Requirement 6: Evidence-Based Decision Products</w:t>
      </w:r>
    </w:p>
    <w:p w14:paraId="1D385CA2" w14:textId="77777777" w:rsidR="00AB248D" w:rsidRDefault="00000000">
      <w:r>
        <w:t>Guiding principle: no GPS track does not mean no visit happened. A settlement with no confirmed GPS evidence could genuinely have been missed — or it could have been visited by a team whose tracker failed or was not used, lost signal, is hard to match to that settlement, or was affected by a reporting, ID, timing, or processing mix-up.</w:t>
      </w:r>
    </w:p>
    <w:p w14:paraId="1646620F" w14:textId="77777777" w:rsidR="00AB248D" w:rsidRDefault="00000000">
      <w:pPr>
        <w:pStyle w:val="Heading2"/>
      </w:pPr>
      <w:r>
        <w:t>Observed evidence, inference, and confidence</w:t>
      </w:r>
    </w:p>
    <w:p w14:paraId="252C9D90" w14:textId="77777777" w:rsidR="00AB248D" w:rsidRDefault="00000000">
      <w:r>
        <w:t>The final outputs keep a clear line between what the data actually shows and what is being inferred from it. The technical map shows the evidence categories directly; the Incident Manager brief turns those into a priority list for verification. Neither one treats “no GPS evidence” as proof a settlement was not visited.</w:t>
      </w:r>
    </w:p>
    <w:p w14:paraId="3BA5550F" w14:textId="77777777" w:rsidR="00AB248D" w:rsidRDefault="00000000">
      <w:pPr>
        <w:pStyle w:val="ListBullet"/>
      </w:pPr>
      <w:r>
        <w:t>High confidence: GPS and e-tally corroborate a recorded visit, or a directly measured source metric is reported within its own scope.</w:t>
      </w:r>
    </w:p>
    <w:p w14:paraId="50BCFFAF" w14:textId="77777777" w:rsidR="00AB248D" w:rsidRDefault="00000000">
      <w:pPr>
        <w:pStyle w:val="ListBullet"/>
      </w:pPr>
      <w:r>
        <w:t>Moderate confidence: one source provides evidence while the other is unavailable or ambiguous.</w:t>
      </w:r>
    </w:p>
    <w:p w14:paraId="7DA9B13D" w14:textId="77777777" w:rsidR="00AB248D" w:rsidRDefault="00000000">
      <w:pPr>
        <w:pStyle w:val="ListBullet"/>
      </w:pPr>
      <w:r>
        <w:t>Low confidence: sources disagree, attribution is ambiguous, material GPS QA concerns apply, or identifiers are unmatched.</w:t>
      </w:r>
    </w:p>
    <w:p w14:paraId="72017B1A" w14:textId="77777777" w:rsidR="00AB248D" w:rsidRDefault="00000000">
      <w:pPr>
        <w:pStyle w:val="ListBullet"/>
      </w:pPr>
      <w:r>
        <w:t>Unknown: available evidence is insufficient for an operational conclusion.</w:t>
      </w:r>
    </w:p>
    <w:p w14:paraId="3DDC7DB8" w14:textId="77777777" w:rsidR="00AB248D" w:rsidRDefault="00000000">
      <w:pPr>
        <w:pStyle w:val="Heading2"/>
      </w:pPr>
      <w:r>
        <w:t>Technical map and statistical interpretation</w:t>
      </w:r>
    </w:p>
    <w:p w14:paraId="4ECFDDA0" w14:textId="77777777" w:rsidR="00AB248D" w:rsidRDefault="00000000">
      <w:r>
        <w:t>The A3 technical map shows each planned settlement's evidence category, ward and LGA boundaries, inaccessible settlements, a coordinate grid, the map projection, data sources, and method notes. The main Global Moran's I result is statistically significant (I=0.020281, expected I=-0.000432, z=2.267140, p=0.026 from 999 permutations — fully revised 2026-07-31; the original figures were I=0.046612/p=0.001), meaning the missed-settlement pattern really is more clustered than random chance would produce.</w:t>
      </w:r>
    </w:p>
    <w:p w14:paraId="17761E8A" w14:textId="77777777" w:rsidR="00AB248D" w:rsidRDefault="00000000">
      <w:r>
        <w:t>None of the local (small-area) results held up after the Benjamini-Hochberg correction, so the map does not show these exploratory local patterns as confirmed hotspots. That stops a screening-level statistical signal from being mistaken for proof of a real programme failure.</w:t>
      </w:r>
    </w:p>
    <w:p w14:paraId="297E5EB0" w14:textId="77777777" w:rsidR="00AB248D" w:rsidRDefault="00000000">
      <w:pPr>
        <w:pStyle w:val="Heading2"/>
      </w:pPr>
      <w:r>
        <w:t>Final operational recommendations</w:t>
      </w:r>
    </w:p>
    <w:p w14:paraId="70035582" w14:textId="77777777" w:rsidR="00AB248D" w:rsidRDefault="00000000">
      <w:pPr>
        <w:pStyle w:val="ListBullet"/>
      </w:pPr>
      <w:r>
        <w:t>Priority 1: 1,654 settlements were reported as done in the tally system but have no confirmed GPS evidence — ranked by how big the gap is at ward level (see the Incident Manager brief). There are too many to check all of them within 24 hours. This is weak evidence that they were not actually visited, but it is still the highest priority for the Incident Manager to have supervisors verify — checking devices, confirming repeat visits, and reconciling team, date, and settlement records.</w:t>
      </w:r>
    </w:p>
    <w:p w14:paraId="4AF458AF" w14:textId="77777777" w:rsidR="00AB248D" w:rsidRDefault="00000000">
      <w:pPr>
        <w:pStyle w:val="ListBullet"/>
      </w:pPr>
      <w:r>
        <w:t>Priority 2: 525 settlements have no evidence from either GPS or the tally system. Before sending anyone back, confirm whether the settlement was accessible, check field records and device data, and get supervisor evidence.</w:t>
      </w:r>
    </w:p>
    <w:p w14:paraId="1AFB002D" w14:textId="77777777" w:rsidR="00AB248D" w:rsidRDefault="00000000">
      <w:pPr>
        <w:pStyle w:val="ListBullet"/>
      </w:pPr>
      <w:r>
        <w:t>Priority 3: resolve 244 ambiguous GPS-attribution cases before classifying them as visited or missed. Reconcile coordinates, movement context, and e-tally with supervisor records.</w:t>
      </w:r>
    </w:p>
    <w:p w14:paraId="2A428695" w14:textId="77777777" w:rsidR="00AB248D" w:rsidRDefault="00000000">
      <w:pPr>
        <w:pStyle w:val="ListBullet"/>
      </w:pPr>
      <w:r>
        <w:t>Reconcile seven unmatched e-tally identifiers separately. Do not treat them as planned-settlement performance evidence until identifiers are resolved.</w:t>
      </w:r>
    </w:p>
    <w:p w14:paraId="5531B980" w14:textId="77777777" w:rsidR="00AB248D" w:rsidRDefault="00000000">
      <w:pPr>
        <w:pStyle w:val="Heading2"/>
      </w:pPr>
      <w:r>
        <w:t>Assessment reflection</w:t>
      </w:r>
    </w:p>
    <w:p w14:paraId="6FA64641" w14:textId="77777777" w:rsidR="00AB248D" w:rsidRDefault="00000000">
      <w:r>
        <w:t>This response is deliberately careful not to mistake a data problem for a real programme failure. GPS is stronger proof that someone physically showed up; the tally system is stronger proof that doses were reported as given. Neither one, by itself, proves both that a team arrived and that children were vaccinated. The combined figure and confidence levels are meant to be honest about that uncertainty, and to point the Incident Manager toward quick verification rather than jumping to discipline or a mop-up round without evidence.</w:t>
      </w:r>
    </w:p>
    <w:p>
      <w:r>
        <w:t>Final, verified numbers (fully revised 2026-07-31 after four compounding defects were found and fixed in the GPS pipeline — see technical_decisions.md): 2,562 planned settlements; 139 confirmed visited by GPS; 2,016 reported in the tally system; 661 where the two sources agree; 1,657 where they clearly disagree; 244 ambiguous GPS cases; 28.52% clear agreement; 5.43% GPS-confirmed coverage; 78.69% tally-reported coverage; a 73.26-percentage-point gap between them. That gap is itself evidence of a data problem, not a literal claim that most settlements went unserved — it is not plausible for the tally system to report 78.69% coverage next to genuinely only 5.43% physical confirmation.</w:t>
      </w:r>
    </w:p>
    <w:sectPr w:rsidR="00AB248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DAC3" w14:textId="77777777" w:rsidR="009976D9" w:rsidRDefault="009976D9">
      <w:pPr>
        <w:spacing w:after="0" w:line="240" w:lineRule="auto"/>
      </w:pPr>
      <w:r>
        <w:separator/>
      </w:r>
    </w:p>
  </w:endnote>
  <w:endnote w:type="continuationSeparator" w:id="0">
    <w:p w14:paraId="4C25F754" w14:textId="77777777" w:rsidR="009976D9" w:rsidRDefault="00997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F4E0C" w14:textId="77777777" w:rsidR="00AB248D" w:rsidRDefault="00000000">
    <w:pPr>
      <w:pStyle w:val="Footer"/>
      <w:jc w:val="center"/>
    </w:pPr>
    <w:r>
      <w:t>Q1 Technical Response | Requirement 5 | eHealth Africa assessment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6F726" w14:textId="77777777" w:rsidR="009976D9" w:rsidRDefault="009976D9">
      <w:pPr>
        <w:spacing w:after="0" w:line="240" w:lineRule="auto"/>
      </w:pPr>
      <w:r>
        <w:separator/>
      </w:r>
    </w:p>
  </w:footnote>
  <w:footnote w:type="continuationSeparator" w:id="0">
    <w:p w14:paraId="7A074014" w14:textId="77777777" w:rsidR="009976D9" w:rsidRDefault="00997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8D3359"/>
    <w:multiLevelType w:val="hybridMultilevel"/>
    <w:tmpl w:val="1A4EA3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AAF5DA5"/>
    <w:multiLevelType w:val="hybridMultilevel"/>
    <w:tmpl w:val="B2DC22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0240971">
    <w:abstractNumId w:val="8"/>
  </w:num>
  <w:num w:numId="2" w16cid:durableId="1858929200">
    <w:abstractNumId w:val="6"/>
  </w:num>
  <w:num w:numId="3" w16cid:durableId="1450003501">
    <w:abstractNumId w:val="5"/>
  </w:num>
  <w:num w:numId="4" w16cid:durableId="301158321">
    <w:abstractNumId w:val="4"/>
  </w:num>
  <w:num w:numId="5" w16cid:durableId="1666783618">
    <w:abstractNumId w:val="7"/>
  </w:num>
  <w:num w:numId="6" w16cid:durableId="55400524">
    <w:abstractNumId w:val="3"/>
  </w:num>
  <w:num w:numId="7" w16cid:durableId="1421830074">
    <w:abstractNumId w:val="2"/>
  </w:num>
  <w:num w:numId="8" w16cid:durableId="2145150717">
    <w:abstractNumId w:val="1"/>
  </w:num>
  <w:num w:numId="9" w16cid:durableId="354186490">
    <w:abstractNumId w:val="0"/>
  </w:num>
  <w:num w:numId="10" w16cid:durableId="1458913949">
    <w:abstractNumId w:val="9"/>
  </w:num>
  <w:num w:numId="11" w16cid:durableId="4583080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84A"/>
    <w:rsid w:val="00326F90"/>
    <w:rsid w:val="009976D9"/>
    <w:rsid w:val="00AA1D8D"/>
    <w:rsid w:val="00AB248D"/>
    <w:rsid w:val="00B47730"/>
    <w:rsid w:val="00CB0664"/>
    <w:rsid w:val="00FC693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8343E5"/>
  <w14:defaultImageDpi w14:val="300"/>
  <w15:docId w15:val="{ED29C007-205D-4527-8FBB-60300D6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1012</Words>
  <Characters>5772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Yahaya</cp:lastModifiedBy>
  <cp:revision>2</cp:revision>
  <dcterms:created xsi:type="dcterms:W3CDTF">2013-12-23T23:15:00Z</dcterms:created>
  <dcterms:modified xsi:type="dcterms:W3CDTF">2026-07-30T21:13:00Z</dcterms:modified>
  <cp:category/>
</cp:coreProperties>
</file>