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1F4E79"/>
          <w:sz w:val="40"/>
          <w:szCs w:val="40"/>
        </w:rPr>
        <w:t xml:space="preserve">STAKEHOLDER REGISTER</w:t>
      </w:r>
    </w:p>
    <w:p>
      <w:pPr>
        <w:spacing w:after="40" w:before="0"/>
      </w:pPr>
      <w:r>
        <w:rPr>
          <w:rFonts w:ascii="Arial" w:cs="Arial" w:eastAsia="Arial" w:hAnsi="Arial"/>
          <w:color w:val="2E75B6"/>
          <w:sz w:val="26"/>
          <w:szCs w:val="26"/>
        </w:rPr>
        <w:t xml:space="preserve">Smart Parking System  —  Phase 01 Deliverable</w:t>
      </w:r>
    </w:p>
    <w:p>
      <w:pPr>
        <w:spacing w:after="360" w:before="0"/>
      </w:pPr>
      <w:r>
        <w:rPr>
          <w:rFonts w:ascii="Arial" w:cs="Arial" w:eastAsia="Arial" w:hAnsi="Arial"/>
          <w:color w:val="888888"/>
          <w:sz w:val="20"/>
          <w:szCs w:val="20"/>
        </w:rPr>
        <w:t xml:space="preserve">Document: SPS-SR-001  |  Version: 1.0  |  Status: Approved  |  Date: </w:t>
      </w:r>
      <w:r>
        <w:rPr>
          <w:rFonts w:ascii="Arial" w:cs="Arial" w:eastAsia="Arial" w:hAnsi="Arial"/>
          <w:color w:val="888888"/>
          <w:sz w:val="20"/>
          <w:szCs w:val="20"/>
        </w:rPr>
        <w:t xml:space="preserve">15 April 2026</w:t>
      </w:r>
    </w:p>
    <w:p>
      <w:pPr>
        <w:pStyle w:val="Heading1"/>
        <w:pBdr>
          <w:bottom w:val="single" w:color="2E75B6" w:sz="6" w:space="4"/>
        </w:pBdr>
        <w:spacing w:after="120" w:before="360"/>
      </w:pPr>
      <w:r>
        <w:rPr>
          <w:rFonts w:ascii="Arial" w:cs="Arial" w:eastAsia="Arial" w:hAnsi="Arial"/>
          <w:b/>
          <w:bCs/>
          <w:color w:val="1F4E79"/>
          <w:sz w:val="28"/>
          <w:szCs w:val="28"/>
        </w:rPr>
        <w:t xml:space="preserve">1. Purpose of This Document</w:t>
      </w:r>
    </w:p>
    <w:p>
      <w:pPr>
        <w:spacing w:after="100" w:before="60"/>
      </w:pPr>
      <w:r>
        <w:rPr>
          <w:rFonts w:ascii="Arial" w:cs="Arial" w:eastAsia="Arial" w:hAnsi="Arial"/>
          <w:color w:val="404040"/>
          <w:sz w:val="22"/>
          <w:szCs w:val="22"/>
        </w:rPr>
        <w:t xml:space="preserve">The Stakeholder Register identifies all individuals, groups, and organisations with an interest in or influence over the Smart Parking System project. It captures their role, level of influence and interest, key expectations, and how they should be engaged throughout the BA process. This register is a living document — it will be updated as new stakeholders are identified or circumstances change.</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2. Influence &amp; Interest Ratings</w:t>
      </w:r>
    </w:p>
    <w:p>
      <w:pPr>
        <w:spacing w:after="100" w:before="60"/>
      </w:pPr>
      <w:r>
        <w:rPr>
          <w:rFonts w:ascii="Arial" w:cs="Arial" w:eastAsia="Arial" w:hAnsi="Arial"/>
          <w:color w:val="404040"/>
          <w:sz w:val="22"/>
          <w:szCs w:val="22"/>
        </w:rPr>
        <w:t xml:space="preserve">Each stakeholder is rated on two dimensions:</w:t>
      </w:r>
    </w:p>
    <w:p>
      <w:pPr>
        <w:pStyle w:val="ListParagraph"/>
        <w:numPr>
          <w:ilvl w:val="0"/>
          <w:numId w:val="2"/>
        </w:numPr>
        <w:spacing w:after="40" w:before="40"/>
      </w:pPr>
      <w:r>
        <w:rPr>
          <w:rFonts w:ascii="Arial" w:cs="Arial" w:eastAsia="Arial" w:hAnsi="Arial"/>
          <w:color w:val="404040"/>
          <w:sz w:val="22"/>
          <w:szCs w:val="22"/>
        </w:rPr>
        <w:t xml:space="preserve">Influence — the stakeholder's ability to affect project decisions, funding, or outcomes</w:t>
      </w:r>
    </w:p>
    <w:p>
      <w:pPr>
        <w:pStyle w:val="ListParagraph"/>
        <w:numPr>
          <w:ilvl w:val="0"/>
          <w:numId w:val="2"/>
        </w:numPr>
        <w:spacing w:after="80" w:before="40"/>
      </w:pPr>
      <w:r>
        <w:rPr>
          <w:rFonts w:ascii="Arial" w:cs="Arial" w:eastAsia="Arial" w:hAnsi="Arial"/>
          <w:color w:val="404040"/>
          <w:sz w:val="22"/>
          <w:szCs w:val="22"/>
        </w:rPr>
        <w:t xml:space="preserve">Interest — the degree to which the stakeholder is affected by or cares about the project outcome</w:t>
      </w:r>
    </w:p>
    <w:p>
      <w:pPr>
        <w:spacing w:after="100" w:before="60"/>
      </w:pPr>
      <w:r>
        <w:rPr>
          <w:rFonts w:ascii="Arial" w:cs="Arial" w:eastAsia="Arial" w:hAnsi="Arial"/>
          <w:color w:val="404040"/>
          <w:sz w:val="22"/>
          <w:szCs w:val="22"/>
        </w:rPr>
        <w:t xml:space="preserve">Ratings: High (prioritise and manage closely), Medium (keep informed and consult), Low (monitor only)</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Stakeholder Register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1100"/>
        <w:gridCol w:w="1100"/>
        <w:gridCol w:w="27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Stakeholder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Category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Influence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Interest</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Expectations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Car Park General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Internal — Management</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Full visibility into revenue, occupancy, and operational KPIs. System must reduce labour overhead and eliminate revenue leakage.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Finance / Accounts Department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Internal — Finance</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Accurate, auditable transaction records. Daily reconciliation reports matching bank statements. Zero tolerance for unrecorded transactions.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IT Administrator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Internal — IT</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bCs/>
                <w:color w:val="7D4E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System must be deployable on existing hardware. Minimal maintenance burden. Clear documentation and backup procedures.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Parking Attendants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Internal — Operations</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pPr>
              <w:jc w:val="left"/>
            </w:pPr>
            <w:r>
              <w:rPr>
                <w:rFonts w:ascii="Arial" w:cs="Arial" w:eastAsia="Arial" w:hAnsi="Arial"/>
                <w:b/>
                <w:bCs/>
                <w:color w:val="1E6B2E"/>
                <w:sz w:val="20"/>
                <w:szCs w:val="20"/>
              </w:rPr>
              <w:t xml:space="preserve">Low</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Simple, fast interface requiring minimal training. System should not eliminate jobs but reduce manual burden. Clear instructions for error handling.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Senior Attendant / Shift Supervisor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Internal — Operations</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bCs/>
                <w:color w:val="7D4E00"/>
                <w:sz w:val="20"/>
                <w:szCs w:val="20"/>
              </w:rPr>
              <w:t xml:space="preserve">Medium</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Ability to view real-time occupancy and override the system for manual interventions. Clear audit trail for all supervisor actions.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Drivers / End Users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External — Public</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bCs/>
                <w:color w:val="7D4E00"/>
                <w:sz w:val="20"/>
                <w:szCs w:val="20"/>
              </w:rPr>
              <w:t xml:space="preserve">Medium</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Fast entry and exit. Clear pricing information upfront. Multiple payment options. Real-time space availability before entering the facility.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Corporate Account Holders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External — Business</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bCs/>
                <w:color w:val="7D4E00"/>
                <w:sz w:val="20"/>
                <w:szCs w:val="20"/>
              </w:rPr>
              <w:t xml:space="preserve">Medium</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bCs/>
                <w:color w:val="7D4E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Monthly invoicing capability. Reserved space allocation. Management reporting for expense reconciliation. Account portal access.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Municipal / City Council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External — Regulator</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jc w:val="left"/>
            </w:pPr>
            <w:r>
              <w:rPr>
                <w:rFonts w:ascii="Arial" w:cs="Arial" w:eastAsia="Arial" w:hAnsi="Arial"/>
                <w:b/>
                <w:bCs/>
                <w:color w:val="7B1D1D"/>
                <w:sz w:val="20"/>
                <w:szCs w:val="20"/>
              </w:rPr>
              <w:t xml:space="preserve">High</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pPr>
              <w:jc w:val="left"/>
            </w:pPr>
            <w:r>
              <w:rPr>
                <w:rFonts w:ascii="Arial" w:cs="Arial" w:eastAsia="Arial" w:hAnsi="Arial"/>
                <w:b/>
                <w:bCs/>
                <w:color w:val="1E6B2E"/>
                <w:sz w:val="20"/>
                <w:szCs w:val="20"/>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Compliance with local vehicle ordinances and data privacy regulations. Accessibility provisions for disabled spaces. Safety and fire code adherence.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Payment Gateway Provider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External — Vendor</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bCs/>
                <w:color w:val="7D4E00"/>
                <w:sz w:val="20"/>
                <w:szCs w:val="20"/>
              </w:rPr>
              <w:t xml:space="preserve">Medium</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pPr>
              <w:jc w:val="left"/>
            </w:pPr>
            <w:r>
              <w:rPr>
                <w:rFonts w:ascii="Arial" w:cs="Arial" w:eastAsia="Arial" w:hAnsi="Arial"/>
                <w:b/>
                <w:bCs/>
                <w:color w:val="1E6B2E"/>
                <w:sz w:val="20"/>
                <w:szCs w:val="20"/>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Clear API integration specification. PCI-DSS compliance by the car park operator. Agreed SLA for payment processing uptime.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Sensor / Hardware Vendor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External — Vendor</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rFonts w:ascii="Arial" w:cs="Arial" w:eastAsia="Arial" w:hAnsi="Arial"/>
                <w:b/>
                <w:bCs/>
                <w:color w:val="7D4E00"/>
                <w:sz w:val="20"/>
                <w:szCs w:val="20"/>
              </w:rPr>
              <w:t xml:space="preserve">Medium</w:t>
            </w:r>
          </w:p>
        </w:tc>
        <w:tc>
          <w:tcPr>
            <w:tcW w:type="dxa" w:w="1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pPr>
              <w:jc w:val="left"/>
            </w:pPr>
            <w:r>
              <w:rPr>
                <w:rFonts w:ascii="Arial" w:cs="Arial" w:eastAsia="Arial" w:hAnsi="Arial"/>
                <w:b/>
                <w:bCs/>
                <w:color w:val="1E6B2E"/>
                <w:sz w:val="20"/>
                <w:szCs w:val="20"/>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System integration spec for sensor data API. Clear acceptance criteria for sensor accuracy and uptime. Warranty and support terms defined.</w:t>
            </w:r>
          </w:p>
        </w:tc>
      </w:tr>
    </w:tbl>
    <w:p>
      <w:pPr>
        <w:spacing w:after="0" w:before="24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Stakeholder Engagement Strategy</w:t>
      </w:r>
    </w:p>
    <w:p>
      <w:pPr>
        <w:spacing w:after="100" w:before="60"/>
      </w:pPr>
      <w:r>
        <w:rPr>
          <w:rFonts w:ascii="Arial" w:cs="Arial" w:eastAsia="Arial" w:hAnsi="Arial"/>
          <w:color w:val="404040"/>
          <w:sz w:val="22"/>
          <w:szCs w:val="22"/>
        </w:rPr>
        <w:t xml:space="preserve">The following table outlines how each stakeholder group will be engaged during the BA process. Engagement approach is based on the influence/interest matrix — high influence and high interest stakeholders require the most intensive engagement.</w:t>
      </w:r>
    </w:p>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028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Stakeholder</w:t>
            </w:r>
          </w:p>
        </w:tc>
        <w:tc>
          <w:tcPr>
            <w:tcW w:type="dxa" w:w="10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Engagement Approach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Car Park General Manager</w:t>
            </w:r>
          </w:p>
        </w:tc>
        <w:tc>
          <w:tcPr>
            <w:tcW w:type="dxa" w:w="10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Key decision-maker and project sponsor. Engage at every milestone for sign-off. Primary audience for all management reporting.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Finance / Accounts Dept.</w:t>
            </w:r>
          </w:p>
        </w:tc>
        <w:tc>
          <w:tcPr>
            <w:tcW w:type="dxa" w:w="10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Engage early to understand reconciliation requirements. Must review and approve transaction reporting design in Phase 02.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IT Administrator</w:t>
            </w:r>
          </w:p>
        </w:tc>
        <w:tc>
          <w:tcPr>
            <w:tcW w:type="dxa" w:w="10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Engage during Phase 05 (data design) and Phase 06 (prototype). Must approve deployment architecture and backup strategy.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Parking Attendants</w:t>
            </w:r>
          </w:p>
        </w:tc>
        <w:tc>
          <w:tcPr>
            <w:tcW w:type="dxa" w:w="10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Run structured interviews during requirements elicitation. Include in UAT. Their workarounds reveal the real AS-IS process gaps.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Shift Supervisor</w:t>
            </w:r>
          </w:p>
        </w:tc>
        <w:tc>
          <w:tcPr>
            <w:tcW w:type="dxa" w:w="10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Shadow during a peak operating hour to observe the real AS-IS process. Key informant for exception handling requirements.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Drivers / End Users</w:t>
            </w:r>
          </w:p>
        </w:tc>
        <w:tc>
          <w:tcPr>
            <w:tcW w:type="dxa" w:w="10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Conduct 5–8 user interviews in the car park. Distribute a short survey for payment preference data. Include in UAT.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Corporate Accounts</w:t>
            </w:r>
          </w:p>
        </w:tc>
        <w:tc>
          <w:tcPr>
            <w:tcW w:type="dxa" w:w="10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Defer engagement until Phase 02 is complete. Requirements captured as future-phase user stories (Could Have).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City Council</w:t>
            </w:r>
          </w:p>
        </w:tc>
        <w:tc>
          <w:tcPr>
            <w:tcW w:type="dxa" w:w="10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One-time review for regulatory constraints at project initiation. No ongoing engagement required for prototype phase.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Payment Gateway</w:t>
            </w:r>
          </w:p>
        </w:tc>
        <w:tc>
          <w:tcPr>
            <w:tcW w:type="dxa" w:w="10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Engage during Phase 05 to collect API specifications. Not required in prototype phase (simulated payment).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color w:val="2E75B6"/>
                <w:sz w:val="20"/>
                <w:szCs w:val="20"/>
              </w:rPr>
              <w:t xml:space="preserve">SH-10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Hardware Vendor</w:t>
            </w:r>
          </w:p>
        </w:tc>
        <w:tc>
          <w:tcPr>
            <w:tcW w:type="dxa" w:w="10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Collect sensor data format specifications during Phase 05. Not required in prototype phase (simulated sensor input).</w:t>
            </w:r>
          </w:p>
        </w:tc>
      </w:tr>
    </w:tbl>
    <w:p>
      <w:pPr>
        <w:spacing w:after="0" w:before="24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Influence–Interest Analysis</w:t>
      </w:r>
    </w:p>
    <w:p>
      <w:pPr>
        <w:spacing w:after="100" w:before="60"/>
      </w:pPr>
      <w:r>
        <w:rPr>
          <w:rFonts w:ascii="Arial" w:cs="Arial" w:eastAsia="Arial" w:hAnsi="Arial"/>
          <w:color w:val="404040"/>
          <w:sz w:val="22"/>
          <w:szCs w:val="22"/>
        </w:rPr>
        <w:t xml:space="preserve">Plotting stakeholders on the influence–interest matrix produces four quadrants that determine the engagement strategy:</w:t>
      </w:r>
    </w:p>
    <w:p>
      <w:pPr>
        <w:spacing w:after="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Manage Closely (High Influence / High Interest): SH-01 General Manager, SH-02 Finance Dept. — Weekly updates, all sign-offs, active participation in workshops.</w:t>
      </w:r>
    </w:p>
    <w:p>
      <w:pPr>
        <w:pStyle w:val="ListParagraph"/>
        <w:numPr>
          <w:ilvl w:val="0"/>
          <w:numId w:val="2"/>
        </w:numPr>
        <w:spacing w:after="40" w:before="40"/>
      </w:pPr>
      <w:r>
        <w:rPr>
          <w:rFonts w:ascii="Arial" w:cs="Arial" w:eastAsia="Arial" w:hAnsi="Arial"/>
          <w:color w:val="404040"/>
          <w:sz w:val="22"/>
          <w:szCs w:val="22"/>
        </w:rPr>
        <w:t xml:space="preserve">Keep Satisfied (High Influence / Low Interest): SH-03 IT Admin, SH-08 City Council — Consult on key decisions; do not overwhelm with detail.</w:t>
      </w:r>
    </w:p>
    <w:p>
      <w:pPr>
        <w:pStyle w:val="ListParagraph"/>
        <w:numPr>
          <w:ilvl w:val="0"/>
          <w:numId w:val="2"/>
        </w:numPr>
        <w:spacing w:after="40" w:before="40"/>
      </w:pPr>
      <w:r>
        <w:rPr>
          <w:rFonts w:ascii="Arial" w:cs="Arial" w:eastAsia="Arial" w:hAnsi="Arial"/>
          <w:color w:val="404040"/>
          <w:sz w:val="22"/>
          <w:szCs w:val="22"/>
        </w:rPr>
        <w:t xml:space="preserve">Keep Informed (Low Influence / High Interest): SH-04 Attendants, SH-06 Drivers — Include in requirements sessions and UAT; communicate changes clearly.</w:t>
      </w:r>
    </w:p>
    <w:p>
      <w:pPr>
        <w:pStyle w:val="ListParagraph"/>
        <w:numPr>
          <w:ilvl w:val="0"/>
          <w:numId w:val="2"/>
        </w:numPr>
        <w:spacing w:after="80" w:before="40"/>
      </w:pPr>
      <w:r>
        <w:rPr>
          <w:rFonts w:ascii="Arial" w:cs="Arial" w:eastAsia="Arial" w:hAnsi="Arial"/>
          <w:color w:val="404040"/>
          <w:sz w:val="22"/>
          <w:szCs w:val="22"/>
        </w:rPr>
        <w:t xml:space="preserve">Monitor (Low Influence / Low Interest): SH-09 Payment Gateway, SH-10 Hardware Vendor — Engage for technical specs only; no ongoing communication required.</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60"/>
    </w:pPr>
    <w:r>
      <w:rPr>
        <w:rFonts w:ascii="Arial" w:cs="Arial" w:eastAsia="Arial" w:hAnsi="Arial"/>
        <w:color w:val="888888"/>
        <w:sz w:val="16"/>
        <w:szCs w:val="16"/>
      </w:rPr>
      <w:t xml:space="preserve">CONFIDENTIAL — Portfolio Document  |  SPS-SR-001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pPr>
    <w:r>
      <w:rPr>
        <w:rFonts w:ascii="Arial" w:cs="Arial" w:eastAsia="Arial" w:hAnsi="Arial"/>
        <w:color w:val="888888"/>
        <w:sz w:val="18"/>
        <w:szCs w:val="18"/>
      </w:rPr>
      <w:t xml:space="preserve">Smart Parking System  |  Business Analysis Portfolio</w:t>
    </w:r>
    <w:r>
      <w:rPr>
        <w:rFonts w:ascii="Arial" w:cs="Arial" w:eastAsia="Arial" w:hAnsi="Arial"/>
        <w:color w:val="2E75B6"/>
        <w:sz w:val="18"/>
        <w:szCs w:val="18"/>
      </w:rPr>
      <w:t xml:space="preserve">  |  Phase 01 — Stakeholder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2026-04-15T03:02:58.621Z</dcterms:created>
  <dcterms:modified xsi:type="dcterms:W3CDTF">2026-04-15T03:02:58.621Z</dcterms:modified>
</cp:coreProperties>
</file>

<file path=docProps/custom.xml><?xml version="1.0" encoding="utf-8"?>
<Properties xmlns="http://schemas.openxmlformats.org/officeDocument/2006/custom-properties" xmlns:vt="http://schemas.openxmlformats.org/officeDocument/2006/docPropsVTypes"/>
</file>