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b/>
          <w:bCs/>
          <w:color w:val="2F9E86"/>
          <w:sz w:val="48"/>
          <w:szCs w:val="48"/>
        </w:rPr>
        <w:t xml:space="preserve">Bio-Oil Pyrolysis Deoxygenation</w:t>
      </w:r>
    </w:p>
    <w:p>
      <w:pPr>
        <w:spacing w:after="100"/>
        <w:jc w:val="center"/>
      </w:pPr>
      <w:r>
        <w:rPr>
          <w:color w:val="1A2733"/>
          <w:sz w:val="30"/>
          <w:szCs w:val="30"/>
        </w:rPr>
        <w:t xml:space="preserve">Machine Learning Pipeline &amp; Full-Stack Application</w:t>
      </w:r>
    </w:p>
    <w:p>
      <w:pPr>
        <w:spacing w:after="600"/>
        <w:jc w:val="center"/>
      </w:pPr>
      <w:r>
        <w:rPr>
          <w:i/>
          <w:iCs/>
          <w:sz w:val="24"/>
          <w:szCs w:val="24"/>
        </w:rPr>
        <w:t xml:space="preserve">Project Explainer &amp; Review Guide</w:t>
      </w:r>
    </w:p>
    <w:p>
      <w:pPr>
        <w:spacing w:after="160"/>
      </w:pPr>
      <w:r>
        <w:t xml:space="preserve">This document explains, in plain language, everything that was built for this project: the machine learning pipeline (data, models, results) and the full-stack web application (backend + frontend) built on top of it. It is written so you can walk into your review and explain every decision, every number, and every screen with confidence, even though this may be your first time working with this material end-to-end.</w:t>
      </w:r>
    </w:p>
    <w:p>
      <w:r>
        <w:br w:type="page"/>
      </w:r>
    </w:p>
    <w:p>
      <w:pPr>
        <w:pStyle w:val="Heading1"/>
        <w:spacing w:after="160" w:before="360"/>
      </w:pPr>
      <w:r>
        <w:t xml:space="preserve">1. What This Project Actually Does</w:t>
      </w:r>
    </w:p>
    <w:p>
      <w:pPr>
        <w:spacing w:after="160"/>
      </w:pPr>
      <w:r>
        <w:t xml:space="preserve">Pyrolysis is a chemical engineering process: you heat biomass (plant material — wood, crop residue, etc.) in the absence of oxygen, and it breaks down into three products: bio-oil (a liquid), char (a solid, like charcoal), and gas.</w:t>
      </w:r>
    </w:p>
    <w:p>
      <w:pPr>
        <w:spacing w:after="160"/>
      </w:pPr>
      <w:r>
        <w:t xml:space="preserve">The problem: raw bio-oil straight out of a pyrolysis reactor has a lot of oxygen in it. That oxygen makes it acidic, unstable, and lower-energy compared to fossil fuels — it needs “upgrading” before it's useful as a real fuel. The overall project this belongs to studies that whole chain:</w:t>
      </w:r>
    </w:p>
    <w:p>
      <w:pPr>
        <w:spacing w:after="160" w:before="80"/>
        <w:jc w:val="center"/>
      </w:pPr>
      <w:r>
        <w:rPr>
          <w:b/>
          <w:bCs/>
        </w:rPr>
        <w:t xml:space="preserve">Biomass  →  [Pyrolysis reactor]  →  Crude bio-oil  →  [Separation / upgrading]  →  Clean bio-oil</w:t>
      </w:r>
    </w:p>
    <w:p>
      <w:pPr>
        <w:spacing w:after="160"/>
      </w:pPr>
      <w:r>
        <w:t xml:space="preserve">This specific piece of the project focuses on the first arrow — the pyrolysis reactor step. Instead of producing oxygen-rich bio-oil and then cleaning it up afterward (expensive, wasteful), the idea is: can we predict, before running an experiment, how much oxygen the bio-oil will contain, based on (a) what biomass you feed in and (b) what reactor conditions you use? If we can predict that accurately, we can search for the feedstock/condition combination that produces the lowest-oxygen bio-oil in the first place.</w:t>
      </w:r>
    </w:p>
    <w:p>
      <w:pPr>
        <w:spacing w:after="160"/>
      </w:pPr>
      <w:r>
        <w:t xml:space="preserve">The number we predict is called the O/C ratio — the ratio of oxygen atoms to carbon atoms in the bio-oil. Lower O/C = less oxygen = better fuel. This is the single number the whole project is built around.</w:t>
      </w:r>
    </w:p>
    <w:p>
      <w:pPr>
        <w:pStyle w:val="Heading2"/>
        <w:spacing w:after="120" w:before="280"/>
      </w:pPr>
      <w:r>
        <w:t xml:space="preserve">Why machine learning, and not a chemistry formula?</w:t>
      </w:r>
    </w:p>
    <w:p>
      <w:pPr>
        <w:spacing w:after="160"/>
      </w:pPr>
      <w:r>
        <w:t xml:space="preserve">Pyrolysis chemistry is genuinely complicated — cellulose, hemicellulose, and lignin (the three main biomass components) each break down through different reaction pathways, and temperature, heating rate, and particle size all interact with those pathways in ways that don't reduce to one clean equation. Instead of deriving a formula from first principles, we take real experimental data from many published pyrolysis studies and train a model to learn the pattern statistically — this is exactly the kind of problem machine learning is good at when a first-principles model is impractical.</w:t>
      </w:r>
    </w:p>
    <w:p>
      <w:pPr>
        <w:pStyle w:val="Heading1"/>
        <w:spacing w:after="160" w:before="360"/>
      </w:pPr>
      <w:r>
        <w:t xml:space="preserve">2. The Dataset</w:t>
      </w:r>
    </w:p>
    <w:p>
      <w:pPr>
        <w:spacing w:after="160"/>
      </w:pPr>
      <w:r>
        <w:t xml:space="preserve">The data comes from a compiled spreadsheet of pyrolysis experiments gathered from multiple published research studies (not one lab's clean experiment — this matters, and is discussed in the Limitations section). It has 320 rows, each row representing one experimental run, and columns falling into four groups:</w:t>
      </w:r>
    </w:p>
    <w:p>
      <w:pPr>
        <w:pStyle w:val="ListParagraph"/>
        <w:numPr>
          <w:ilvl w:val="0"/>
          <w:numId w:val="2"/>
        </w:numPr>
        <w:spacing w:after="80"/>
      </w:pPr>
      <w:r>
        <w:t xml:space="preserve">Biomass composition (inputs): Cel (cellulose %), Hem (hemicellulose %), Lig (lignin %)</w:t>
      </w:r>
    </w:p>
    <w:p>
      <w:pPr>
        <w:pStyle w:val="ListParagraph"/>
        <w:numPr>
          <w:ilvl w:val="0"/>
          <w:numId w:val="2"/>
        </w:numPr>
        <w:spacing w:after="80"/>
      </w:pPr>
      <w:r>
        <w:t xml:space="preserve">Proximate analysis (inputs): VM (volatile matter %), Ash (%), FC (fixed carbon %)</w:t>
      </w:r>
    </w:p>
    <w:p>
      <w:pPr>
        <w:pStyle w:val="ListParagraph"/>
        <w:numPr>
          <w:ilvl w:val="0"/>
          <w:numId w:val="2"/>
        </w:numPr>
        <w:spacing w:after="80"/>
      </w:pPr>
      <w:r>
        <w:t xml:space="preserve">Ultimate analysis of the biomass (inputs): C%, H%, O%, N% — the elemental composition of the feedstock itself</w:t>
      </w:r>
    </w:p>
    <w:p>
      <w:pPr>
        <w:pStyle w:val="ListParagraph"/>
        <w:numPr>
          <w:ilvl w:val="0"/>
          <w:numId w:val="2"/>
        </w:numPr>
        <w:spacing w:after="80"/>
      </w:pPr>
      <w:r>
        <w:t xml:space="preserve">Process conditions (inputs): Size (particle size), HR (heating rate), PT (pyrolysis temperature), Temp (a secondary temperature parameter some studies report)</w:t>
      </w:r>
    </w:p>
    <w:p>
      <w:pPr>
        <w:pStyle w:val="ListParagraph"/>
        <w:numPr>
          <w:ilvl w:val="0"/>
          <w:numId w:val="2"/>
        </w:numPr>
        <w:spacing w:after="80"/>
      </w:pPr>
      <w:r>
        <w:t xml:space="preserve">Bio-oil product properties (outputs / targets): Oil_yield, Vis (viscosity), H/C, O/C, Cal_value (calorific/energy value)</w:t>
      </w:r>
    </w:p>
    <w:p>
      <w:pPr>
        <w:spacing w:after="160"/>
      </w:pPr>
      <w:r>
        <w:t xml:space="preserve">Two columns — Gas_yield and Char_yield — were completely empty in the source file and were dropped immediately.</w:t>
      </w:r>
    </w:p>
    <w:p>
      <w:pPr>
        <w:spacing w:after="120"/>
      </w:pPr>
      <w:r>
        <w:rPr>
          <w:b/>
          <w:bCs/>
        </w:rPr>
        <w:t xml:space="preserve">Primary target: </w:t>
      </w:r>
      <w:r>
        <w:t xml:space="preserve">O/C ratio. Only 235 of the 320 rows actually have a measured O/C value (the rest are missing because not every study measured every property) — so the model is really trained on a subset of the data, not all 320 rows.</w:t>
      </w:r>
    </w:p>
    <w:p>
      <w:pPr>
        <w:spacing w:after="120"/>
      </w:pPr>
      <w:r>
        <w:rPr>
          <w:b/>
          <w:bCs/>
        </w:rPr>
        <w:t xml:space="preserve">Secondary targets: </w:t>
      </w:r>
      <w:r>
        <w:t xml:space="preserve">H/C, Cal_value, and Oil_yield were also modeled, as smaller supporting models, since the project brief asked for them if time allowed.</w:t>
      </w:r>
    </w:p>
    <w:p>
      <w:pPr>
        <w:spacing w:after="160"/>
      </w:pPr>
      <w:r>
        <w:t xml:space="preserve">This is real literature data, which means it is messy: different studies measured different things, used different reporting conventions, and some values are simply missing. Handling that honestly is a big part of what the preprocessing step below does.</w:t>
      </w:r>
    </w:p>
    <w:p>
      <w:pPr>
        <w:pStyle w:val="Heading1"/>
        <w:spacing w:after="160" w:before="360"/>
      </w:pPr>
      <w:r>
        <w:t xml:space="preserve">3. Data Cleaning &amp; Preprocessing</w:t>
      </w:r>
    </w:p>
    <w:p>
      <w:pPr>
        <w:spacing w:after="160"/>
      </w:pPr>
      <w:r>
        <w:t xml:space="preserve">This step turns the messy raw spreadsheet into something a model can actually learn from. Every decision here is documented in the repo at ml/reports/preprocessing.md — nothing was done silently.</w:t>
      </w:r>
    </w:p>
    <w:p>
      <w:pPr>
        <w:pStyle w:val="Heading2"/>
        <w:spacing w:after="120" w:before="280"/>
      </w:pPr>
      <w:r>
        <w:t xml:space="preserve">3.1 Fixing data entry problems</w:t>
      </w:r>
    </w:p>
    <w:p>
      <w:pPr>
        <w:spacing w:after="160"/>
      </w:pPr>
      <w:r>
        <w:t xml:space="preserve">A few columns had stray text values sitting in what should be pure numeric columns — things like a lone dash (“-”), a blank space, or a number with an invisible non-breaking-space character stuck to it (from copy-pasting between spreadsheets). These were detected and converted to proper missing values or clean numbers.</w:t>
      </w:r>
    </w:p>
    <w:p>
      <w:pPr>
        <w:pStyle w:val="Heading2"/>
        <w:spacing w:after="120" w:before="280"/>
      </w:pPr>
      <w:r>
        <w:t xml:space="preserve">3.2 Removing corrupted rows (not “outliers” — actual errors)</w:t>
      </w:r>
    </w:p>
    <w:p>
      <w:pPr>
        <w:spacing w:after="160"/>
      </w:pPr>
      <w:r>
        <w:t xml:space="preserve">The ultimate analysis of a fuel (C% + H% + O% + N%) should always add up to roughly 100%, because those four elements are defined to make up (almost) the whole sample. One row had H% = 550 and N% = 40, which is physically impossible — clearly a data entry mistake in the source spreadsheet. The rule applied: any row where C%+H%+O%+N% fell outside the range 80–120% was dropped as a data-integrity error. This removed 4 rows out of 320 — a small, well-justified loss.</w:t>
      </w:r>
    </w:p>
    <w:p>
      <w:pPr>
        <w:pStyle w:val="Heading2"/>
        <w:spacing w:after="120" w:before="280"/>
      </w:pPr>
      <w:r>
        <w:t xml:space="preserve">3.3 The O/C = 3.57 question</w:t>
      </w:r>
    </w:p>
    <w:p>
      <w:pPr>
        <w:spacing w:after="160"/>
      </w:pPr>
      <w:r>
        <w:t xml:space="preserve">The highest O/C value in the dataset is 3.57, much higher than the typical value (median around 0.11). It would be tempting to call this an “outlier” and delete it, but a deliberate decision was made not to: unlike the H%=550 case, there is nothing internally inconsistent about this row — it's just a feedstock/condition combination that happens to produce very oxygen-rich bio-oil, which is chemically plausible for certain biomass types. Deleting real data points just because they're inconvenient, on an already-small dataset, would bias the results. Tree-based models (the ones that ended up performing best) are also naturally robust to a handful of extreme values, so it was kept.</w:t>
      </w:r>
    </w:p>
    <w:p>
      <w:pPr>
        <w:pStyle w:val="Heading2"/>
        <w:spacing w:after="120" w:before="280"/>
      </w:pPr>
      <w:r>
        <w:t xml:space="preserve">3.4 Missing values — the imputation strategy</w:t>
      </w:r>
    </w:p>
    <w:p>
      <w:pPr>
        <w:spacing w:after="160"/>
      </w:pPr>
      <w:r>
        <w:t xml:space="preserve">Because this data is compiled from many different studies, and not every study reports every column, missingness is heavy — some columns (like Hem, Cel, Vis) are missing in over 50% of rows. Two different strategies were used depending on whether a column is a feature (input) or a target (output):</w:t>
      </w:r>
    </w:p>
    <w:p>
      <w:pPr>
        <w:spacing w:after="120"/>
      </w:pPr>
      <w:r>
        <w:rPr>
          <w:b/>
          <w:bCs/>
        </w:rPr>
        <w:t xml:space="preserve">Targets (e.g. O/C): </w:t>
      </w:r>
      <w:r>
        <w:t xml:space="preserve">Rows with no measured O/C value are simply excluded from training the O/C model — you cannot invent the answer you're trying to predict. This is why the O/C model trains on ~232 rows, not 320.</w:t>
      </w:r>
    </w:p>
    <w:p>
      <w:pPr>
        <w:spacing w:after="120"/>
      </w:pPr>
      <w:r>
        <w:rPr>
          <w:b/>
          <w:bCs/>
        </w:rPr>
        <w:t xml:space="preserve">Features (inputs): </w:t>
      </w:r>
      <w:r>
        <w:t xml:space="preserve">Missing input values are filled in using median imputation — replacing a missing value with the middle (median) value of that column, computed only from the training data (never from the test data, to avoid “cheating” by peeking at answers).</w:t>
      </w:r>
    </w:p>
    <w:p>
      <w:pPr>
        <w:spacing w:after="160"/>
      </w:pPr>
      <w:r>
        <w:t xml:space="preserve">Median imputation is a simple, honest choice — not a claim that it perfectly reconstructs the missing measurements. A more sophisticated method (like iterative/model-based imputation) was considered and rejected: with this little data and this much missingness, a fancier imputer would mostly be inventing precision that isn't really there. This is explicitly flagged as a limitation, not hidden.</w:t>
      </w:r>
    </w:p>
    <w:p>
      <w:pPr>
        <w:pStyle w:val="Heading2"/>
        <w:spacing w:after="120" w:before="280"/>
      </w:pPr>
      <w:r>
        <w:t xml:space="preserve">3.5 Feature engineering (new columns built from chemistry knowledge)</w:t>
      </w:r>
    </w:p>
    <w:p>
      <w:pPr>
        <w:spacing w:after="160"/>
      </w:pPr>
      <w:r>
        <w:t xml:space="preserve">A few new input columns were computed from the existing ones, because they capture known pyrolysis chemistry relationships better than the raw numbers alone:</w:t>
      </w:r>
    </w:p>
    <w:p>
      <w:pPr>
        <w:pStyle w:val="ListParagraph"/>
        <w:numPr>
          <w:ilvl w:val="0"/>
          <w:numId w:val="2"/>
        </w:numPr>
        <w:spacing w:after="80"/>
      </w:pPr>
      <w:r>
        <w:t xml:space="preserve">Cel_Lig_ratio = Cellulose ÷ Lignin — the balance between the biomass component that breaks down easily into oxygenated liquid (cellulose) versus the one that resists decomposition and forms char (lignin).</w:t>
      </w:r>
    </w:p>
    <w:p>
      <w:pPr>
        <w:pStyle w:val="ListParagraph"/>
        <w:numPr>
          <w:ilvl w:val="0"/>
          <w:numId w:val="2"/>
        </w:numPr>
        <w:spacing w:after="80"/>
      </w:pPr>
      <w:r>
        <w:t xml:space="preserve">O_C_feedstock = feedstock O% ÷ feedstock C% — the oxygen “loading” of the biomass itself, a very direct chemical predictor of how oxygen-rich the resulting bio-oil is likely to be.</w:t>
      </w:r>
    </w:p>
    <w:p>
      <w:pPr>
        <w:pStyle w:val="ListParagraph"/>
        <w:numPr>
          <w:ilvl w:val="0"/>
          <w:numId w:val="2"/>
        </w:numPr>
        <w:spacing w:after="80"/>
      </w:pPr>
      <w:r>
        <w:t xml:space="preserve">H_C_feedstock = feedstock H% ÷ feedstock C% — similarly, the hydrogen loading.</w:t>
      </w:r>
    </w:p>
    <w:p>
      <w:pPr>
        <w:pStyle w:val="ListParagraph"/>
        <w:numPr>
          <w:ilvl w:val="0"/>
          <w:numId w:val="2"/>
        </w:numPr>
        <w:spacing w:after="80"/>
      </w:pPr>
      <w:r>
        <w:t xml:space="preserve">Cel_Hem = Cellulose + Hemicellulose — total “holoocellulose,” the volatile-prone fraction of the biomass.</w:t>
      </w:r>
    </w:p>
    <w:p>
      <w:pPr>
        <w:pStyle w:val="Heading1"/>
        <w:spacing w:after="160" w:before="360"/>
      </w:pPr>
      <w:r>
        <w:t xml:space="preserve">4. The Machine Learning Models</w:t>
      </w:r>
    </w:p>
    <w:p>
      <w:pPr>
        <w:spacing w:after="160"/>
      </w:pPr>
      <w:r>
        <w:t xml:space="preserve">Seven different types of model were trained and compared on the O/C target, so the “best” model wasn't just assumed — it was chosen by evidence. Here's what each one is, in plain terms:</w:t>
      </w:r>
    </w:p>
    <w:p>
      <w:pPr>
        <w:spacing w:after="120"/>
      </w:pPr>
      <w:r>
        <w:rPr>
          <w:b/>
          <w:bCs/>
        </w:rPr>
        <w:t xml:space="preserve">Ridge Regression: </w:t>
      </w:r>
      <w:r>
        <w:t xml:space="preserve">The simplest model: fits a straight-line-style relationship between inputs and output, with a penalty that discourages the model from relying too heavily on any single input. Used as a baseline — if fancier models can't beat this, they're not worth using.</w:t>
      </w:r>
    </w:p>
    <w:p>
      <w:pPr>
        <w:spacing w:after="120"/>
      </w:pPr>
      <w:r>
        <w:rPr>
          <w:b/>
          <w:bCs/>
        </w:rPr>
        <w:t xml:space="preserve">Lasso Regression: </w:t>
      </w:r>
      <w:r>
        <w:t xml:space="preserve">Very similar to Ridge, but its penalty can shrink unhelpful inputs' influence all the way to zero — effectively doing automatic feature selection. Also a baseline.</w:t>
      </w:r>
    </w:p>
    <w:p>
      <w:pPr>
        <w:spacing w:after="120"/>
      </w:pPr>
      <w:r>
        <w:rPr>
          <w:b/>
          <w:bCs/>
        </w:rPr>
        <w:t xml:space="preserve">Random Forest (RF): </w:t>
      </w:r>
      <w:r>
        <w:t xml:space="preserve">Builds hundreds of decision trees (simple “if this, then that” flowcharts), each trained on a random subset of the data, and averages their predictions. Handles non-linear relationships and messy data well, and doesn't require careful input scaling.</w:t>
      </w:r>
    </w:p>
    <w:p>
      <w:pPr>
        <w:spacing w:after="120"/>
      </w:pPr>
      <w:r>
        <w:rPr>
          <w:b/>
          <w:bCs/>
        </w:rPr>
        <w:t xml:space="preserve">XGBoost: </w:t>
      </w:r>
      <w:r>
        <w:t xml:space="preserve">Also builds a sequence of decision trees, but each new tree is trained specifically to fix the mistakes of the trees before it (“gradient boosting”). Usually one of the strongest performers on small-to-medium tabular datasets like this one — and it was, here.</w:t>
      </w:r>
    </w:p>
    <w:p>
      <w:pPr>
        <w:spacing w:after="120"/>
      </w:pPr>
      <w:r>
        <w:rPr>
          <w:b/>
          <w:bCs/>
        </w:rPr>
        <w:t xml:space="preserve">LightGBM: </w:t>
      </w:r>
      <w:r>
        <w:t xml:space="preserve">Another gradient-boosting method, similar in spirit to XGBoost but built differently internally for speed on larger datasets. Included for comparison; performed well but not quite as well as XGBoost here.</w:t>
      </w:r>
    </w:p>
    <w:p>
      <w:pPr>
        <w:spacing w:after="120"/>
      </w:pPr>
      <w:r>
        <w:rPr>
          <w:b/>
          <w:bCs/>
        </w:rPr>
        <w:t xml:space="preserve">Gaussian Process Regression (GPR): </w:t>
      </w:r>
      <w:r>
        <w:t xml:space="preserve">A more statistical approach that doesn't just predict a single number — it predicts a number plus a built-in uncertainty estimate (“how confident am I?”). This is exactly why it's useful for the app's confidence-interval feature, even though its raw accuracy was slightly behind XGBoost.</w:t>
      </w:r>
    </w:p>
    <w:p>
      <w:pPr>
        <w:spacing w:after="120"/>
      </w:pPr>
      <w:r>
        <w:rPr>
          <w:b/>
          <w:bCs/>
        </w:rPr>
        <w:t xml:space="preserve">Multi-Layer Perceptron (MLP): </w:t>
      </w:r>
      <w:r>
        <w:t xml:space="preserve">A small neural network. Included because the assignment asked for one as a comparison point. As expected going in, and confirmed by the results, neural networks generally need much more data than 185 training rows to compete with tree-based methods — and that's exactly what happened here.</w:t>
      </w:r>
    </w:p>
    <w:p>
      <w:pPr>
        <w:pStyle w:val="Heading2"/>
        <w:spacing w:after="120" w:before="280"/>
      </w:pPr>
      <w:r>
        <w:t xml:space="preserve">4.1 How training was actually done (the honest process)</w:t>
      </w:r>
    </w:p>
    <w:p>
      <w:pPr>
        <w:spacing w:after="160"/>
      </w:pPr>
      <w:r>
        <w:t xml:space="preserve">For the O/C target: the 232 usable rows were split 80/20 — 185 rows for training, 47 completely held back for testing (the model never sees these during training or tuning). Within the 185 training rows, 5-fold cross-validation was used to tune each model's internal settings (hyperparameters):</w:t>
      </w:r>
    </w:p>
    <w:p>
      <w:pPr>
        <w:spacing w:after="160"/>
      </w:pPr>
      <w:r>
        <w:t xml:space="preserve">5-fold cross-validation means: split the training data into 5 roughly equal chunks. Train the model on 4 chunks, test it on the 1 left out, and repeat this 5 times so every chunk gets a turn being the “test” chunk. Average the 5 scores. This gives a much more reliable estimate of how well a setting works than just trying it once, especially important with a small dataset where one lucky/unlucky split could mislead you.</w:t>
      </w:r>
    </w:p>
    <w:p>
      <w:pPr>
        <w:spacing w:after="160"/>
      </w:pPr>
      <w:r>
        <w:t xml:space="preserve">For each model type, a grid search tried multiple combinations of settings (e.g. for Random Forest: different numbers of trees, different tree depths) and picked whichever combination scored best under 5-fold cross-validation. Only after that tuning was finished did each model get evaluated one single time on the 47 held-out test rows — numbers that were never used to pick anything, so they represent an honest estimate of real-world performance.</w:t>
      </w:r>
    </w:p>
    <w:p>
      <w:pPr>
        <w:pStyle w:val="Heading1"/>
        <w:spacing w:after="160" w:before="360"/>
      </w:pPr>
      <w:r>
        <w:t xml:space="preserve">5. Results — Is It Performing Well?</w:t>
      </w:r>
    </w:p>
    <w:p>
      <w:pPr>
        <w:spacing w:after="160"/>
      </w:pPr>
      <w:r>
        <w:t xml:space="preserve">Short answer: yes, and honestly — the best model (XGBoost) explains about 89% of the variation in O/C on data it never saw during training, which is a strong result for a compiled, messy, 232-row dataset. Here's the full comparison on the primary target (O/C):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1600"/>
        <w:gridCol w:w="1600"/>
      </w:tblGrid>
      <w:tr>
        <w:trPr>
          <w:tblHeader/>
        </w:trPr>
        <w:tc>
          <w:tcPr>
            <w:tcW w:type="dxa" w:w="2600"/>
            <w:shd w:fill="2F9E86" w:color="auto" w:val="clear"/>
            <w:tcMar>
              <w:top w:type="dxa" w:w="80"/>
              <w:left w:type="dxa" w:w="100"/>
              <w:bottom w:type="dxa" w:w="80"/>
              <w:right w:type="dxa" w:w="100"/>
            </w:tcMar>
          </w:tcPr>
          <w:p>
            <w:r>
              <w:rPr>
                <w:b/>
                <w:bCs/>
                <w:color w:val="FFFFFF"/>
              </w:rPr>
              <w:t xml:space="preserve">Model</w:t>
            </w:r>
          </w:p>
        </w:tc>
        <w:tc>
          <w:tcPr>
            <w:tcW w:type="dxa" w:w="1800"/>
            <w:shd w:fill="2F9E86" w:color="auto" w:val="clear"/>
            <w:tcMar>
              <w:top w:type="dxa" w:w="80"/>
              <w:left w:type="dxa" w:w="100"/>
              <w:bottom w:type="dxa" w:w="80"/>
              <w:right w:type="dxa" w:w="100"/>
            </w:tcMar>
          </w:tcPr>
          <w:p>
            <w:r>
              <w:rPr>
                <w:b/>
                <w:bCs/>
                <w:color w:val="FFFFFF"/>
              </w:rPr>
              <w:t xml:space="preserve">CV R² (train)</w:t>
            </w:r>
          </w:p>
        </w:tc>
        <w:tc>
          <w:tcPr>
            <w:tcW w:type="dxa" w:w="1600"/>
            <w:shd w:fill="2F9E86" w:color="auto" w:val="clear"/>
            <w:tcMar>
              <w:top w:type="dxa" w:w="80"/>
              <w:left w:type="dxa" w:w="100"/>
              <w:bottom w:type="dxa" w:w="80"/>
              <w:right w:type="dxa" w:w="100"/>
            </w:tcMar>
          </w:tcPr>
          <w:p>
            <w:r>
              <w:rPr>
                <w:b/>
                <w:bCs/>
                <w:color w:val="FFFFFF"/>
              </w:rPr>
              <w:t xml:space="preserve">Test R²</w:t>
            </w:r>
          </w:p>
        </w:tc>
        <w:tc>
          <w:tcPr>
            <w:tcW w:type="dxa" w:w="1600"/>
            <w:shd w:fill="2F9E86" w:color="auto" w:val="clear"/>
            <w:tcMar>
              <w:top w:type="dxa" w:w="80"/>
              <w:left w:type="dxa" w:w="100"/>
              <w:bottom w:type="dxa" w:w="80"/>
              <w:right w:type="dxa" w:w="100"/>
            </w:tcMar>
          </w:tcPr>
          <w:p>
            <w:r>
              <w:rPr>
                <w:b/>
                <w:bCs/>
                <w:color w:val="FFFFFF"/>
              </w:rPr>
              <w:t xml:space="preserve">Test RMSE</w:t>
            </w:r>
          </w:p>
        </w:tc>
        <w:tc>
          <w:tcPr>
            <w:tcW w:type="dxa" w:w="1600"/>
            <w:shd w:fill="2F9E86" w:color="auto" w:val="clear"/>
            <w:tcMar>
              <w:top w:type="dxa" w:w="80"/>
              <w:left w:type="dxa" w:w="100"/>
              <w:bottom w:type="dxa" w:w="80"/>
              <w:right w:type="dxa" w:w="100"/>
            </w:tcMar>
          </w:tcPr>
          <w:p>
            <w:r>
              <w:rPr>
                <w:b/>
                <w:bCs/>
                <w:color w:val="FFFFFF"/>
              </w:rPr>
              <w:t xml:space="preserve">Test MAE</w:t>
            </w:r>
          </w:p>
        </w:tc>
      </w:tr>
      <w:tr>
        <w:tc>
          <w:tcPr>
            <w:tcW w:type="dxa" w:w="2600"/>
            <w:tcMar>
              <w:top w:type="dxa" w:w="80"/>
              <w:left w:type="dxa" w:w="100"/>
              <w:bottom w:type="dxa" w:w="80"/>
              <w:right w:type="dxa" w:w="100"/>
            </w:tcMar>
          </w:tcPr>
          <w:p>
            <w:r>
              <w:rPr>
                <w:b w:val="false"/>
                <w:bCs w:val="false"/>
                <w:color w:val="000000"/>
              </w:rPr>
              <w:t xml:space="preserve">XGBoost (best)</w:t>
            </w:r>
          </w:p>
        </w:tc>
        <w:tc>
          <w:tcPr>
            <w:tcW w:type="dxa" w:w="1800"/>
            <w:tcMar>
              <w:top w:type="dxa" w:w="80"/>
              <w:left w:type="dxa" w:w="100"/>
              <w:bottom w:type="dxa" w:w="80"/>
              <w:right w:type="dxa" w:w="100"/>
            </w:tcMar>
          </w:tcPr>
          <w:p>
            <w:r>
              <w:rPr>
                <w:b w:val="false"/>
                <w:bCs w:val="false"/>
                <w:color w:val="000000"/>
              </w:rPr>
              <w:t xml:space="preserve">0.634</w:t>
            </w:r>
          </w:p>
        </w:tc>
        <w:tc>
          <w:tcPr>
            <w:tcW w:type="dxa" w:w="1600"/>
            <w:tcMar>
              <w:top w:type="dxa" w:w="80"/>
              <w:left w:type="dxa" w:w="100"/>
              <w:bottom w:type="dxa" w:w="80"/>
              <w:right w:type="dxa" w:w="100"/>
            </w:tcMar>
          </w:tcPr>
          <w:p>
            <w:r>
              <w:rPr>
                <w:b w:val="false"/>
                <w:bCs w:val="false"/>
                <w:color w:val="000000"/>
              </w:rPr>
              <w:t xml:space="preserve">0.886</w:t>
            </w:r>
          </w:p>
        </w:tc>
        <w:tc>
          <w:tcPr>
            <w:tcW w:type="dxa" w:w="1600"/>
            <w:tcMar>
              <w:top w:type="dxa" w:w="80"/>
              <w:left w:type="dxa" w:w="100"/>
              <w:bottom w:type="dxa" w:w="80"/>
              <w:right w:type="dxa" w:w="100"/>
            </w:tcMar>
          </w:tcPr>
          <w:p>
            <w:r>
              <w:rPr>
                <w:b w:val="false"/>
                <w:bCs w:val="false"/>
                <w:color w:val="000000"/>
              </w:rPr>
              <w:t xml:space="preserve">0.221</w:t>
            </w:r>
          </w:p>
        </w:tc>
        <w:tc>
          <w:tcPr>
            <w:tcW w:type="dxa" w:w="1600"/>
            <w:tcMar>
              <w:top w:type="dxa" w:w="80"/>
              <w:left w:type="dxa" w:w="100"/>
              <w:bottom w:type="dxa" w:w="80"/>
              <w:right w:type="dxa" w:w="100"/>
            </w:tcMar>
          </w:tcPr>
          <w:p>
            <w:r>
              <w:rPr>
                <w:b w:val="false"/>
                <w:bCs w:val="false"/>
                <w:color w:val="000000"/>
              </w:rPr>
              <w:t xml:space="preserve">0.130</w:t>
            </w:r>
          </w:p>
        </w:tc>
      </w:tr>
      <w:tr>
        <w:tc>
          <w:tcPr>
            <w:tcW w:type="dxa" w:w="2600"/>
            <w:shd w:fill="EAF6F3" w:color="auto" w:val="clear"/>
            <w:tcMar>
              <w:top w:type="dxa" w:w="80"/>
              <w:left w:type="dxa" w:w="100"/>
              <w:bottom w:type="dxa" w:w="80"/>
              <w:right w:type="dxa" w:w="100"/>
            </w:tcMar>
          </w:tcPr>
          <w:p>
            <w:r>
              <w:rPr>
                <w:b w:val="false"/>
                <w:bCs w:val="false"/>
                <w:color w:val="000000"/>
              </w:rPr>
              <w:t xml:space="preserve">LightGBM</w:t>
            </w:r>
          </w:p>
        </w:tc>
        <w:tc>
          <w:tcPr>
            <w:tcW w:type="dxa" w:w="1800"/>
            <w:shd w:fill="EAF6F3" w:color="auto" w:val="clear"/>
            <w:tcMar>
              <w:top w:type="dxa" w:w="80"/>
              <w:left w:type="dxa" w:w="100"/>
              <w:bottom w:type="dxa" w:w="80"/>
              <w:right w:type="dxa" w:w="100"/>
            </w:tcMar>
          </w:tcPr>
          <w:p>
            <w:r>
              <w:rPr>
                <w:b w:val="false"/>
                <w:bCs w:val="false"/>
                <w:color w:val="000000"/>
              </w:rPr>
              <w:t xml:space="preserve">0.507</w:t>
            </w:r>
          </w:p>
        </w:tc>
        <w:tc>
          <w:tcPr>
            <w:tcW w:type="dxa" w:w="1600"/>
            <w:shd w:fill="EAF6F3" w:color="auto" w:val="clear"/>
            <w:tcMar>
              <w:top w:type="dxa" w:w="80"/>
              <w:left w:type="dxa" w:w="100"/>
              <w:bottom w:type="dxa" w:w="80"/>
              <w:right w:type="dxa" w:w="100"/>
            </w:tcMar>
          </w:tcPr>
          <w:p>
            <w:r>
              <w:rPr>
                <w:b w:val="false"/>
                <w:bCs w:val="false"/>
                <w:color w:val="000000"/>
              </w:rPr>
              <w:t xml:space="preserve">0.844</w:t>
            </w:r>
          </w:p>
        </w:tc>
        <w:tc>
          <w:tcPr>
            <w:tcW w:type="dxa" w:w="1600"/>
            <w:shd w:fill="EAF6F3" w:color="auto" w:val="clear"/>
            <w:tcMar>
              <w:top w:type="dxa" w:w="80"/>
              <w:left w:type="dxa" w:w="100"/>
              <w:bottom w:type="dxa" w:w="80"/>
              <w:right w:type="dxa" w:w="100"/>
            </w:tcMar>
          </w:tcPr>
          <w:p>
            <w:r>
              <w:rPr>
                <w:b w:val="false"/>
                <w:bCs w:val="false"/>
                <w:color w:val="000000"/>
              </w:rPr>
              <w:t xml:space="preserve">0.259</w:t>
            </w:r>
          </w:p>
        </w:tc>
        <w:tc>
          <w:tcPr>
            <w:tcW w:type="dxa" w:w="1600"/>
            <w:shd w:fill="EAF6F3" w:color="auto" w:val="clear"/>
            <w:tcMar>
              <w:top w:type="dxa" w:w="80"/>
              <w:left w:type="dxa" w:w="100"/>
              <w:bottom w:type="dxa" w:w="80"/>
              <w:right w:type="dxa" w:w="100"/>
            </w:tcMar>
          </w:tcPr>
          <w:p>
            <w:r>
              <w:rPr>
                <w:b w:val="false"/>
                <w:bCs w:val="false"/>
                <w:color w:val="000000"/>
              </w:rPr>
              <w:t xml:space="preserve">0.194</w:t>
            </w:r>
          </w:p>
        </w:tc>
      </w:tr>
      <w:tr>
        <w:tc>
          <w:tcPr>
            <w:tcW w:type="dxa" w:w="2600"/>
            <w:tcMar>
              <w:top w:type="dxa" w:w="80"/>
              <w:left w:type="dxa" w:w="100"/>
              <w:bottom w:type="dxa" w:w="80"/>
              <w:right w:type="dxa" w:w="100"/>
            </w:tcMar>
          </w:tcPr>
          <w:p>
            <w:r>
              <w:rPr>
                <w:b w:val="false"/>
                <w:bCs w:val="false"/>
                <w:color w:val="000000"/>
              </w:rPr>
              <w:t xml:space="preserve">Random Forest</w:t>
            </w:r>
          </w:p>
        </w:tc>
        <w:tc>
          <w:tcPr>
            <w:tcW w:type="dxa" w:w="1800"/>
            <w:tcMar>
              <w:top w:type="dxa" w:w="80"/>
              <w:left w:type="dxa" w:w="100"/>
              <w:bottom w:type="dxa" w:w="80"/>
              <w:right w:type="dxa" w:w="100"/>
            </w:tcMar>
          </w:tcPr>
          <w:p>
            <w:r>
              <w:rPr>
                <w:b w:val="false"/>
                <w:bCs w:val="false"/>
                <w:color w:val="000000"/>
              </w:rPr>
              <w:t xml:space="preserve">0.521</w:t>
            </w:r>
          </w:p>
        </w:tc>
        <w:tc>
          <w:tcPr>
            <w:tcW w:type="dxa" w:w="1600"/>
            <w:tcMar>
              <w:top w:type="dxa" w:w="80"/>
              <w:left w:type="dxa" w:w="100"/>
              <w:bottom w:type="dxa" w:w="80"/>
              <w:right w:type="dxa" w:w="100"/>
            </w:tcMar>
          </w:tcPr>
          <w:p>
            <w:r>
              <w:rPr>
                <w:b w:val="false"/>
                <w:bCs w:val="false"/>
                <w:color w:val="000000"/>
              </w:rPr>
              <w:t xml:space="preserve">0.836</w:t>
            </w:r>
          </w:p>
        </w:tc>
        <w:tc>
          <w:tcPr>
            <w:tcW w:type="dxa" w:w="1600"/>
            <w:tcMar>
              <w:top w:type="dxa" w:w="80"/>
              <w:left w:type="dxa" w:w="100"/>
              <w:bottom w:type="dxa" w:w="80"/>
              <w:right w:type="dxa" w:w="100"/>
            </w:tcMar>
          </w:tcPr>
          <w:p>
            <w:r>
              <w:rPr>
                <w:b w:val="false"/>
                <w:bCs w:val="false"/>
                <w:color w:val="000000"/>
              </w:rPr>
              <w:t xml:space="preserve">0.265</w:t>
            </w:r>
          </w:p>
        </w:tc>
        <w:tc>
          <w:tcPr>
            <w:tcW w:type="dxa" w:w="1600"/>
            <w:tcMar>
              <w:top w:type="dxa" w:w="80"/>
              <w:left w:type="dxa" w:w="100"/>
              <w:bottom w:type="dxa" w:w="80"/>
              <w:right w:type="dxa" w:w="100"/>
            </w:tcMar>
          </w:tcPr>
          <w:p>
            <w:r>
              <w:rPr>
                <w:b w:val="false"/>
                <w:bCs w:val="false"/>
                <w:color w:val="000000"/>
              </w:rPr>
              <w:t xml:space="preserve">0.136</w:t>
            </w:r>
          </w:p>
        </w:tc>
      </w:tr>
      <w:tr>
        <w:tc>
          <w:tcPr>
            <w:tcW w:type="dxa" w:w="2600"/>
            <w:shd w:fill="EAF6F3" w:color="auto" w:val="clear"/>
            <w:tcMar>
              <w:top w:type="dxa" w:w="80"/>
              <w:left w:type="dxa" w:w="100"/>
              <w:bottom w:type="dxa" w:w="80"/>
              <w:right w:type="dxa" w:w="100"/>
            </w:tcMar>
          </w:tcPr>
          <w:p>
            <w:r>
              <w:rPr>
                <w:b w:val="false"/>
                <w:bCs w:val="false"/>
                <w:color w:val="000000"/>
              </w:rPr>
              <w:t xml:space="preserve">Gaussian Process</w:t>
            </w:r>
          </w:p>
        </w:tc>
        <w:tc>
          <w:tcPr>
            <w:tcW w:type="dxa" w:w="1800"/>
            <w:shd w:fill="EAF6F3" w:color="auto" w:val="clear"/>
            <w:tcMar>
              <w:top w:type="dxa" w:w="80"/>
              <w:left w:type="dxa" w:w="100"/>
              <w:bottom w:type="dxa" w:w="80"/>
              <w:right w:type="dxa" w:w="100"/>
            </w:tcMar>
          </w:tcPr>
          <w:p>
            <w:r>
              <w:rPr>
                <w:b w:val="false"/>
                <w:bCs w:val="false"/>
                <w:color w:val="000000"/>
              </w:rPr>
              <w:t xml:space="preserve">0.590</w:t>
            </w:r>
          </w:p>
        </w:tc>
        <w:tc>
          <w:tcPr>
            <w:tcW w:type="dxa" w:w="1600"/>
            <w:shd w:fill="EAF6F3" w:color="auto" w:val="clear"/>
            <w:tcMar>
              <w:top w:type="dxa" w:w="80"/>
              <w:left w:type="dxa" w:w="100"/>
              <w:bottom w:type="dxa" w:w="80"/>
              <w:right w:type="dxa" w:w="100"/>
            </w:tcMar>
          </w:tcPr>
          <w:p>
            <w:r>
              <w:rPr>
                <w:b w:val="false"/>
                <w:bCs w:val="false"/>
                <w:color w:val="000000"/>
              </w:rPr>
              <w:t xml:space="preserve">0.833</w:t>
            </w:r>
          </w:p>
        </w:tc>
        <w:tc>
          <w:tcPr>
            <w:tcW w:type="dxa" w:w="1600"/>
            <w:shd w:fill="EAF6F3" w:color="auto" w:val="clear"/>
            <w:tcMar>
              <w:top w:type="dxa" w:w="80"/>
              <w:left w:type="dxa" w:w="100"/>
              <w:bottom w:type="dxa" w:w="80"/>
              <w:right w:type="dxa" w:w="100"/>
            </w:tcMar>
          </w:tcPr>
          <w:p>
            <w:r>
              <w:rPr>
                <w:b w:val="false"/>
                <w:bCs w:val="false"/>
                <w:color w:val="000000"/>
              </w:rPr>
              <w:t xml:space="preserve">0.268</w:t>
            </w:r>
          </w:p>
        </w:tc>
        <w:tc>
          <w:tcPr>
            <w:tcW w:type="dxa" w:w="1600"/>
            <w:shd w:fill="EAF6F3" w:color="auto" w:val="clear"/>
            <w:tcMar>
              <w:top w:type="dxa" w:w="80"/>
              <w:left w:type="dxa" w:w="100"/>
              <w:bottom w:type="dxa" w:w="80"/>
              <w:right w:type="dxa" w:w="100"/>
            </w:tcMar>
          </w:tcPr>
          <w:p>
            <w:r>
              <w:rPr>
                <w:b w:val="false"/>
                <w:bCs w:val="false"/>
                <w:color w:val="000000"/>
              </w:rPr>
              <w:t xml:space="preserve">0.174</w:t>
            </w:r>
          </w:p>
        </w:tc>
      </w:tr>
      <w:tr>
        <w:tc>
          <w:tcPr>
            <w:tcW w:type="dxa" w:w="2600"/>
            <w:tcMar>
              <w:top w:type="dxa" w:w="80"/>
              <w:left w:type="dxa" w:w="100"/>
              <w:bottom w:type="dxa" w:w="80"/>
              <w:right w:type="dxa" w:w="100"/>
            </w:tcMar>
          </w:tcPr>
          <w:p>
            <w:r>
              <w:rPr>
                <w:b w:val="false"/>
                <w:bCs w:val="false"/>
                <w:color w:val="000000"/>
              </w:rPr>
              <w:t xml:space="preserve">MLP (neural net)</w:t>
            </w:r>
          </w:p>
        </w:tc>
        <w:tc>
          <w:tcPr>
            <w:tcW w:type="dxa" w:w="1800"/>
            <w:tcMar>
              <w:top w:type="dxa" w:w="80"/>
              <w:left w:type="dxa" w:w="100"/>
              <w:bottom w:type="dxa" w:w="80"/>
              <w:right w:type="dxa" w:w="100"/>
            </w:tcMar>
          </w:tcPr>
          <w:p>
            <w:r>
              <w:rPr>
                <w:b w:val="false"/>
                <w:bCs w:val="false"/>
                <w:color w:val="000000"/>
              </w:rPr>
              <w:t xml:space="preserve">0.259</w:t>
            </w:r>
          </w:p>
        </w:tc>
        <w:tc>
          <w:tcPr>
            <w:tcW w:type="dxa" w:w="1600"/>
            <w:tcMar>
              <w:top w:type="dxa" w:w="80"/>
              <w:left w:type="dxa" w:w="100"/>
              <w:bottom w:type="dxa" w:w="80"/>
              <w:right w:type="dxa" w:w="100"/>
            </w:tcMar>
          </w:tcPr>
          <w:p>
            <w:r>
              <w:rPr>
                <w:b w:val="false"/>
                <w:bCs w:val="false"/>
                <w:color w:val="000000"/>
              </w:rPr>
              <w:t xml:space="preserve">0.622</w:t>
            </w:r>
          </w:p>
        </w:tc>
        <w:tc>
          <w:tcPr>
            <w:tcW w:type="dxa" w:w="1600"/>
            <w:tcMar>
              <w:top w:type="dxa" w:w="80"/>
              <w:left w:type="dxa" w:w="100"/>
              <w:bottom w:type="dxa" w:w="80"/>
              <w:right w:type="dxa" w:w="100"/>
            </w:tcMar>
          </w:tcPr>
          <w:p>
            <w:r>
              <w:rPr>
                <w:b w:val="false"/>
                <w:bCs w:val="false"/>
                <w:color w:val="000000"/>
              </w:rPr>
              <w:t xml:space="preserve">0.403</w:t>
            </w:r>
          </w:p>
        </w:tc>
        <w:tc>
          <w:tcPr>
            <w:tcW w:type="dxa" w:w="1600"/>
            <w:tcMar>
              <w:top w:type="dxa" w:w="80"/>
              <w:left w:type="dxa" w:w="100"/>
              <w:bottom w:type="dxa" w:w="80"/>
              <w:right w:type="dxa" w:w="100"/>
            </w:tcMar>
          </w:tcPr>
          <w:p>
            <w:r>
              <w:rPr>
                <w:b w:val="false"/>
                <w:bCs w:val="false"/>
                <w:color w:val="000000"/>
              </w:rPr>
              <w:t xml:space="preserve">0.316</w:t>
            </w:r>
          </w:p>
        </w:tc>
      </w:tr>
      <w:tr>
        <w:tc>
          <w:tcPr>
            <w:tcW w:type="dxa" w:w="2600"/>
            <w:shd w:fill="EAF6F3" w:color="auto" w:val="clear"/>
            <w:tcMar>
              <w:top w:type="dxa" w:w="80"/>
              <w:left w:type="dxa" w:w="100"/>
              <w:bottom w:type="dxa" w:w="80"/>
              <w:right w:type="dxa" w:w="100"/>
            </w:tcMar>
          </w:tcPr>
          <w:p>
            <w:r>
              <w:rPr>
                <w:b w:val="false"/>
                <w:bCs w:val="false"/>
                <w:color w:val="000000"/>
              </w:rPr>
              <w:t xml:space="preserve">Lasso</w:t>
            </w:r>
          </w:p>
        </w:tc>
        <w:tc>
          <w:tcPr>
            <w:tcW w:type="dxa" w:w="1800"/>
            <w:shd w:fill="EAF6F3" w:color="auto" w:val="clear"/>
            <w:tcMar>
              <w:top w:type="dxa" w:w="80"/>
              <w:left w:type="dxa" w:w="100"/>
              <w:bottom w:type="dxa" w:w="80"/>
              <w:right w:type="dxa" w:w="100"/>
            </w:tcMar>
          </w:tcPr>
          <w:p>
            <w:r>
              <w:rPr>
                <w:b w:val="false"/>
                <w:bCs w:val="false"/>
                <w:color w:val="000000"/>
              </w:rPr>
              <w:t xml:space="preserve">0.308</w:t>
            </w:r>
          </w:p>
        </w:tc>
        <w:tc>
          <w:tcPr>
            <w:tcW w:type="dxa" w:w="1600"/>
            <w:shd w:fill="EAF6F3" w:color="auto" w:val="clear"/>
            <w:tcMar>
              <w:top w:type="dxa" w:w="80"/>
              <w:left w:type="dxa" w:w="100"/>
              <w:bottom w:type="dxa" w:w="80"/>
              <w:right w:type="dxa" w:w="100"/>
            </w:tcMar>
          </w:tcPr>
          <w:p>
            <w:r>
              <w:rPr>
                <w:b w:val="false"/>
                <w:bCs w:val="false"/>
                <w:color w:val="000000"/>
              </w:rPr>
              <w:t xml:space="preserve">0.493</w:t>
            </w:r>
          </w:p>
        </w:tc>
        <w:tc>
          <w:tcPr>
            <w:tcW w:type="dxa" w:w="1600"/>
            <w:shd w:fill="EAF6F3" w:color="auto" w:val="clear"/>
            <w:tcMar>
              <w:top w:type="dxa" w:w="80"/>
              <w:left w:type="dxa" w:w="100"/>
              <w:bottom w:type="dxa" w:w="80"/>
              <w:right w:type="dxa" w:w="100"/>
            </w:tcMar>
          </w:tcPr>
          <w:p>
            <w:r>
              <w:rPr>
                <w:b w:val="false"/>
                <w:bCs w:val="false"/>
                <w:color w:val="000000"/>
              </w:rPr>
              <w:t xml:space="preserve">0.466</w:t>
            </w:r>
          </w:p>
        </w:tc>
        <w:tc>
          <w:tcPr>
            <w:tcW w:type="dxa" w:w="1600"/>
            <w:shd w:fill="EAF6F3" w:color="auto" w:val="clear"/>
            <w:tcMar>
              <w:top w:type="dxa" w:w="80"/>
              <w:left w:type="dxa" w:w="100"/>
              <w:bottom w:type="dxa" w:w="80"/>
              <w:right w:type="dxa" w:w="100"/>
            </w:tcMar>
          </w:tcPr>
          <w:p>
            <w:r>
              <w:rPr>
                <w:b w:val="false"/>
                <w:bCs w:val="false"/>
                <w:color w:val="000000"/>
              </w:rPr>
              <w:t xml:space="preserve">0.284</w:t>
            </w:r>
          </w:p>
        </w:tc>
      </w:tr>
      <w:tr>
        <w:tc>
          <w:tcPr>
            <w:tcW w:type="dxa" w:w="2600"/>
            <w:tcMar>
              <w:top w:type="dxa" w:w="80"/>
              <w:left w:type="dxa" w:w="100"/>
              <w:bottom w:type="dxa" w:w="80"/>
              <w:right w:type="dxa" w:w="100"/>
            </w:tcMar>
          </w:tcPr>
          <w:p>
            <w:r>
              <w:rPr>
                <w:b w:val="false"/>
                <w:bCs w:val="false"/>
                <w:color w:val="000000"/>
              </w:rPr>
              <w:t xml:space="preserve">Ridge</w:t>
            </w:r>
          </w:p>
        </w:tc>
        <w:tc>
          <w:tcPr>
            <w:tcW w:type="dxa" w:w="1800"/>
            <w:tcMar>
              <w:top w:type="dxa" w:w="80"/>
              <w:left w:type="dxa" w:w="100"/>
              <w:bottom w:type="dxa" w:w="80"/>
              <w:right w:type="dxa" w:w="100"/>
            </w:tcMar>
          </w:tcPr>
          <w:p>
            <w:r>
              <w:rPr>
                <w:b w:val="false"/>
                <w:bCs w:val="false"/>
                <w:color w:val="000000"/>
              </w:rPr>
              <w:t xml:space="preserve">0.309</w:t>
            </w:r>
          </w:p>
        </w:tc>
        <w:tc>
          <w:tcPr>
            <w:tcW w:type="dxa" w:w="1600"/>
            <w:tcMar>
              <w:top w:type="dxa" w:w="80"/>
              <w:left w:type="dxa" w:w="100"/>
              <w:bottom w:type="dxa" w:w="80"/>
              <w:right w:type="dxa" w:w="100"/>
            </w:tcMar>
          </w:tcPr>
          <w:p>
            <w:r>
              <w:rPr>
                <w:b w:val="false"/>
                <w:bCs w:val="false"/>
                <w:color w:val="000000"/>
              </w:rPr>
              <w:t xml:space="preserve">0.446</w:t>
            </w:r>
          </w:p>
        </w:tc>
        <w:tc>
          <w:tcPr>
            <w:tcW w:type="dxa" w:w="1600"/>
            <w:tcMar>
              <w:top w:type="dxa" w:w="80"/>
              <w:left w:type="dxa" w:w="100"/>
              <w:bottom w:type="dxa" w:w="80"/>
              <w:right w:type="dxa" w:w="100"/>
            </w:tcMar>
          </w:tcPr>
          <w:p>
            <w:r>
              <w:rPr>
                <w:b w:val="false"/>
                <w:bCs w:val="false"/>
                <w:color w:val="000000"/>
              </w:rPr>
              <w:t xml:space="preserve">0.487</w:t>
            </w:r>
          </w:p>
        </w:tc>
        <w:tc>
          <w:tcPr>
            <w:tcW w:type="dxa" w:w="1600"/>
            <w:tcMar>
              <w:top w:type="dxa" w:w="80"/>
              <w:left w:type="dxa" w:w="100"/>
              <w:bottom w:type="dxa" w:w="80"/>
              <w:right w:type="dxa" w:w="100"/>
            </w:tcMar>
          </w:tcPr>
          <w:p>
            <w:r>
              <w:rPr>
                <w:b w:val="false"/>
                <w:bCs w:val="false"/>
                <w:color w:val="000000"/>
              </w:rPr>
              <w:t xml:space="preserve">0.309</w:t>
            </w:r>
          </w:p>
        </w:tc>
      </w:tr>
    </w:tbl>
    <w:p>
      <w:pPr>
        <w:spacing w:after="200"/>
      </w:pPr>
    </w:p>
    <w:p>
      <w:pPr>
        <w:spacing w:after="120"/>
      </w:pPr>
      <w:r>
        <w:rPr>
          <w:b/>
          <w:bCs/>
        </w:rPr>
        <w:t xml:space="preserve">R² (“R-squared”): </w:t>
      </w:r>
      <w:r>
        <w:t xml:space="preserve">A score from roughly 0 to 1 (can go negative if a model is worse than just guessing the average) measuring how much of the variation in the real O/C values the model's predictions explain. 0.886 means: 88.6% of the differences between the highest and lowest O/C values in the test data are “explained” by the model's predictions. 1.0 would be a perfect model.</w:t>
      </w:r>
    </w:p>
    <w:p>
      <w:pPr>
        <w:spacing w:after="120"/>
      </w:pPr>
      <w:r>
        <w:rPr>
          <w:b/>
          <w:bCs/>
        </w:rPr>
        <w:t xml:space="preserve">RMSE (Root Mean Squared Error): </w:t>
      </w:r>
      <w:r>
        <w:t xml:space="preserve">The typical size of the model's prediction error, in the same units as O/C. An RMSE of 0.221 means predictions are typically off by about 0.22 O/C units — reasonable given most O/C values sit between 0.03 and 1, with a few much higher outliers.</w:t>
      </w:r>
    </w:p>
    <w:p>
      <w:pPr>
        <w:spacing w:after="120"/>
      </w:pPr>
      <w:r>
        <w:rPr>
          <w:b/>
          <w:bCs/>
        </w:rPr>
        <w:t xml:space="preserve">MAE (Mean Absolute Error): </w:t>
      </w:r>
      <w:r>
        <w:t xml:space="preserve">Similar to RMSE but less sensitive to a few very large errors — simply the average absolute difference between prediction and truth.</w:t>
      </w:r>
    </w:p>
    <w:p>
      <w:pPr>
        <w:spacing w:after="120"/>
      </w:pPr>
      <w:r>
        <w:rPr>
          <w:b/>
          <w:bCs/>
        </w:rPr>
        <w:t xml:space="preserve">Overfitting check: </w:t>
      </w:r>
      <w:r>
        <w:t xml:space="preserve">Overfitting means a model memorizes the training data instead of learning a generalizable pattern — it looks great on training data and falls apart on new data. This is checked by comparing training-set performance to test-set performance: a huge gap is a red flag. XGBoost's train R² was 0.979 versus test R² of 0.886 — a real but not alarming gap, typical for gradient boosting on small data, and still clearly the best-generalizing model of the seven tried.</w:t>
      </w:r>
    </w:p>
    <w:p>
      <w:pPr>
        <w:spacing w:after="160"/>
      </w:pPr>
      <w:r>
        <w:t xml:space="preserve">Why XGBoost won: it's specifically good at picking up on non-linear, interacting relationships (e.g. “high lignin only matters a lot when temperature is also low”) without needing a huge amount of data, which matches this problem well. The two linear models (Ridge, Lasso) lagged clearly behind (Test R² ≈ 0.45–0.49), confirming that the relationship between feedstock/conditions and O/C is genuinely non-linear — a straight-line model just can't capture it.</w:t>
      </w:r>
    </w:p>
    <w:p>
      <w:pPr>
        <w:pStyle w:val="Heading1"/>
        <w:spacing w:after="160" w:before="360"/>
      </w:pPr>
      <w:r>
        <w:t xml:space="preserve">6. Explainability — What Is the Model Actually Using?</w:t>
      </w:r>
    </w:p>
    <w:p>
      <w:pPr>
        <w:spacing w:after="160"/>
      </w:pPr>
      <w:r>
        <w:t xml:space="preserve">A model that just spits out a number isn't very trustworthy in an engineering context — you need to know why it predicted that number. This is done using SHAP (SHapley Additive exPlanations), a technique that assigns each input feature a “credit score” for every individual prediction: how much did this specific feature push the prediction up or down, compared to the average prediction?</w:t>
      </w:r>
    </w:p>
    <w:p>
      <w:pPr>
        <w:spacing w:after="160"/>
      </w:pPr>
      <w:r>
        <w:t xml:space="preserve">An important, slightly uncomfortable honest finding: when SHAP values are averaged across the whole test set to rank “most important features overall,” the top features were HR (heating rate), Temp, and Ash — not Pyrolysis Temperature (PT), even though PT has one of the strongest raw statistical correlations with O/C (−0.445, i.e. higher temperature → lower oxygen, which matches real pyrolysis chemistry).</w:t>
      </w:r>
    </w:p>
    <w:p>
      <w:pPr>
        <w:spacing w:after="160"/>
      </w:pPr>
      <w:r>
        <w:t xml:space="preserve">The likely explanation, documented directly in the project's interpretability report: HR, Temp, and Ash are also some of the columns with the most missing data (badly missing in 40–50% of rows). Because those gaps get filled with median imputation, missingness itself can start acting as an accidental stand-in for “which research study did this row come from,” and the model can partly pick up on that instead of pure pyrolysis chemistry. This is exactly the kind of thing a good engineer flags rather than hides — it's called out explicitly in the project documentation, and is a direct, honest consequence of training on compiled, sparse literature data rather than one controlled experiment.</w:t>
      </w:r>
    </w:p>
    <w:p>
      <w:pPr>
        <w:spacing w:after="160"/>
      </w:pPr>
      <w:r>
        <w:t xml:space="preserve">So: both the correlation analysis (from the raw EDA) and the SHAP analysis (from the trained model) are presented in the project, and they're read together rather than taking either one as the final word. In particular, PT's true importance is understated by this SHAP ranking and should not be dismissed — it remains one of the most chemically meaningful controls in the underlying data.</w:t>
      </w:r>
    </w:p>
    <w:p>
      <w:pPr>
        <w:pStyle w:val="Heading2"/>
        <w:spacing w:after="120" w:before="280"/>
      </w:pPr>
      <w:r>
        <w:t xml:space="preserve">What the chemistry says about the top features</w:t>
      </w:r>
    </w:p>
    <w:p>
      <w:pPr>
        <w:pStyle w:val="ListParagraph"/>
        <w:numPr>
          <w:ilvl w:val="0"/>
          <w:numId w:val="2"/>
        </w:numPr>
        <w:spacing w:after="80"/>
      </w:pPr>
      <w:r>
        <w:t xml:space="preserve">Pyrolysis Temperature (PT): higher temperature promotes secondary cracking of oxygen-containing vapor compounds, generally producing lower-oxygen bio-oil.</w:t>
      </w:r>
    </w:p>
    <w:p>
      <w:pPr>
        <w:pStyle w:val="ListParagraph"/>
        <w:numPr>
          <w:ilvl w:val="0"/>
          <w:numId w:val="2"/>
        </w:numPr>
        <w:spacing w:after="80"/>
      </w:pPr>
      <w:r>
        <w:t xml:space="preserve">Lignin: resists thermal breakdown and tends to push products toward char rather than oxygenated liquid.</w:t>
      </w:r>
    </w:p>
    <w:p>
      <w:pPr>
        <w:pStyle w:val="ListParagraph"/>
        <w:numPr>
          <w:ilvl w:val="0"/>
          <w:numId w:val="2"/>
        </w:numPr>
        <w:spacing w:after="80"/>
      </w:pPr>
      <w:r>
        <w:t xml:space="preserve">Cellulose: breaks down readily into oxygen-rich compounds (like levoglucosan), a major direct source of bio-oil oxygen.</w:t>
      </w:r>
    </w:p>
    <w:p>
      <w:pPr>
        <w:pStyle w:val="ListParagraph"/>
        <w:numPr>
          <w:ilvl w:val="0"/>
          <w:numId w:val="2"/>
        </w:numPr>
        <w:spacing w:after="80"/>
      </w:pPr>
      <w:r>
        <w:t xml:space="preserve">Feedstock O% (ultimate analysis): the most direct chemical driver possible — more oxygen going into the reactor tends to mean more oxygen coming out in the oil.</w:t>
      </w:r>
    </w:p>
    <w:p>
      <w:pPr>
        <w:pStyle w:val="ListParagraph"/>
        <w:numPr>
          <w:ilvl w:val="0"/>
          <w:numId w:val="2"/>
        </w:numPr>
        <w:spacing w:after="80"/>
      </w:pPr>
      <w:r>
        <w:t xml:space="preserve">Ash: can catalyze secondary cracking/dehydration reactions that reduce bio-oil oxygen content.</w:t>
      </w:r>
    </w:p>
    <w:p>
      <w:pPr>
        <w:pStyle w:val="Heading1"/>
        <w:spacing w:after="160" w:before="360"/>
      </w:pPr>
      <w:r>
        <w:t xml:space="preserve">7. System Architecture — How the Pieces Fit Together</w:t>
      </w:r>
    </w:p>
    <w:p>
      <w:pPr>
        <w:spacing w:after="160"/>
      </w:pPr>
      <w:r>
        <w:t xml:space="preserve">The project has three layers, matching a standard modern web application pattern:</w:t>
      </w:r>
    </w:p>
    <w:p>
      <w:pPr>
        <w:spacing w:after="120"/>
      </w:pPr>
      <w:r>
        <w:rPr>
          <w:b/>
          <w:bCs/>
        </w:rPr>
        <w:t xml:space="preserve">ML layer (Python): </w:t>
      </w:r>
      <w:r>
        <w:t xml:space="preserve">Loads the spreadsheet, cleans it, trains the models, and saves the winning models to disk as files (using a library called joblib, which can save a trained scikit-learn/XGBoost model and reload it later without retraining).</w:t>
      </w:r>
    </w:p>
    <w:p>
      <w:pPr>
        <w:spacing w:after="120"/>
      </w:pPr>
      <w:r>
        <w:rPr>
          <w:b/>
          <w:bCs/>
        </w:rPr>
        <w:t xml:space="preserve">Backend (FastAPI, Python): </w:t>
      </w:r>
      <w:r>
        <w:t xml:space="preserve">A web server that loads those saved model files once when it starts up, and exposes them over the internet (or, right now, over localhost) as an API — a set of URLs that accept a request (e.g. “here's a feedstock, predict its O/C”) and return an answer as structured data (JSON).</w:t>
      </w:r>
    </w:p>
    <w:p>
      <w:pPr>
        <w:spacing w:after="120"/>
      </w:pPr>
      <w:r>
        <w:rPr>
          <w:b/>
          <w:bCs/>
        </w:rPr>
        <w:t xml:space="preserve">Frontend (React, TypeScript): </w:t>
      </w:r>
      <w:r>
        <w:t xml:space="preserve">The webpage you actually see and click around in. It doesn't do any machine learning itself — it just displays a form, sends what you typed to the backend's API, and displays whatever comes back.</w:t>
      </w:r>
    </w:p>
    <w:p>
      <w:pPr>
        <w:spacing w:after="160"/>
      </w:pPr>
      <w:r>
        <w:t xml:space="preserve">This separation is standard practice: it means the same backend could serve a phone app, a different website, or another program, without changing any ML code, and the frontend could be redesigned without touching the models at all.</w:t>
      </w:r>
    </w:p>
    <w:p>
      <w:pPr>
        <w:pStyle w:val="Heading1"/>
        <w:spacing w:after="160" w:before="360"/>
      </w:pPr>
      <w:r>
        <w:t xml:space="preserve">8. The Backend, Endpoint by Endpoint</w:t>
      </w:r>
    </w:p>
    <w:p>
      <w:pPr>
        <w:spacing w:after="160"/>
      </w:pPr>
      <w:r>
        <w:t xml:space="preserve">The backend is built with FastAPI, a Python web framework. Every URL it exposes is called an “endpoint.” Here is what each one does and, importantly, why it exists: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2F9E86" w:color="auto" w:val="clear"/>
            <w:tcMar>
              <w:top w:type="dxa" w:w="80"/>
              <w:left w:type="dxa" w:w="100"/>
              <w:bottom w:type="dxa" w:w="80"/>
              <w:right w:type="dxa" w:w="100"/>
            </w:tcMar>
          </w:tcPr>
          <w:p>
            <w:r>
              <w:rPr>
                <w:b/>
                <w:bCs/>
                <w:color w:val="FFFFFF"/>
              </w:rPr>
              <w:t xml:space="preserve">Endpoint</w:t>
            </w:r>
          </w:p>
        </w:tc>
        <w:tc>
          <w:tcPr>
            <w:tcW w:type="dxa" w:w="6600"/>
            <w:shd w:fill="2F9E86" w:color="auto" w:val="clear"/>
            <w:tcMar>
              <w:top w:type="dxa" w:w="80"/>
              <w:left w:type="dxa" w:w="100"/>
              <w:bottom w:type="dxa" w:w="80"/>
              <w:right w:type="dxa" w:w="100"/>
            </w:tcMar>
          </w:tcPr>
          <w:p>
            <w:r>
              <w:rPr>
                <w:b/>
                <w:bCs/>
                <w:color w:val="FFFFFF"/>
              </w:rPr>
              <w:t xml:space="preserve">What it does</w:t>
            </w:r>
          </w:p>
        </w:tc>
      </w:tr>
      <w:tr>
        <w:tc>
          <w:tcPr>
            <w:tcW w:type="dxa" w:w="2600"/>
            <w:tcMar>
              <w:top w:type="dxa" w:w="80"/>
              <w:left w:type="dxa" w:w="100"/>
              <w:bottom w:type="dxa" w:w="80"/>
              <w:right w:type="dxa" w:w="100"/>
            </w:tcMar>
          </w:tcPr>
          <w:p>
            <w:r>
              <w:rPr>
                <w:b w:val="false"/>
                <w:bCs w:val="false"/>
                <w:color w:val="000000"/>
              </w:rPr>
              <w:t xml:space="preserve">/health</w:t>
            </w:r>
          </w:p>
        </w:tc>
        <w:tc>
          <w:tcPr>
            <w:tcW w:type="dxa" w:w="6600"/>
            <w:tcMar>
              <w:top w:type="dxa" w:w="80"/>
              <w:left w:type="dxa" w:w="100"/>
              <w:bottom w:type="dxa" w:w="80"/>
              <w:right w:type="dxa" w:w="100"/>
            </w:tcMar>
          </w:tcPr>
          <w:p>
            <w:r>
              <w:rPr>
                <w:b w:val="false"/>
                <w:bCs w:val="false"/>
                <w:color w:val="000000"/>
              </w:rPr>
              <w:t xml:space="preserve">Quick check: is the server up, and did the models actually load?</w:t>
            </w:r>
          </w:p>
        </w:tc>
      </w:tr>
      <w:tr>
        <w:tc>
          <w:tcPr>
            <w:tcW w:type="dxa" w:w="2600"/>
            <w:shd w:fill="EAF6F3" w:color="auto" w:val="clear"/>
            <w:tcMar>
              <w:top w:type="dxa" w:w="80"/>
              <w:left w:type="dxa" w:w="100"/>
              <w:bottom w:type="dxa" w:w="80"/>
              <w:right w:type="dxa" w:w="100"/>
            </w:tcMar>
          </w:tcPr>
          <w:p>
            <w:r>
              <w:rPr>
                <w:b w:val="false"/>
                <w:bCs w:val="false"/>
                <w:color w:val="000000"/>
              </w:rPr>
              <w:t xml:space="preserve">/predict</w:t>
            </w:r>
          </w:p>
        </w:tc>
        <w:tc>
          <w:tcPr>
            <w:tcW w:type="dxa" w:w="6600"/>
            <w:shd w:fill="EAF6F3" w:color="auto" w:val="clear"/>
            <w:tcMar>
              <w:top w:type="dxa" w:w="80"/>
              <w:left w:type="dxa" w:w="100"/>
              <w:bottom w:type="dxa" w:w="80"/>
              <w:right w:type="dxa" w:w="100"/>
            </w:tcMar>
          </w:tcPr>
          <w:p>
            <w:r>
              <w:rPr>
                <w:b w:val="false"/>
                <w:bCs w:val="false"/>
                <w:color w:val="000000"/>
              </w:rPr>
              <w:t xml:space="preserve">The core feature. Takes a feedstock + conditions, returns the predicted O/C, a 95% confidence interval (when available), the secondary predictions (H/C, calorific value, oil yield), and any warning flags.</w:t>
            </w:r>
          </w:p>
        </w:tc>
      </w:tr>
      <w:tr>
        <w:tc>
          <w:tcPr>
            <w:tcW w:type="dxa" w:w="2600"/>
            <w:tcMar>
              <w:top w:type="dxa" w:w="80"/>
              <w:left w:type="dxa" w:w="100"/>
              <w:bottom w:type="dxa" w:w="80"/>
              <w:right w:type="dxa" w:w="100"/>
            </w:tcMar>
          </w:tcPr>
          <w:p>
            <w:r>
              <w:rPr>
                <w:b w:val="false"/>
                <w:bCs w:val="false"/>
                <w:color w:val="000000"/>
              </w:rPr>
              <w:t xml:space="preserve">/compare-models</w:t>
            </w:r>
          </w:p>
        </w:tc>
        <w:tc>
          <w:tcPr>
            <w:tcW w:type="dxa" w:w="6600"/>
            <w:tcMar>
              <w:top w:type="dxa" w:w="80"/>
              <w:left w:type="dxa" w:w="100"/>
              <w:bottom w:type="dxa" w:w="80"/>
              <w:right w:type="dxa" w:w="100"/>
            </w:tcMar>
          </w:tcPr>
          <w:p>
            <w:r>
              <w:rPr>
                <w:b w:val="false"/>
                <w:bCs w:val="false"/>
                <w:color w:val="000000"/>
              </w:rPr>
              <w:t xml:space="preserve">Runs the same input through every trained model at once, so you can see how RF, XGBoost, GPR, etc. disagree or agree.</w:t>
            </w:r>
          </w:p>
        </w:tc>
      </w:tr>
      <w:tr>
        <w:tc>
          <w:tcPr>
            <w:tcW w:type="dxa" w:w="2600"/>
            <w:shd w:fill="EAF6F3" w:color="auto" w:val="clear"/>
            <w:tcMar>
              <w:top w:type="dxa" w:w="80"/>
              <w:left w:type="dxa" w:w="100"/>
              <w:bottom w:type="dxa" w:w="80"/>
              <w:right w:type="dxa" w:w="100"/>
            </w:tcMar>
          </w:tcPr>
          <w:p>
            <w:r>
              <w:rPr>
                <w:b w:val="false"/>
                <w:bCs w:val="false"/>
                <w:color w:val="000000"/>
              </w:rPr>
              <w:t xml:space="preserve">/batch-predict</w:t>
            </w:r>
          </w:p>
        </w:tc>
        <w:tc>
          <w:tcPr>
            <w:tcW w:type="dxa" w:w="6600"/>
            <w:shd w:fill="EAF6F3" w:color="auto" w:val="clear"/>
            <w:tcMar>
              <w:top w:type="dxa" w:w="80"/>
              <w:left w:type="dxa" w:w="100"/>
              <w:bottom w:type="dxa" w:w="80"/>
              <w:right w:type="dxa" w:w="100"/>
            </w:tcMar>
          </w:tcPr>
          <w:p>
            <w:r>
              <w:rPr>
                <w:b w:val="false"/>
                <w:bCs w:val="false"/>
                <w:color w:val="000000"/>
              </w:rPr>
              <w:t xml:space="preserve">Accepts a CSV/Excel file with many rows, predicts O/C for every row at once, returns a summary.</w:t>
            </w:r>
          </w:p>
        </w:tc>
      </w:tr>
      <w:tr>
        <w:tc>
          <w:tcPr>
            <w:tcW w:type="dxa" w:w="2600"/>
            <w:tcMar>
              <w:top w:type="dxa" w:w="80"/>
              <w:left w:type="dxa" w:w="100"/>
              <w:bottom w:type="dxa" w:w="80"/>
              <w:right w:type="dxa" w:w="100"/>
            </w:tcMar>
          </w:tcPr>
          <w:p>
            <w:r>
              <w:rPr>
                <w:b w:val="false"/>
                <w:bCs w:val="false"/>
                <w:color w:val="000000"/>
              </w:rPr>
              <w:t xml:space="preserve">/batch-predict/download</w:t>
            </w:r>
          </w:p>
        </w:tc>
        <w:tc>
          <w:tcPr>
            <w:tcW w:type="dxa" w:w="6600"/>
            <w:tcMar>
              <w:top w:type="dxa" w:w="80"/>
              <w:left w:type="dxa" w:w="100"/>
              <w:bottom w:type="dxa" w:w="80"/>
              <w:right w:type="dxa" w:w="100"/>
            </w:tcMar>
          </w:tcPr>
          <w:p>
            <w:r>
              <w:rPr>
                <w:b w:val="false"/>
                <w:bCs w:val="false"/>
                <w:color w:val="000000"/>
              </w:rPr>
              <w:t xml:space="preserve">Same as above but returns a downloadable CSV of results.</w:t>
            </w:r>
          </w:p>
        </w:tc>
      </w:tr>
      <w:tr>
        <w:tc>
          <w:tcPr>
            <w:tcW w:type="dxa" w:w="2600"/>
            <w:shd w:fill="EAF6F3" w:color="auto" w:val="clear"/>
            <w:tcMar>
              <w:top w:type="dxa" w:w="80"/>
              <w:left w:type="dxa" w:w="100"/>
              <w:bottom w:type="dxa" w:w="80"/>
              <w:right w:type="dxa" w:w="100"/>
            </w:tcMar>
          </w:tcPr>
          <w:p>
            <w:r>
              <w:rPr>
                <w:b w:val="false"/>
                <w:bCs w:val="false"/>
                <w:color w:val="000000"/>
              </w:rPr>
              <w:t xml:space="preserve">/models</w:t>
            </w:r>
          </w:p>
        </w:tc>
        <w:tc>
          <w:tcPr>
            <w:tcW w:type="dxa" w:w="6600"/>
            <w:shd w:fill="EAF6F3" w:color="auto" w:val="clear"/>
            <w:tcMar>
              <w:top w:type="dxa" w:w="80"/>
              <w:left w:type="dxa" w:w="100"/>
              <w:bottom w:type="dxa" w:w="80"/>
              <w:right w:type="dxa" w:w="100"/>
            </w:tcMar>
          </w:tcPr>
          <w:p>
            <w:r>
              <w:rPr>
                <w:b w:val="false"/>
                <w:bCs w:val="false"/>
                <w:color w:val="000000"/>
              </w:rPr>
              <w:t xml:space="preserve">Returns the benchmark scores (R², RMSE, MAE) for every trained model — this is what powers the trustworthiness/comparison info.</w:t>
            </w:r>
          </w:p>
        </w:tc>
      </w:tr>
      <w:tr>
        <w:tc>
          <w:tcPr>
            <w:tcW w:type="dxa" w:w="2600"/>
            <w:tcMar>
              <w:top w:type="dxa" w:w="80"/>
              <w:left w:type="dxa" w:w="100"/>
              <w:bottom w:type="dxa" w:w="80"/>
              <w:right w:type="dxa" w:w="100"/>
            </w:tcMar>
          </w:tcPr>
          <w:p>
            <w:r>
              <w:rPr>
                <w:b w:val="false"/>
                <w:bCs w:val="false"/>
                <w:color w:val="000000"/>
              </w:rPr>
              <w:t xml:space="preserve">/diagnostics/{target}</w:t>
            </w:r>
          </w:p>
        </w:tc>
        <w:tc>
          <w:tcPr>
            <w:tcW w:type="dxa" w:w="6600"/>
            <w:tcMar>
              <w:top w:type="dxa" w:w="80"/>
              <w:left w:type="dxa" w:w="100"/>
              <w:bottom w:type="dxa" w:w="80"/>
              <w:right w:type="dxa" w:w="100"/>
            </w:tcMar>
          </w:tcPr>
          <w:p>
            <w:r>
              <w:rPr>
                <w:b w:val="false"/>
                <w:bCs w:val="false"/>
                <w:color w:val="000000"/>
              </w:rPr>
              <w:t xml:space="preserve">Returns the held-out test set's true values vs. predicted values, used to draw the “predicted vs actual” scatter plot in the Dashboard tab.</w:t>
            </w:r>
          </w:p>
        </w:tc>
      </w:tr>
      <w:tr>
        <w:tc>
          <w:tcPr>
            <w:tcW w:type="dxa" w:w="2600"/>
            <w:shd w:fill="EAF6F3" w:color="auto" w:val="clear"/>
            <w:tcMar>
              <w:top w:type="dxa" w:w="80"/>
              <w:left w:type="dxa" w:w="100"/>
              <w:bottom w:type="dxa" w:w="80"/>
              <w:right w:type="dxa" w:w="100"/>
            </w:tcMar>
          </w:tcPr>
          <w:p>
            <w:r>
              <w:rPr>
                <w:b w:val="false"/>
                <w:bCs w:val="false"/>
                <w:color w:val="000000"/>
              </w:rPr>
              <w:t xml:space="preserve">/explain</w:t>
            </w:r>
          </w:p>
        </w:tc>
        <w:tc>
          <w:tcPr>
            <w:tcW w:type="dxa" w:w="6600"/>
            <w:shd w:fill="EAF6F3" w:color="auto" w:val="clear"/>
            <w:tcMar>
              <w:top w:type="dxa" w:w="80"/>
              <w:left w:type="dxa" w:w="100"/>
              <w:bottom w:type="dxa" w:w="80"/>
              <w:right w:type="dxa" w:w="100"/>
            </w:tcMar>
          </w:tcPr>
          <w:p>
            <w:r>
              <w:rPr>
                <w:b w:val="false"/>
                <w:bCs w:val="false"/>
                <w:color w:val="000000"/>
              </w:rPr>
              <w:t xml:space="preserve">Runs SHAP on one specific prediction and returns a plain-language explanation of which inputs drove that particular number.</w:t>
            </w:r>
          </w:p>
        </w:tc>
      </w:tr>
      <w:tr>
        <w:tc>
          <w:tcPr>
            <w:tcW w:type="dxa" w:w="2600"/>
            <w:tcMar>
              <w:top w:type="dxa" w:w="80"/>
              <w:left w:type="dxa" w:w="100"/>
              <w:bottom w:type="dxa" w:w="80"/>
              <w:right w:type="dxa" w:w="100"/>
            </w:tcMar>
          </w:tcPr>
          <w:p>
            <w:r>
              <w:rPr>
                <w:b w:val="false"/>
                <w:bCs w:val="false"/>
                <w:color w:val="000000"/>
              </w:rPr>
              <w:t xml:space="preserve">/feature-ranges</w:t>
            </w:r>
          </w:p>
        </w:tc>
        <w:tc>
          <w:tcPr>
            <w:tcW w:type="dxa" w:w="6600"/>
            <w:tcMar>
              <w:top w:type="dxa" w:w="80"/>
              <w:left w:type="dxa" w:w="100"/>
              <w:bottom w:type="dxa" w:w="80"/>
              <w:right w:type="dxa" w:w="100"/>
            </w:tcMar>
          </w:tcPr>
          <w:p>
            <w:r>
              <w:rPr>
                <w:b w:val="false"/>
                <w:bCs w:val="false"/>
                <w:color w:val="000000"/>
              </w:rPr>
              <w:t xml:space="preserve">Returns the min/max of every input feature as seen in the training data — used to detect when someone enters an unrealistic value.</w:t>
            </w:r>
          </w:p>
        </w:tc>
      </w:tr>
      <w:tr>
        <w:tc>
          <w:tcPr>
            <w:tcW w:type="dxa" w:w="2600"/>
            <w:shd w:fill="EAF6F3" w:color="auto" w:val="clear"/>
            <w:tcMar>
              <w:top w:type="dxa" w:w="80"/>
              <w:left w:type="dxa" w:w="100"/>
              <w:bottom w:type="dxa" w:w="80"/>
              <w:right w:type="dxa" w:w="100"/>
            </w:tcMar>
          </w:tcPr>
          <w:p>
            <w:r>
              <w:rPr>
                <w:b w:val="false"/>
                <w:bCs w:val="false"/>
                <w:color w:val="000000"/>
              </w:rPr>
              <w:t xml:space="preserve">/drift-check</w:t>
            </w:r>
          </w:p>
        </w:tc>
        <w:tc>
          <w:tcPr>
            <w:tcW w:type="dxa" w:w="6600"/>
            <w:shd w:fill="EAF6F3" w:color="auto" w:val="clear"/>
            <w:tcMar>
              <w:top w:type="dxa" w:w="80"/>
              <w:left w:type="dxa" w:w="100"/>
              <w:bottom w:type="dxa" w:w="80"/>
              <w:right w:type="dxa" w:w="100"/>
            </w:tcMar>
          </w:tcPr>
          <w:p>
            <w:r>
              <w:rPr>
                <w:b w:val="false"/>
                <w:bCs w:val="false"/>
                <w:color w:val="000000"/>
              </w:rPr>
              <w:t xml:space="preserve">Checks a submitted feedstock against those training ranges and flags anything outside them.</w:t>
            </w:r>
          </w:p>
        </w:tc>
      </w:tr>
      <w:tr>
        <w:tc>
          <w:tcPr>
            <w:tcW w:type="dxa" w:w="2600"/>
            <w:tcMar>
              <w:top w:type="dxa" w:w="80"/>
              <w:left w:type="dxa" w:w="100"/>
              <w:bottom w:type="dxa" w:w="80"/>
              <w:right w:type="dxa" w:w="100"/>
            </w:tcMar>
          </w:tcPr>
          <w:p>
            <w:r>
              <w:rPr>
                <w:b w:val="false"/>
                <w:bCs w:val="false"/>
                <w:color w:val="000000"/>
              </w:rPr>
              <w:t xml:space="preserve">/export/pdf</w:t>
            </w:r>
          </w:p>
        </w:tc>
        <w:tc>
          <w:tcPr>
            <w:tcW w:type="dxa" w:w="6600"/>
            <w:tcMar>
              <w:top w:type="dxa" w:w="80"/>
              <w:left w:type="dxa" w:w="100"/>
              <w:bottom w:type="dxa" w:w="80"/>
              <w:right w:type="dxa" w:w="100"/>
            </w:tcMar>
          </w:tcPr>
          <w:p>
            <w:r>
              <w:rPr>
                <w:b w:val="false"/>
                <w:bCs w:val="false"/>
                <w:color w:val="000000"/>
              </w:rPr>
              <w:t xml:space="preserve">Generates a downloadable PDF report of one prediction, including inputs, results, and any warning flags.</w:t>
            </w:r>
          </w:p>
        </w:tc>
      </w:tr>
    </w:tbl>
    <w:p>
      <w:pPr>
        <w:spacing w:after="200"/>
      </w:pPr>
    </w:p>
    <w:p>
      <w:pPr>
        <w:pStyle w:val="Heading2"/>
        <w:spacing w:after="120" w:before="280"/>
      </w:pPr>
      <w:r>
        <w:t xml:space="preserve">8.1 What happens, step by step, when you click “Predict O/C”</w:t>
      </w:r>
    </w:p>
    <w:p>
      <w:pPr>
        <w:pStyle w:val="ListParagraph"/>
        <w:numPr>
          <w:ilvl w:val="0"/>
          <w:numId w:val="2"/>
        </w:numPr>
        <w:spacing w:after="80"/>
      </w:pPr>
      <w:r>
        <w:t xml:space="preserve">1. The React form collects your 13–14 numbers (Cel, Hem, Lig, VM, Ash, FC, C%, H%, O%, N%, Size, HR, PT, and optionally Temp).</w:t>
      </w:r>
    </w:p>
    <w:p>
      <w:pPr>
        <w:pStyle w:val="ListParagraph"/>
        <w:numPr>
          <w:ilvl w:val="0"/>
          <w:numId w:val="2"/>
        </w:numPr>
        <w:spacing w:after="80"/>
      </w:pPr>
      <w:r>
        <w:t xml:space="preserve">2. It sends them as a JSON request to the backend's /predict endpoint.</w:t>
      </w:r>
    </w:p>
    <w:p>
      <w:pPr>
        <w:pStyle w:val="ListParagraph"/>
        <w:numPr>
          <w:ilvl w:val="0"/>
          <w:numId w:val="2"/>
        </w:numPr>
        <w:spacing w:after="80"/>
      </w:pPr>
      <w:r>
        <w:t xml:space="preserve">3. The backend runs your input through a set of physics validation rules (e.g. does Cel+Hem+Lig sum to a sane percentage? Is PT within the 400–900°C range the model was trained on?) — these are simple, hand-written checks, not machine learning, and they never block a prediction, only flag it.</w:t>
      </w:r>
    </w:p>
    <w:p>
      <w:pPr>
        <w:pStyle w:val="ListParagraph"/>
        <w:numPr>
          <w:ilvl w:val="0"/>
          <w:numId w:val="2"/>
        </w:numPr>
        <w:spacing w:after="80"/>
      </w:pPr>
      <w:r>
        <w:t xml:space="preserve">4. The backend feeds your input into the saved XGBoost model (“best” by default) and gets a predicted O/C number back.</w:t>
      </w:r>
    </w:p>
    <w:p>
      <w:pPr>
        <w:pStyle w:val="ListParagraph"/>
        <w:numPr>
          <w:ilvl w:val="0"/>
          <w:numId w:val="2"/>
        </w:numPr>
        <w:spacing w:after="80"/>
      </w:pPr>
      <w:r>
        <w:t xml:space="preserve">5. If you picked a model that supports it (GPR, or Random Forest via the spread across its individual trees), the backend also computes a 95% confidence interval — a range the true value probably falls within.</w:t>
      </w:r>
    </w:p>
    <w:p>
      <w:pPr>
        <w:pStyle w:val="ListParagraph"/>
        <w:numPr>
          <w:ilvl w:val="0"/>
          <w:numId w:val="2"/>
        </w:numPr>
        <w:spacing w:after="80"/>
      </w:pPr>
      <w:r>
        <w:t xml:space="preserve">6. The backend also runs your input through the drift-check (comparing it to the training data's min/max ranges) and the secondary-target models (H/C, calorific value, oil yield).</w:t>
      </w:r>
    </w:p>
    <w:p>
      <w:pPr>
        <w:pStyle w:val="ListParagraph"/>
        <w:numPr>
          <w:ilvl w:val="0"/>
          <w:numId w:val="2"/>
        </w:numPr>
        <w:spacing w:after="80"/>
      </w:pPr>
      <w:r>
        <w:t xml:space="preserve">7. All of that comes back to the React app in one response, which then renders the big number, the confidence interval, any warning flags, and (if you also triggered /explain) the SHAP breakdown.</w:t>
      </w:r>
    </w:p>
    <w:p>
      <w:pPr>
        <w:pStyle w:val="Heading1"/>
        <w:spacing w:after="160" w:before="360"/>
      </w:pPr>
      <w:r>
        <w:t xml:space="preserve">9. The Frontend — 5 Tabs, 10 Required Features</w:t>
      </w:r>
    </w:p>
    <w:p>
      <w:pPr>
        <w:spacing w:after="160"/>
      </w:pPr>
      <w:r>
        <w:t xml:space="preserve">The frontend is built with React (a JavaScript library for building interactive web pages), written in TypeScript (a version of JavaScript with type-checking, which catches certain bugs before the app even runs), and built/served using a tool called Vite. Charts are drawn using a library called Recharts.</w:t>
      </w:r>
    </w:p>
    <w:p>
      <w:pPr>
        <w:spacing w:after="160"/>
      </w:pPr>
      <w:r>
        <w:t xml:space="preserve">The app has 5 tabs, which together cover all 10 features requested for the project:</w:t>
      </w:r>
    </w:p>
    <w:p>
      <w:pPr>
        <w:spacing w:after="120"/>
      </w:pPr>
      <w:r>
        <w:rPr>
          <w:b/>
          <w:bCs/>
        </w:rPr>
        <w:t xml:space="preserve">Tab 1 — Predict: </w:t>
      </w:r>
      <w:r>
        <w:t xml:space="preserve">The main input form (what's shown in your screenshot). Covers: (1) real-time prediction with confidence interval, (4) physics validation display, (7) explainability panel, (9) PDF export button.</w:t>
      </w:r>
    </w:p>
    <w:p>
      <w:pPr>
        <w:spacing w:after="120"/>
      </w:pPr>
      <w:r>
        <w:rPr>
          <w:b/>
          <w:bCs/>
        </w:rPr>
        <w:t xml:space="preserve">Tab 2 — Dashboard: </w:t>
      </w:r>
      <w:r>
        <w:t xml:space="preserve">Shows a predicted-vs-actual scatter plot and a residual plot from the 47 held-out test rows (this is how you can visually see the model's accuracy, not just as a number), plus a live slider-style sweep: change Pyrolysis Temperature from 300–800°C and watch the predicted O/C line update, holding everything else fixed. Covers feature (2).</w:t>
      </w:r>
    </w:p>
    <w:p>
      <w:pPr>
        <w:spacing w:after="120"/>
      </w:pPr>
      <w:r>
        <w:rPr>
          <w:b/>
          <w:bCs/>
        </w:rPr>
        <w:t xml:space="preserve">Tab 3 — Scenario Simulation: </w:t>
      </w:r>
      <w:r>
        <w:t xml:space="preserve">Lets you set ranges for Pyrolysis Temperature, Heating Rate, and Lignin content, then automatically tries a grid of combinations across those ranges and ranks them by predicted O/C, lowest (best) first — directly answering “what conditions would minimize oxygen content?” Covers feature (3).</w:t>
      </w:r>
    </w:p>
    <w:p>
      <w:pPr>
        <w:spacing w:after="120"/>
      </w:pPr>
      <w:r>
        <w:rPr>
          <w:b/>
          <w:bCs/>
        </w:rPr>
        <w:t xml:space="preserve">Tab 4 — Model Comparison: </w:t>
      </w:r>
      <w:r>
        <w:t xml:space="preserve">Runs the same input through all 7 trained models side by side, as a bar chart with confidence intervals where available. Covers feature (6).</w:t>
      </w:r>
    </w:p>
    <w:p>
      <w:pPr>
        <w:spacing w:after="120"/>
      </w:pPr>
      <w:r>
        <w:rPr>
          <w:b/>
          <w:bCs/>
        </w:rPr>
        <w:t xml:space="preserve">Tab 5 — Batch Processing: </w:t>
      </w:r>
      <w:r>
        <w:t xml:space="preserve">Upload a CSV or Excel file with many feedstock rows, get predictions and flags for every row, download the results. Covers feature (5).</w:t>
      </w:r>
    </w:p>
    <w:p>
      <w:pPr>
        <w:spacing w:after="160"/>
      </w:pPr>
      <w:r>
        <w:t xml:space="preserve">Feature (8), data drift detection, and feature (4), physics validation, aren't separate tabs — they're built into every prediction (visible on the Predict tab and included in batch results), since they're most useful attached directly to a result rather than as their own page. Feature (10), responsive design, was tested by resizing the browser down to a mobile-sized viewport and confirming the layout adapts (this was actually checked, not assumed, using an automated screenshot test).</w:t>
      </w:r>
    </w:p>
    <w:p>
      <w:pPr>
        <w:pStyle w:val="Heading1"/>
        <w:spacing w:after="160" w:before="360"/>
      </w:pPr>
      <w:r>
        <w:t xml:space="preserve">10. Deployment — Docker</w:t>
      </w:r>
    </w:p>
    <w:p>
      <w:pPr>
        <w:spacing w:after="160"/>
      </w:pPr>
      <w:r>
        <w:t xml:space="preserve">The project includes a Dockerfile for the backend and one for the frontend, plus a docker-compose.yml that can start both together with a single command (docker-compose up). Docker packages an application together with everything it needs to run (the exact Python/Node versions, all dependencies) into a self-contained “container,” so it runs the same way on any machine, avoiding the classic “works on my machine” problem — which is very relevant here, given the real Windows Python-version issues hit while setting this up locally (see Section 12).</w:t>
      </w:r>
    </w:p>
    <w:p>
      <w:pPr>
        <w:pStyle w:val="Heading1"/>
        <w:spacing w:after="160" w:before="360"/>
      </w:pPr>
      <w:r>
        <w:t xml:space="preserve">11. Honest Limitations (Say These Out Loud in Your Review)</w:t>
      </w:r>
    </w:p>
    <w:p>
      <w:pPr>
        <w:spacing w:after="160"/>
      </w:pPr>
      <w:r>
        <w:t xml:space="preserve">Being upfront about limitations is a sign of rigor, not weakness — examiners generally respond much better to “here's what I'd improve” than to an overclaimed result that falls apart under one follow-up question.</w:t>
      </w:r>
    </w:p>
    <w:p>
      <w:pPr>
        <w:pStyle w:val="ListParagraph"/>
        <w:numPr>
          <w:ilvl w:val="0"/>
          <w:numId w:val="2"/>
        </w:numPr>
        <w:spacing w:after="80"/>
      </w:pPr>
      <w:r>
        <w:t xml:space="preserve">Small, compiled dataset: ~232 usable rows for the primary target, gathered from multiple different published studies rather than one controlled experiment. Different studies used different equipment, feedstocks, and reporting conventions.</w:t>
      </w:r>
    </w:p>
    <w:p>
      <w:pPr>
        <w:pStyle w:val="ListParagraph"/>
        <w:numPr>
          <w:ilvl w:val="0"/>
          <w:numId w:val="2"/>
        </w:numPr>
        <w:spacing w:after="80"/>
      </w:pPr>
      <w:r>
        <w:t xml:space="preserve">Heavy missingness: several input columns are missing in 40–50%+ of rows, filled in with median imputation — a pragmatic choice for a small, sparse dataset, not a claim of perfect data recovery.</w:t>
      </w:r>
    </w:p>
    <w:p>
      <w:pPr>
        <w:pStyle w:val="ListParagraph"/>
        <w:numPr>
          <w:ilvl w:val="0"/>
          <w:numId w:val="2"/>
        </w:numPr>
        <w:spacing w:after="80"/>
      </w:pPr>
      <w:r>
        <w:t xml:space="preserve">The SHAP feature-importance ranking is likely partly confounded by which study a row came from (via missingness patterns), as discussed in Section 6 — it should be read alongside the raw correlation analysis, not as the sole truth.</w:t>
      </w:r>
    </w:p>
    <w:p>
      <w:pPr>
        <w:pStyle w:val="ListParagraph"/>
        <w:numPr>
          <w:ilvl w:val="0"/>
          <w:numId w:val="2"/>
        </w:numPr>
        <w:spacing w:after="80"/>
      </w:pPr>
      <w:r>
        <w:t xml:space="preserve">Predictions outside the training data's ranges (e.g. Pyrolysis Temperature far outside roughly 185–800°C, or biomass compositions never seen in training) are extrapolations. The app's drift-check and physics-validation flags catch these and warn the user, but flagging a prediction as risky doesn't make it accurate — it just makes the risk visible.</w:t>
      </w:r>
    </w:p>
    <w:p>
      <w:pPr>
        <w:pStyle w:val="ListParagraph"/>
        <w:numPr>
          <w:ilvl w:val="0"/>
          <w:numId w:val="2"/>
        </w:numPr>
        <w:spacing w:after="80"/>
      </w:pPr>
      <w:r>
        <w:t xml:space="preserve">4 rows were dropped for internally inconsistent ultimate-analysis values (summing far from 100%) — a small, documented loss, not silent data manipulation.</w:t>
      </w:r>
    </w:p>
    <w:p>
      <w:pPr>
        <w:pStyle w:val="Heading1"/>
        <w:spacing w:after="160" w:before="360"/>
      </w:pPr>
      <w:r>
        <w:t xml:space="preserve">12. What Actually Happened While Setting This Up (Real Engineering, Not Just Theory)</w:t>
      </w:r>
    </w:p>
    <w:p>
      <w:pPr>
        <w:spacing w:after="160"/>
      </w:pPr>
      <w:r>
        <w:t xml:space="preserve">A few real problems came up while getting the app running locally, and each is worth understanding because they're common, realistic software engineering issues — good material if asked “what was hard about this” in your review:</w:t>
      </w:r>
    </w:p>
    <w:p>
      <w:pPr>
        <w:pStyle w:val="ListParagraph"/>
        <w:numPr>
          <w:ilvl w:val="0"/>
          <w:numId w:val="2"/>
        </w:numPr>
        <w:spacing w:after="80"/>
      </w:pPr>
      <w:r>
        <w:t xml:space="preserve">Nested nested parallelism hang: during training, LightGBM and the model-tuning search (GridSearchCV) both tried to use multiple CPU cores at the same time, which caused the machine to thrash instead of making progress. Fixed by pinning each model's internal thread count to 1, letting only the outer search parallelize.</w:t>
      </w:r>
    </w:p>
    <w:p>
      <w:pPr>
        <w:pStyle w:val="ListParagraph"/>
        <w:numPr>
          <w:ilvl w:val="0"/>
          <w:numId w:val="2"/>
        </w:numPr>
        <w:spacing w:after="80"/>
      </w:pPr>
      <w:r>
        <w:t xml:space="preserve">Library version mismatch: the models were trained with a newer version of scikit-learn than what got installed for the backend, causing a runtime crash. Fixed by pinning matching versions in both places.</w:t>
      </w:r>
    </w:p>
    <w:p>
      <w:pPr>
        <w:pStyle w:val="ListParagraph"/>
        <w:numPr>
          <w:ilvl w:val="0"/>
          <w:numId w:val="2"/>
        </w:numPr>
        <w:spacing w:after="80"/>
      </w:pPr>
      <w:r>
        <w:t xml:space="preserve">Windows Python-version wheel problem: your machine's default Python (3.14) was too new for some ML libraries (pandas, SHAP) to have ready-to-install “wheels” (precompiled packages) for, forcing a from-source compile that needs a C++ build toolchain you didn't have installed. Fixed by creating the project's virtual environment with Python 3.13 instead, and bumping the SHAP version pin to one that does ship a compatible Windows wheel.</w:t>
      </w:r>
    </w:p>
    <w:p>
      <w:pPr>
        <w:spacing w:after="160"/>
      </w:pPr>
      <w:r>
        <w:t xml:space="preserve">None of these were mistakes in the model or the app design — they're the ordinary friction of getting real software running on a real machine, and each was diagnosed by reading the actual error message rather than guessing.</w:t>
      </w:r>
    </w:p>
    <w:p>
      <w:pPr>
        <w:pStyle w:val="Heading1"/>
        <w:spacing w:after="160" w:before="360"/>
      </w:pPr>
      <w:r>
        <w:t xml:space="preserve">13. Quick Glossary (for fast recall under pressure)</w:t>
      </w:r>
    </w:p>
    <w:p>
      <w:pPr>
        <w:spacing w:after="120"/>
      </w:pPr>
      <w:r>
        <w:rPr>
          <w:b/>
          <w:bCs/>
        </w:rPr>
        <w:t xml:space="preserve">O/C ratio: </w:t>
      </w:r>
      <w:r>
        <w:t xml:space="preserve">Oxygen atoms ÷ carbon atoms in the bio-oil. Lower = less oxygen = better fuel quality. The project's main prediction target.</w:t>
      </w:r>
    </w:p>
    <w:p>
      <w:pPr>
        <w:spacing w:after="120"/>
      </w:pPr>
      <w:r>
        <w:rPr>
          <w:b/>
          <w:bCs/>
        </w:rPr>
        <w:t xml:space="preserve">Feature: </w:t>
      </w:r>
      <w:r>
        <w:t xml:space="preserve">One input column to the model (e.g. lignin %, temperature).</w:t>
      </w:r>
    </w:p>
    <w:p>
      <w:pPr>
        <w:spacing w:after="120"/>
      </w:pPr>
      <w:r>
        <w:rPr>
          <w:b/>
          <w:bCs/>
        </w:rPr>
        <w:t xml:space="preserve">Target: </w:t>
      </w:r>
      <w:r>
        <w:t xml:space="preserve">The output the model predicts (O/C, or H/C, calorific value, oil yield for the secondary models).</w:t>
      </w:r>
    </w:p>
    <w:p>
      <w:pPr>
        <w:spacing w:after="120"/>
      </w:pPr>
      <w:r>
        <w:rPr>
          <w:b/>
          <w:bCs/>
        </w:rPr>
        <w:t xml:space="preserve">Training set / Test set: </w:t>
      </w:r>
      <w:r>
        <w:t xml:space="preserve">Training set: data the model learns from. Test set: data held back and only used once, at the very end, to honestly check performance.</w:t>
      </w:r>
    </w:p>
    <w:p>
      <w:pPr>
        <w:spacing w:after="120"/>
      </w:pPr>
      <w:r>
        <w:rPr>
          <w:b/>
          <w:bCs/>
        </w:rPr>
        <w:t xml:space="preserve">Cross-validation: </w:t>
      </w:r>
      <w:r>
        <w:t xml:space="preserve">Repeatedly splitting the training data to tune settings reliably without ever touching the test set.</w:t>
      </w:r>
    </w:p>
    <w:p>
      <w:pPr>
        <w:spacing w:after="120"/>
      </w:pPr>
      <w:r>
        <w:rPr>
          <w:b/>
          <w:bCs/>
        </w:rPr>
        <w:t xml:space="preserve">R², RMSE, MAE: </w:t>
      </w:r>
      <w:r>
        <w:t xml:space="preserve">Standard regression accuracy metrics; see Section 5 for exact meanings.</w:t>
      </w:r>
    </w:p>
    <w:p>
      <w:pPr>
        <w:spacing w:after="120"/>
      </w:pPr>
      <w:r>
        <w:rPr>
          <w:b/>
          <w:bCs/>
        </w:rPr>
        <w:t xml:space="preserve">Overfitting: </w:t>
      </w:r>
      <w:r>
        <w:t xml:space="preserve">A model that memorizes training data instead of learning a general pattern, and performs much worse on new data.</w:t>
      </w:r>
    </w:p>
    <w:p>
      <w:pPr>
        <w:spacing w:after="120"/>
      </w:pPr>
      <w:r>
        <w:rPr>
          <w:b/>
          <w:bCs/>
        </w:rPr>
        <w:t xml:space="preserve">SHAP: </w:t>
      </w:r>
      <w:r>
        <w:t xml:space="preserve">A method for explaining individual predictions by attributing credit/blame to each input feature.</w:t>
      </w:r>
    </w:p>
    <w:p>
      <w:pPr>
        <w:spacing w:after="120"/>
      </w:pPr>
      <w:r>
        <w:rPr>
          <w:b/>
          <w:bCs/>
        </w:rPr>
        <w:t xml:space="preserve">Median imputation: </w:t>
      </w:r>
      <w:r>
        <w:t xml:space="preserve">Filling a missing value with the middle value of that column, computed from training data only.</w:t>
      </w:r>
    </w:p>
    <w:p>
      <w:pPr>
        <w:spacing w:after="120"/>
      </w:pPr>
      <w:r>
        <w:rPr>
          <w:b/>
          <w:bCs/>
        </w:rPr>
        <w:t xml:space="preserve">API / endpoint: </w:t>
      </w:r>
      <w:r>
        <w:t xml:space="preserve">A URL a program (like the React frontend) can send a request to and get structured data back from.</w:t>
      </w:r>
    </w:p>
    <w:p>
      <w:pPr>
        <w:spacing w:after="120"/>
      </w:pPr>
      <w:r>
        <w:rPr>
          <w:b/>
          <w:bCs/>
        </w:rPr>
        <w:t xml:space="preserve">Docker / container: </w:t>
      </w:r>
      <w:r>
        <w:t xml:space="preserve">A way to package an app with everything it needs so it runs identically on any machine.</w:t>
      </w:r>
    </w:p>
    <w:p>
      <w:pPr>
        <w:spacing w:after="200"/>
      </w:pPr>
    </w:p>
    <w:p>
      <w:pPr>
        <w:spacing w:after="160"/>
      </w:pPr>
      <w:r>
        <w:rPr>
          <w:i/>
          <w:iCs/>
        </w:rPr>
        <w:t xml:space="preserve">If anything in this document doesn't match what you remember building, or you want any section expanded with more detail (e.g. a deeper walk-through of the XGBoost algorithm, or the exact SHAP math), ask and it can be added before your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9E86" w:sz="8" w:space="4"/>
      </w:pBdr>
      <w:spacing w:after="160" w:before="360"/>
    </w:pPr>
    <w:rPr>
      <w:b/>
      <w:bCs/>
      <w:color w:val="1A2733"/>
      <w:sz w:val="32"/>
      <w:szCs w:val="32"/>
    </w:rPr>
  </w:style>
  <w:style w:type="paragraph" w:styleId="Heading2">
    <w:name w:val="Heading 2"/>
    <w:basedOn w:val="Normal"/>
    <w:next w:val="Normal"/>
    <w:qFormat/>
    <w:pPr>
      <w:spacing w:after="120" w:before="280"/>
    </w:pPr>
    <w:rPr>
      <w:b/>
      <w:bCs/>
      <w:color w:val="2F9E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2026-08-15T18:38:26.100Z</dcterms:created>
  <dcterms:modified xsi:type="dcterms:W3CDTF">2026-08-15T18:38:26.100Z</dcterms:modified>
</cp:coreProperties>
</file>

<file path=docProps/custom.xml><?xml version="1.0" encoding="utf-8"?>
<Properties xmlns="http://schemas.openxmlformats.org/officeDocument/2006/custom-properties" xmlns:vt="http://schemas.openxmlformats.org/officeDocument/2006/docPropsVTypes"/>
</file>