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44"/>
          <w:szCs w:val="44"/>
        </w:rPr>
        <w:t xml:space="preserve">Physics-Aware Machine Learning for Bio-Oil Pyrolysis</w:t>
      </w:r>
    </w:p>
    <w:p>
      <w:pPr>
        <w:spacing w:after="500"/>
        <w:jc w:val="center"/>
      </w:pPr>
      <w:r>
        <w:rPr>
          <w:sz w:val="28"/>
          <w:szCs w:val="28"/>
        </w:rPr>
        <w:t xml:space="preserve">An honest benchmark and a Pyrolysis Advisor for higher yield and lower oxygen</w:t>
      </w:r>
    </w:p>
    <w:p>
      <w:pPr>
        <w:jc w:val="center"/>
      </w:pPr>
      <w:r>
        <w:rPr>
          <w:b/>
          <w:bCs/>
          <w:sz w:val="24"/>
          <w:szCs w:val="24"/>
        </w:rPr>
        <w:t xml:space="preserve">Umasuthan Palaniappan (CB.AI.U4AIM25041)</w:t>
      </w:r>
    </w:p>
    <w:p>
      <w:pPr>
        <w:jc w:val="center"/>
      </w:pPr>
      <w:r>
        <w:rPr>
          <w:sz w:val="22"/>
          <w:szCs w:val="22"/>
        </w:rPr>
        <w:t xml:space="preserve">B.Tech Artificial Intelligence and Data Science, Amrita Vishwa Vidyapeetham, Coimbatore</w:t>
      </w:r>
    </w:p>
    <w:p>
      <w:pPr>
        <w:jc w:val="center"/>
      </w:pPr>
      <w:r>
        <w:rPr>
          <w:sz w:val="22"/>
          <w:szCs w:val="22"/>
        </w:rPr>
        <w:t xml:space="preserve">Course: 24AIM201 Mechanics and Fluidized Systems</w:t>
      </w:r>
    </w:p>
    <w:p>
      <w:pPr>
        <w:spacing w:after="600"/>
        <w:jc w:val="center"/>
      </w:pPr>
      <w:r>
        <w:rPr>
          <w:sz w:val="22"/>
          <w:szCs w:val="22"/>
        </w:rPr>
        <w:t xml:space="preserve">Faculty guide: Dr. Akhil Mohan  |  October 2026</w:t>
      </w:r>
    </w:p>
    <w:p>
      <w:r>
        <w:br w:type="page"/>
      </w:r>
    </w:p>
    <w:p>
      <w:pPr>
        <w:pStyle w:val="Heading1"/>
      </w:pPr>
      <w:r>
        <w:t xml:space="preserve">Abstract</w:t>
      </w:r>
    </w:p>
    <w:p>
      <w:pPr>
        <w:spacing w:after="120"/>
      </w:pPr>
      <w:r>
        <w:t xml:space="preserve">Machine learning (ML) is increasingly used to predict bio-oil yield and quality from biomass composition and pyrolysis conditions, and published models often report R² above 0.75. This project re-examines two public literature datasets: bio-oil O/C ratio (Zhang et al. 2022, 223 clean rows) and bio-liquid yield (Pascarella et al. 2025, 1,046 rows). We show that the usual random train/test split lets rows from the same biomass appear in both training and testing, which inflates scores. For yield, R² falls from 0.66 (random split) to 0.23 when rows are grouped by exact composition, and to −0.18 when hidden near-duplicate rows of the same biomass are also grouped. For O/C, R² falls from 0.63 to 0.23.</w:t>
      </w:r>
    </w:p>
    <w:p>
      <w:pPr>
        <w:spacing w:after="120"/>
      </w:pPr>
      <w:r>
        <w:t xml:space="preserve">We then built physics-aware models using heat-transfer, kinetic and molar-ratio features, physical constraints, and honest grouped validation. Physics features raised the unseen-biomass R² for O/C in all three model types (for example GPR from −0.14 to 0.23). The final models reproduce known physics: yield peaks near 525 °C and O/C falls from 0.28 to 0.21 between 350 and 700 °C. These models power a Pyrolysis Advisor that recommends reactor settings balancing high yield and low oxygen, flags biomasses outside its knowledge, and improves its predictions with one or two real experiments. The work addresses the lack of transferable, physics-consistent ML noted in Dr. Akhil Mohan's review of bio-oil separation strategies, and prepares lower-oxygen oil for the separation stage.</w:t>
      </w:r>
    </w:p>
    <w:p>
      <w:pPr>
        <w:spacing w:after="120"/>
      </w:pPr>
      <w:r>
        <w:rPr>
          <w:b/>
          <w:bCs/>
        </w:rPr>
        <w:t xml:space="preserve">Keywords: </w:t>
      </w:r>
      <w:r>
        <w:t xml:space="preserve">bio-oil, pyrolysis, machine learning, data leakage, physics-informed features, Gaussian process, Bayesian decision support</w:t>
      </w:r>
    </w:p>
    <w:p>
      <w:r>
        <w:br w:type="page"/>
      </w:r>
    </w:p>
    <w:p>
      <w:pPr>
        <w:pStyle w:val="Heading1"/>
      </w:pPr>
      <w:r>
        <w:t xml:space="preserve">1. Introduction</w:t>
      </w:r>
    </w:p>
    <w:p>
      <w:pPr>
        <w:pStyle w:val="Heading2"/>
      </w:pPr>
      <w:r>
        <w:t xml:space="preserve">1.1 Background</w:t>
      </w:r>
    </w:p>
    <w:p>
      <w:pPr>
        <w:spacing w:after="120"/>
      </w:pPr>
      <w:r>
        <w:t xml:space="preserve">Pyrolysis heats biomass at 400 to 600 °C without oxygen to produce bio-oil, char and gas. Crude bio-oil contains about 400 compounds, 31 to 52 wt% oxygen and 15 to 30 wt% water, which makes it acidic, unstable and low in heating value (Mohan et al. 2026). It must therefore be upgraded or separated before use. Dr. Akhil Mohan's review identifies phase separation using solvents and adsorbents as the most promising route, and notes in Section 8.5 that no published work yet integrates separation with ML because separation datasets do not exist.</w:t>
      </w:r>
    </w:p>
    <w:p>
      <w:pPr>
        <w:pStyle w:val="Heading2"/>
      </w:pPr>
      <w:r>
        <w:t xml:space="preserve">1.2 The problem this project addresses</w:t>
      </w:r>
    </w:p>
    <w:p>
      <w:pPr>
        <w:pStyle w:val="ListParagraph"/>
        <w:numPr>
          <w:ilvl w:val="0"/>
          <w:numId w:val="2"/>
        </w:numPr>
        <w:spacing w:after="60"/>
      </w:pPr>
      <w:r>
        <w:rPr>
          <w:b/>
          <w:bCs/>
        </w:rPr>
        <w:t xml:space="preserve">No separation data: </w:t>
      </w:r>
      <w:r>
        <w:t xml:space="preserve">public data covers only the pyrolysis stage (making the oil), not separation.</w:t>
      </w:r>
    </w:p>
    <w:p>
      <w:pPr>
        <w:pStyle w:val="ListParagraph"/>
        <w:numPr>
          <w:ilvl w:val="0"/>
          <w:numId w:val="2"/>
        </w:numPr>
        <w:spacing w:after="60"/>
      </w:pPr>
      <w:r>
        <w:rPr>
          <w:b/>
          <w:bCs/>
        </w:rPr>
        <w:t xml:space="preserve">Over-optimistic ML: </w:t>
      </w:r>
      <w:r>
        <w:t xml:space="preserve">a 2027 review found that 65% of pyrolysis ML studies use random cross-validation, which can inflate accuracy when related rows land in both training and test sets (da Costa et al. 2027).</w:t>
      </w:r>
    </w:p>
    <w:p>
      <w:pPr>
        <w:pStyle w:val="ListParagraph"/>
        <w:numPr>
          <w:ilvl w:val="0"/>
          <w:numId w:val="2"/>
        </w:numPr>
        <w:spacing w:after="60"/>
      </w:pPr>
      <w:r>
        <w:rPr>
          <w:b/>
          <w:bCs/>
        </w:rPr>
        <w:t xml:space="preserve">Little physics: </w:t>
      </w:r>
      <w:r>
        <w:t xml:space="preserve">most studies feed raw numbers into black-box models, so predictions can break physical laws and cannot be trusted outside the training data.</w:t>
      </w:r>
    </w:p>
    <w:p>
      <w:pPr>
        <w:pStyle w:val="Heading2"/>
      </w:pPr>
      <w:r>
        <w:t xml:space="preserve">1.3 Objectives</w:t>
      </w:r>
    </w:p>
    <w:p>
      <w:pPr>
        <w:pStyle w:val="ListParagraph"/>
        <w:numPr>
          <w:ilvl w:val="0"/>
          <w:numId w:val="3"/>
        </w:numPr>
        <w:spacing w:after="60"/>
      </w:pPr>
      <w:r>
        <w:t xml:space="preserve">Measure how much the testing method inflates ML accuracy for bio-oil yield and oxygen (Part A).</w:t>
      </w:r>
    </w:p>
    <w:p>
      <w:pPr>
        <w:pStyle w:val="ListParagraph"/>
        <w:numPr>
          <w:ilvl w:val="0"/>
          <w:numId w:val="3"/>
        </w:numPr>
        <w:spacing w:after="60"/>
      </w:pPr>
      <w:r>
        <w:t xml:space="preserve">Build physics-aware models that are honestly tested and follow known physical trends (Part B).</w:t>
      </w:r>
    </w:p>
    <w:p>
      <w:pPr>
        <w:pStyle w:val="ListParagraph"/>
        <w:numPr>
          <w:ilvl w:val="0"/>
          <w:numId w:val="3"/>
        </w:numPr>
        <w:spacing w:after="60"/>
      </w:pPr>
      <w:r>
        <w:t xml:space="preserve">Use them in a Pyrolysis Advisor that recommends conditions giving more oil with less oxygen, so the downstream separation step has less work to do.</w:t>
      </w:r>
    </w:p>
    <w:p>
      <w:pPr>
        <w:pStyle w:val="Heading1"/>
      </w:pPr>
      <w:r>
        <w:t xml:space="preserve">2. 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000"/>
        <w:gridCol w:w="3938"/>
      </w:tblGrid>
      <w:tr>
        <w:trPr>
          <w:tblHeader/>
        </w:trPr>
        <w:tc>
          <w:tcPr>
            <w:tcW w:type="dxa" w:w="1000"/>
            <w:shd w:fill="DCE6F1" w:color="auto" w:val="clear"/>
            <w:tcMar>
              <w:top w:type="dxa" w:w="60"/>
              <w:left w:type="dxa" w:w="100"/>
              <w:bottom w:type="dxa" w:w="60"/>
              <w:right w:type="dxa" w:w="100"/>
            </w:tcMar>
          </w:tcPr>
          <w:p>
            <w:r>
              <w:rPr>
                <w:b/>
                <w:bCs/>
                <w:sz w:val="19"/>
                <w:szCs w:val="19"/>
              </w:rPr>
              <w:t xml:space="preserve">ID</w:t>
            </w:r>
          </w:p>
        </w:tc>
        <w:tc>
          <w:tcPr>
            <w:tcW w:type="dxa" w:w="2700"/>
            <w:shd w:fill="DCE6F1" w:color="auto" w:val="clear"/>
            <w:tcMar>
              <w:top w:type="dxa" w:w="60"/>
              <w:left w:type="dxa" w:w="100"/>
              <w:bottom w:type="dxa" w:w="60"/>
              <w:right w:type="dxa" w:w="100"/>
            </w:tcMar>
          </w:tcPr>
          <w:p>
            <w:r>
              <w:rPr>
                <w:b/>
                <w:bCs/>
                <w:sz w:val="19"/>
                <w:szCs w:val="19"/>
              </w:rPr>
              <w:t xml:space="preserve">Source</w:t>
            </w:r>
          </w:p>
        </w:tc>
        <w:tc>
          <w:tcPr>
            <w:tcW w:type="dxa" w:w="2000"/>
            <w:shd w:fill="DCE6F1" w:color="auto" w:val="clear"/>
            <w:tcMar>
              <w:top w:type="dxa" w:w="60"/>
              <w:left w:type="dxa" w:w="100"/>
              <w:bottom w:type="dxa" w:w="60"/>
              <w:right w:type="dxa" w:w="100"/>
            </w:tcMar>
          </w:tcPr>
          <w:p>
            <w:r>
              <w:rPr>
                <w:b/>
                <w:bCs/>
                <w:sz w:val="19"/>
                <w:szCs w:val="19"/>
              </w:rPr>
              <w:t xml:space="preserve">Rows used</w:t>
            </w:r>
          </w:p>
        </w:tc>
        <w:tc>
          <w:tcPr>
            <w:tcW w:type="dxa" w:w="3938"/>
            <w:shd w:fill="DCE6F1" w:color="auto" w:val="clear"/>
            <w:tcMar>
              <w:top w:type="dxa" w:w="60"/>
              <w:left w:type="dxa" w:w="100"/>
              <w:bottom w:type="dxa" w:w="60"/>
              <w:right w:type="dxa" w:w="100"/>
            </w:tcMar>
          </w:tcPr>
          <w:p>
            <w:r>
              <w:rPr>
                <w:b/>
                <w:bCs/>
                <w:sz w:val="19"/>
                <w:szCs w:val="19"/>
              </w:rPr>
              <w:t xml:space="preserve">Inputs → output</w:t>
            </w:r>
          </w:p>
        </w:tc>
      </w:tr>
      <w:tr>
        <w:trPr>
          <w:tblHeader w:val="false"/>
        </w:trPr>
        <w:tc>
          <w:tcPr>
            <w:tcW w:type="dxa" w:w="1000"/>
            <w:tcMar>
              <w:top w:type="dxa" w:w="60"/>
              <w:left w:type="dxa" w:w="100"/>
              <w:bottom w:type="dxa" w:w="60"/>
              <w:right w:type="dxa" w:w="100"/>
            </w:tcMar>
          </w:tcPr>
          <w:p>
            <w:r>
              <w:rPr>
                <w:sz w:val="19"/>
                <w:szCs w:val="19"/>
              </w:rPr>
              <w:t xml:space="preserve">D1b</w:t>
            </w:r>
          </w:p>
        </w:tc>
        <w:tc>
          <w:tcPr>
            <w:tcW w:type="dxa" w:w="2700"/>
            <w:tcMar>
              <w:top w:type="dxa" w:w="60"/>
              <w:left w:type="dxa" w:w="100"/>
              <w:bottom w:type="dxa" w:w="60"/>
              <w:right w:type="dxa" w:w="100"/>
            </w:tcMar>
          </w:tcPr>
          <w:p>
            <w:r>
              <w:rPr>
                <w:sz w:val="19"/>
                <w:szCs w:val="19"/>
              </w:rPr>
              <w:t xml:space="preserve">Zhang et al. 2022, Fuel 312, 122812 ("data" sheet)</w:t>
            </w:r>
          </w:p>
        </w:tc>
        <w:tc>
          <w:tcPr>
            <w:tcW w:type="dxa" w:w="2000"/>
            <w:tcMar>
              <w:top w:type="dxa" w:w="60"/>
              <w:left w:type="dxa" w:w="100"/>
              <w:bottom w:type="dxa" w:w="60"/>
              <w:right w:type="dxa" w:w="100"/>
            </w:tcMar>
          </w:tcPr>
          <w:p>
            <w:r>
              <w:rPr>
                <w:sz w:val="19"/>
                <w:szCs w:val="19"/>
              </w:rPr>
              <w:t xml:space="preserve">223 rows, 122 biomasses</w:t>
            </w:r>
          </w:p>
        </w:tc>
        <w:tc>
          <w:tcPr>
            <w:tcW w:type="dxa" w:w="3938"/>
            <w:tcMar>
              <w:top w:type="dxa" w:w="60"/>
              <w:left w:type="dxa" w:w="100"/>
              <w:bottom w:type="dxa" w:w="60"/>
              <w:right w:type="dxa" w:w="100"/>
            </w:tcMar>
          </w:tcPr>
          <w:p>
            <w:r>
              <w:rPr>
                <w:sz w:val="19"/>
                <w:szCs w:val="19"/>
              </w:rPr>
              <w:t xml:space="preserve">Feed C, H, O, N, particle size, heating rate, temperature → bio-oil O/C</w:t>
            </w:r>
          </w:p>
        </w:tc>
      </w:tr>
      <w:tr>
        <w:trPr>
          <w:tblHeader w:val="false"/>
        </w:trPr>
        <w:tc>
          <w:tcPr>
            <w:tcW w:type="dxa" w:w="1000"/>
            <w:tcMar>
              <w:top w:type="dxa" w:w="60"/>
              <w:left w:type="dxa" w:w="100"/>
              <w:bottom w:type="dxa" w:w="60"/>
              <w:right w:type="dxa" w:w="100"/>
            </w:tcMar>
          </w:tcPr>
          <w:p>
            <w:r>
              <w:rPr>
                <w:sz w:val="19"/>
                <w:szCs w:val="19"/>
              </w:rPr>
              <w:t xml:space="preserve">D3</w:t>
            </w:r>
          </w:p>
        </w:tc>
        <w:tc>
          <w:tcPr>
            <w:tcW w:type="dxa" w:w="2700"/>
            <w:tcMar>
              <w:top w:type="dxa" w:w="60"/>
              <w:left w:type="dxa" w:w="100"/>
              <w:bottom w:type="dxa" w:w="60"/>
              <w:right w:type="dxa" w:w="100"/>
            </w:tcMar>
          </w:tcPr>
          <w:p>
            <w:r>
              <w:rPr>
                <w:sz w:val="19"/>
                <w:szCs w:val="19"/>
              </w:rPr>
              <w:t xml:space="preserve">Pascarella et al. 2025, Fuel 394, 135000 (Zenodo 10.5281/zenodo.19205977)</w:t>
            </w:r>
          </w:p>
        </w:tc>
        <w:tc>
          <w:tcPr>
            <w:tcW w:type="dxa" w:w="2000"/>
            <w:tcMar>
              <w:top w:type="dxa" w:w="60"/>
              <w:left w:type="dxa" w:w="100"/>
              <w:bottom w:type="dxa" w:w="60"/>
              <w:right w:type="dxa" w:w="100"/>
            </w:tcMar>
          </w:tcPr>
          <w:p>
            <w:r>
              <w:rPr>
                <w:sz w:val="19"/>
                <w:szCs w:val="19"/>
              </w:rPr>
              <w:t xml:space="preserve">1,046 rows, 118 biomasses</w:t>
            </w:r>
          </w:p>
        </w:tc>
        <w:tc>
          <w:tcPr>
            <w:tcW w:type="dxa" w:w="3938"/>
            <w:tcMar>
              <w:top w:type="dxa" w:w="60"/>
              <w:left w:type="dxa" w:w="100"/>
              <w:bottom w:type="dxa" w:w="60"/>
              <w:right w:type="dxa" w:w="100"/>
            </w:tcMar>
          </w:tcPr>
          <w:p>
            <w:r>
              <w:rPr>
                <w:sz w:val="19"/>
                <w:szCs w:val="19"/>
              </w:rPr>
              <w:t xml:space="preserve">Same inputs (plus others) → bio-liquid yield (wt%)</w:t>
            </w:r>
          </w:p>
        </w:tc>
      </w:tr>
    </w:tbl>
    <w:p>
      <w:pPr>
        <w:spacing w:after="60"/>
      </w:pPr>
    </w:p>
    <w:p>
      <w:pPr>
        <w:pStyle w:val="Heading2"/>
      </w:pPr>
      <w:r>
        <w:t xml:space="preserve">2.1 Cleaning</w:t>
      </w:r>
    </w:p>
    <w:p>
      <w:pPr>
        <w:pStyle w:val="ListParagraph"/>
        <w:numPr>
          <w:ilvl w:val="0"/>
          <w:numId w:val="2"/>
        </w:numPr>
        <w:spacing w:after="60"/>
      </w:pPr>
      <w:r>
        <w:rPr>
          <w:b/>
          <w:bCs/>
        </w:rPr>
        <w:t xml:space="preserve">D1b: </w:t>
      </w:r>
      <w:r>
        <w:t xml:space="preserve">320 rows; 4 exact duplicates removed; 6 numbers stored as text fixed; 13 implausible rows excluded (corrupted values, shifted columns, charcoal-like feeds at 185 °C, feed N about 20%, temperature below 300 °C). Rows with all seven inputs and O/C give 223 rows.</w:t>
      </w:r>
    </w:p>
    <w:p>
      <w:pPr>
        <w:pStyle w:val="ListParagraph"/>
        <w:numPr>
          <w:ilvl w:val="0"/>
          <w:numId w:val="2"/>
        </w:numPr>
        <w:spacing w:after="60"/>
      </w:pPr>
      <w:r>
        <w:rPr>
          <w:b/>
          <w:bCs/>
        </w:rPr>
        <w:t xml:space="preserve">D3: </w:t>
      </w:r>
      <w:r>
        <w:t xml:space="preserve">1,057 rows; 11 exact duplicates removed, leaving 1,046.</w:t>
      </w:r>
    </w:p>
    <w:p>
      <w:pPr>
        <w:pStyle w:val="Heading2"/>
      </w:pPr>
      <w:r>
        <w:t xml:space="preserve">2.2 A hidden trap: near-duplicate biomasses</w:t>
      </w:r>
    </w:p>
    <w:p>
      <w:pPr>
        <w:spacing w:after="120"/>
      </w:pPr>
      <w:r>
        <w:t xml:space="preserve">In D3, every composition value carries tiny differences (for example carbon 49.2073% vs 49.2074%), probably from processing in the source data. Grouping rows by exact values gives 651 "biomasses"; clustering compositions that differ by less than 0.2 wt% gives 118. The count is stable between 0.1 and 0.3 wt% (120 to 116), so 118 is the true number of biomasses. Section 4 shows why this matters.</w:t>
      </w:r>
    </w:p>
    <w:p>
      <w:pPr>
        <w:pStyle w:val="Heading1"/>
      </w:pPr>
      <w:r>
        <w:t xml:space="preserve">3. Methods</w:t>
      </w:r>
    </w:p>
    <w:p>
      <w:pPr>
        <w:pStyle w:val="Heading2"/>
      </w:pPr>
      <w:r>
        <w:t xml:space="preserve">3.1 Physics-based input features</w:t>
      </w:r>
    </w:p>
    <w:p>
      <w:pPr>
        <w:spacing w:after="120"/>
      </w:pPr>
      <w:r>
        <w:t xml:space="preserve">Both models use the same seven measurable inputs (feed C, H, O, N, temperature T, heating rate HR, particle size PS), converted into features with physical meaning: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shd w:fill="DCE6F1" w:color="auto" w:val="clear"/>
            <w:tcMar>
              <w:top w:type="dxa" w:w="60"/>
              <w:left w:type="dxa" w:w="100"/>
              <w:bottom w:type="dxa" w:w="60"/>
              <w:right w:type="dxa" w:w="100"/>
            </w:tcMar>
          </w:tcPr>
          <w:p>
            <w:r>
              <w:rPr>
                <w:b/>
                <w:bCs/>
                <w:sz w:val="19"/>
                <w:szCs w:val="19"/>
              </w:rPr>
              <w:t xml:space="preserve">Feature</w:t>
            </w:r>
          </w:p>
        </w:tc>
        <w:tc>
          <w:tcPr>
            <w:tcW w:type="dxa" w:w="3500"/>
            <w:shd w:fill="DCE6F1" w:color="auto" w:val="clear"/>
            <w:tcMar>
              <w:top w:type="dxa" w:w="60"/>
              <w:left w:type="dxa" w:w="100"/>
              <w:bottom w:type="dxa" w:w="60"/>
              <w:right w:type="dxa" w:w="100"/>
            </w:tcMar>
          </w:tcPr>
          <w:p>
            <w:r>
              <w:rPr>
                <w:b/>
                <w:bCs/>
                <w:sz w:val="19"/>
                <w:szCs w:val="19"/>
              </w:rPr>
              <w:t xml:space="preserve">Formula</w:t>
            </w:r>
          </w:p>
        </w:tc>
        <w:tc>
          <w:tcPr>
            <w:tcW w:type="dxa" w:w="3638"/>
            <w:shd w:fill="DCE6F1" w:color="auto" w:val="clear"/>
            <w:tcMar>
              <w:top w:type="dxa" w:w="60"/>
              <w:left w:type="dxa" w:w="100"/>
              <w:bottom w:type="dxa" w:w="60"/>
              <w:right w:type="dxa" w:w="100"/>
            </w:tcMar>
          </w:tcPr>
          <w:p>
            <w:r>
              <w:rPr>
                <w:b/>
                <w:bCs/>
                <w:sz w:val="19"/>
                <w:szCs w:val="19"/>
              </w:rPr>
              <w:t xml:space="preserve">Physical meaning</w:t>
            </w:r>
          </w:p>
        </w:tc>
      </w:tr>
      <w:tr>
        <w:trPr>
          <w:tblHeader w:val="false"/>
        </w:trPr>
        <w:tc>
          <w:tcPr>
            <w:tcW w:type="dxa" w:w="2500"/>
            <w:tcMar>
              <w:top w:type="dxa" w:w="60"/>
              <w:left w:type="dxa" w:w="100"/>
              <w:bottom w:type="dxa" w:w="60"/>
              <w:right w:type="dxa" w:w="100"/>
            </w:tcMar>
          </w:tcPr>
          <w:p>
            <w:r>
              <w:rPr>
                <w:sz w:val="19"/>
                <w:szCs w:val="19"/>
              </w:rPr>
              <w:t xml:space="preserve">Feed O/C, H/C (molar)</w:t>
            </w:r>
          </w:p>
        </w:tc>
        <w:tc>
          <w:tcPr>
            <w:tcW w:type="dxa" w:w="3500"/>
            <w:tcMar>
              <w:top w:type="dxa" w:w="60"/>
              <w:left w:type="dxa" w:w="100"/>
              <w:bottom w:type="dxa" w:w="60"/>
              <w:right w:type="dxa" w:w="100"/>
            </w:tcMar>
          </w:tcPr>
          <w:p>
            <w:r>
              <w:rPr>
                <w:sz w:val="19"/>
                <w:szCs w:val="19"/>
              </w:rPr>
              <w:t xml:space="preserve">(O/16)/(C/12), (H/1.008)/(C/12)</w:t>
            </w:r>
          </w:p>
        </w:tc>
        <w:tc>
          <w:tcPr>
            <w:tcW w:type="dxa" w:w="3638"/>
            <w:tcMar>
              <w:top w:type="dxa" w:w="60"/>
              <w:left w:type="dxa" w:w="100"/>
              <w:bottom w:type="dxa" w:w="60"/>
              <w:right w:type="dxa" w:w="100"/>
            </w:tcMar>
          </w:tcPr>
          <w:p>
            <w:r>
              <w:rPr>
                <w:sz w:val="19"/>
                <w:szCs w:val="19"/>
              </w:rPr>
              <w:t xml:space="preserve">Atoms of oxygen or hydrogen per carbon</w:t>
            </w:r>
          </w:p>
        </w:tc>
      </w:tr>
      <w:tr>
        <w:trPr>
          <w:tblHeader w:val="false"/>
        </w:trPr>
        <w:tc>
          <w:tcPr>
            <w:tcW w:type="dxa" w:w="2500"/>
            <w:tcMar>
              <w:top w:type="dxa" w:w="60"/>
              <w:left w:type="dxa" w:w="100"/>
              <w:bottom w:type="dxa" w:w="60"/>
              <w:right w:type="dxa" w:w="100"/>
            </w:tcMar>
          </w:tcPr>
          <w:p>
            <w:r>
              <w:rPr>
                <w:sz w:val="19"/>
                <w:szCs w:val="19"/>
              </w:rPr>
              <w:t xml:space="preserve">Feed effective H/C</w:t>
            </w:r>
          </w:p>
        </w:tc>
        <w:tc>
          <w:tcPr>
            <w:tcW w:type="dxa" w:w="3500"/>
            <w:tcMar>
              <w:top w:type="dxa" w:w="60"/>
              <w:left w:type="dxa" w:w="100"/>
              <w:bottom w:type="dxa" w:w="60"/>
              <w:right w:type="dxa" w:w="100"/>
            </w:tcMar>
          </w:tcPr>
          <w:p>
            <w:r>
              <w:rPr>
                <w:sz w:val="19"/>
                <w:szCs w:val="19"/>
              </w:rPr>
              <w:t xml:space="preserve">(H/1.008 − 2·O/16)/(C/12)</w:t>
            </w:r>
          </w:p>
        </w:tc>
        <w:tc>
          <w:tcPr>
            <w:tcW w:type="dxa" w:w="3638"/>
            <w:tcMar>
              <w:top w:type="dxa" w:w="60"/>
              <w:left w:type="dxa" w:w="100"/>
              <w:bottom w:type="dxa" w:w="60"/>
              <w:right w:type="dxa" w:w="100"/>
            </w:tcMar>
          </w:tcPr>
          <w:p>
            <w:r>
              <w:rPr>
                <w:sz w:val="19"/>
                <w:szCs w:val="19"/>
              </w:rPr>
              <w:t xml:space="preserve">Hydrogen left after oxygen forms water</w:t>
            </w:r>
          </w:p>
        </w:tc>
      </w:tr>
      <w:tr>
        <w:trPr>
          <w:tblHeader w:val="false"/>
        </w:trPr>
        <w:tc>
          <w:tcPr>
            <w:tcW w:type="dxa" w:w="2500"/>
            <w:tcMar>
              <w:top w:type="dxa" w:w="60"/>
              <w:left w:type="dxa" w:w="100"/>
              <w:bottom w:type="dxa" w:w="60"/>
              <w:right w:type="dxa" w:w="100"/>
            </w:tcMar>
          </w:tcPr>
          <w:p>
            <w:r>
              <w:rPr>
                <w:sz w:val="19"/>
                <w:szCs w:val="19"/>
              </w:rPr>
              <w:t xml:space="preserve">Heating regime θ</w:t>
            </w:r>
          </w:p>
        </w:tc>
        <w:tc>
          <w:tcPr>
            <w:tcW w:type="dxa" w:w="3500"/>
            <w:tcMar>
              <w:top w:type="dxa" w:w="60"/>
              <w:left w:type="dxa" w:w="100"/>
              <w:bottom w:type="dxa" w:w="60"/>
              <w:right w:type="dxa" w:w="100"/>
            </w:tcMar>
          </w:tcPr>
          <w:p>
            <w:r>
              <w:rPr>
                <w:sz w:val="19"/>
                <w:szCs w:val="19"/>
              </w:rPr>
              <w:t xml:space="preserve">log10(t_cond / t_heat), t_cond = r²/α, t_heat = (T−25)/HR</w:t>
            </w:r>
          </w:p>
        </w:tc>
        <w:tc>
          <w:tcPr>
            <w:tcW w:type="dxa" w:w="3638"/>
            <w:tcMar>
              <w:top w:type="dxa" w:w="60"/>
              <w:left w:type="dxa" w:w="100"/>
              <w:bottom w:type="dxa" w:w="60"/>
              <w:right w:type="dxa" w:w="100"/>
            </w:tcMar>
          </w:tcPr>
          <w:p>
            <w:r>
              <w:rPr>
                <w:sz w:val="19"/>
                <w:szCs w:val="19"/>
              </w:rPr>
              <w:t xml:space="preserve">Whether the particle heats evenly (θ &lt; 0) or lags inside (heat transfer)</w:t>
            </w:r>
          </w:p>
        </w:tc>
      </w:tr>
      <w:tr>
        <w:trPr>
          <w:tblHeader w:val="false"/>
        </w:trPr>
        <w:tc>
          <w:tcPr>
            <w:tcW w:type="dxa" w:w="2500"/>
            <w:tcMar>
              <w:top w:type="dxa" w:w="60"/>
              <w:left w:type="dxa" w:w="100"/>
              <w:bottom w:type="dxa" w:w="60"/>
              <w:right w:type="dxa" w:w="100"/>
            </w:tcMar>
          </w:tcPr>
          <w:p>
            <w:r>
              <w:rPr>
                <w:sz w:val="19"/>
                <w:szCs w:val="19"/>
              </w:rPr>
              <w:t xml:space="preserve">Kinetic tar selectivity</w:t>
            </w:r>
          </w:p>
        </w:tc>
        <w:tc>
          <w:tcPr>
            <w:tcW w:type="dxa" w:w="3500"/>
            <w:tcMar>
              <w:top w:type="dxa" w:w="60"/>
              <w:left w:type="dxa" w:w="100"/>
              <w:bottom w:type="dxa" w:w="60"/>
              <w:right w:type="dxa" w:w="100"/>
            </w:tcMar>
          </w:tcPr>
          <w:p>
            <w:r>
              <w:rPr>
                <w:sz w:val="19"/>
                <w:szCs w:val="19"/>
              </w:rPr>
              <w:t xml:space="preserve">k_tar/(k_gas + k_tar + k_char), Arrhenius rates</w:t>
            </w:r>
          </w:p>
        </w:tc>
        <w:tc>
          <w:tcPr>
            <w:tcW w:type="dxa" w:w="3638"/>
            <w:tcMar>
              <w:top w:type="dxa" w:w="60"/>
              <w:left w:type="dxa" w:w="100"/>
              <w:bottom w:type="dxa" w:w="60"/>
              <w:right w:type="dxa" w:w="100"/>
            </w:tcMar>
          </w:tcPr>
          <w:p>
            <w:r>
              <w:rPr>
                <w:sz w:val="19"/>
                <w:szCs w:val="19"/>
              </w:rPr>
              <w:t xml:space="preserve">Share of biomass turning into liquid first (Chan et al. 1985)</w:t>
            </w:r>
          </w:p>
        </w:tc>
      </w:tr>
      <w:tr>
        <w:trPr>
          <w:tblHeader w:val="false"/>
        </w:trPr>
        <w:tc>
          <w:tcPr>
            <w:tcW w:type="dxa" w:w="2500"/>
            <w:tcMar>
              <w:top w:type="dxa" w:w="60"/>
              <w:left w:type="dxa" w:w="100"/>
              <w:bottom w:type="dxa" w:w="60"/>
              <w:right w:type="dxa" w:w="100"/>
            </w:tcMar>
          </w:tcPr>
          <w:p>
            <w:r>
              <w:rPr>
                <w:sz w:val="19"/>
                <w:szCs w:val="19"/>
              </w:rPr>
              <w:t xml:space="preserve">Pyrolysis number</w:t>
            </w:r>
          </w:p>
        </w:tc>
        <w:tc>
          <w:tcPr>
            <w:tcW w:type="dxa" w:w="3500"/>
            <w:tcMar>
              <w:top w:type="dxa" w:w="60"/>
              <w:left w:type="dxa" w:w="100"/>
              <w:bottom w:type="dxa" w:w="60"/>
              <w:right w:type="dxa" w:w="100"/>
            </w:tcMar>
          </w:tcPr>
          <w:p>
            <w:r>
              <w:rPr>
                <w:sz w:val="19"/>
                <w:szCs w:val="19"/>
              </w:rPr>
              <w:t xml:space="preserve">log10(reaction time / conduction time)</w:t>
            </w:r>
          </w:p>
        </w:tc>
        <w:tc>
          <w:tcPr>
            <w:tcW w:type="dxa" w:w="3638"/>
            <w:tcMar>
              <w:top w:type="dxa" w:w="60"/>
              <w:left w:type="dxa" w:w="100"/>
              <w:bottom w:type="dxa" w:w="60"/>
              <w:right w:type="dxa" w:w="100"/>
            </w:tcMar>
          </w:tcPr>
          <w:p>
            <w:r>
              <w:rPr>
                <w:sz w:val="19"/>
                <w:szCs w:val="19"/>
              </w:rPr>
              <w:t xml:space="preserve">Whether chemistry or heat transfer is slower</w:t>
            </w:r>
          </w:p>
        </w:tc>
      </w:tr>
      <w:tr>
        <w:trPr>
          <w:tblHeader w:val="false"/>
        </w:trPr>
        <w:tc>
          <w:tcPr>
            <w:tcW w:type="dxa" w:w="2500"/>
            <w:tcMar>
              <w:top w:type="dxa" w:w="60"/>
              <w:left w:type="dxa" w:w="100"/>
              <w:bottom w:type="dxa" w:w="60"/>
              <w:right w:type="dxa" w:w="100"/>
            </w:tcMar>
          </w:tcPr>
          <w:p>
            <w:r>
              <w:rPr>
                <w:sz w:val="19"/>
                <w:szCs w:val="19"/>
              </w:rPr>
              <w:t xml:space="preserve">Thermal severity index</w:t>
            </w:r>
          </w:p>
        </w:tc>
        <w:tc>
          <w:tcPr>
            <w:tcW w:type="dxa" w:w="3500"/>
            <w:tcMar>
              <w:top w:type="dxa" w:w="60"/>
              <w:left w:type="dxa" w:w="100"/>
              <w:bottom w:type="dxa" w:w="60"/>
              <w:right w:type="dxa" w:w="100"/>
            </w:tcMar>
          </w:tcPr>
          <w:p>
            <w:r>
              <w:rPr>
                <w:sz w:val="19"/>
                <w:szCs w:val="19"/>
              </w:rPr>
              <w:t xml:space="preserve">log10(T·ln(HR+1)/PS)</w:t>
            </w:r>
          </w:p>
        </w:tc>
        <w:tc>
          <w:tcPr>
            <w:tcW w:type="dxa" w:w="3638"/>
            <w:tcMar>
              <w:top w:type="dxa" w:w="60"/>
              <w:left w:type="dxa" w:w="100"/>
              <w:bottom w:type="dxa" w:w="60"/>
              <w:right w:type="dxa" w:w="100"/>
            </w:tcMar>
          </w:tcPr>
          <w:p>
            <w:r>
              <w:rPr>
                <w:sz w:val="19"/>
                <w:szCs w:val="19"/>
              </w:rPr>
              <w:t xml:space="preserve">Combined heating intensity (Aye et al. 2026)</w:t>
            </w:r>
          </w:p>
        </w:tc>
      </w:tr>
      <w:tr>
        <w:trPr>
          <w:tblHeader w:val="false"/>
        </w:trPr>
        <w:tc>
          <w:tcPr>
            <w:tcW w:type="dxa" w:w="2500"/>
            <w:tcMar>
              <w:top w:type="dxa" w:w="60"/>
              <w:left w:type="dxa" w:w="100"/>
              <w:bottom w:type="dxa" w:w="60"/>
              <w:right w:type="dxa" w:w="100"/>
            </w:tcMar>
          </w:tcPr>
          <w:p>
            <w:r>
              <w:rPr>
                <w:sz w:val="19"/>
                <w:szCs w:val="19"/>
              </w:rPr>
              <w:t xml:space="preserve">log HR, log PS, T, N</w:t>
            </w:r>
          </w:p>
        </w:tc>
        <w:tc>
          <w:tcPr>
            <w:tcW w:type="dxa" w:w="3500"/>
            <w:tcMar>
              <w:top w:type="dxa" w:w="60"/>
              <w:left w:type="dxa" w:w="100"/>
              <w:bottom w:type="dxa" w:w="60"/>
              <w:right w:type="dxa" w:w="100"/>
            </w:tcMar>
          </w:tcPr>
          <w:p>
            <w:r>
              <w:rPr>
                <w:sz w:val="19"/>
                <w:szCs w:val="19"/>
              </w:rPr>
              <w:t xml:space="preserve">As shown</w:t>
            </w:r>
          </w:p>
        </w:tc>
        <w:tc>
          <w:tcPr>
            <w:tcW w:type="dxa" w:w="3638"/>
            <w:tcMar>
              <w:top w:type="dxa" w:w="60"/>
              <w:left w:type="dxa" w:w="100"/>
              <w:bottom w:type="dxa" w:w="60"/>
              <w:right w:type="dxa" w:w="100"/>
            </w:tcMar>
          </w:tcPr>
          <w:p>
            <w:r>
              <w:rPr>
                <w:sz w:val="19"/>
                <w:szCs w:val="19"/>
              </w:rPr>
              <w:t xml:space="preserve">Process conditions on a sensible scale</w:t>
            </w:r>
          </w:p>
        </w:tc>
      </w:tr>
    </w:tbl>
    <w:p>
      <w:pPr>
        <w:spacing w:after="120"/>
      </w:pPr>
      <w:r>
        <w:rPr>
          <w:i/>
          <w:iCs/>
          <w:sz w:val="18"/>
          <w:szCs w:val="18"/>
        </w:rPr>
        <w:t xml:space="preserve">α = 1×10⁻⁷ m²/s (typical thermal diffusivity of biomass); r = particle radius.</w:t>
      </w:r>
    </w:p>
    <w:p>
      <w:pPr>
        <w:pStyle w:val="Heading2"/>
      </w:pPr>
      <w:r>
        <w:t xml:space="preserve">3.2 Models</w:t>
      </w:r>
    </w:p>
    <w:p>
      <w:pPr>
        <w:pStyle w:val="ListParagraph"/>
        <w:numPr>
          <w:ilvl w:val="0"/>
          <w:numId w:val="2"/>
        </w:numPr>
        <w:spacing w:after="60"/>
      </w:pPr>
      <w:r>
        <w:rPr>
          <w:b/>
          <w:bCs/>
        </w:rPr>
        <w:t xml:space="preserve">Baselines: </w:t>
      </w:r>
      <w:r>
        <w:t xml:space="preserve">mean only (no model), Random Forest, XGBoost and Gaussian Process Regression (GPR, Matérn kernel).</w:t>
      </w:r>
    </w:p>
    <w:p>
      <w:pPr>
        <w:pStyle w:val="ListParagraph"/>
        <w:numPr>
          <w:ilvl w:val="0"/>
          <w:numId w:val="2"/>
        </w:numPr>
        <w:spacing w:after="60"/>
      </w:pPr>
      <w:r>
        <w:rPr>
          <w:b/>
          <w:bCs/>
        </w:rPr>
        <w:t xml:space="preserve">Final O/C model: </w:t>
      </w:r>
      <w:r>
        <w:t xml:space="preserve">average of GPR and an XGBoost model with physical constraints (O/C may not rise with temperature, thermal severity or tar selectivity, and may not fall with feed O/C). Target: log10(O/C), because O/C is strongly skewed.</w:t>
      </w:r>
    </w:p>
    <w:p>
      <w:pPr>
        <w:pStyle w:val="ListParagraph"/>
        <w:numPr>
          <w:ilvl w:val="0"/>
          <w:numId w:val="2"/>
        </w:numPr>
        <w:spacing w:after="60"/>
      </w:pPr>
      <w:r>
        <w:rPr>
          <w:b/>
          <w:bCs/>
        </w:rPr>
        <w:t xml:space="preserve">Final yield model (level + shape): </w:t>
      </w:r>
      <w:r>
        <w:t xml:space="preserve">yield = level + shape. The level is a GPR on biomass composition ("how much oil this kind of biomass tends to give"); the shape is an XGBoost model on reactor-condition features trained on each biomass's deviation from its own average ("how yield changes with temperature, heating rate and particle size").</w:t>
      </w:r>
    </w:p>
    <w:p>
      <w:pPr>
        <w:pStyle w:val="Heading2"/>
      </w:pPr>
      <w:r>
        <w:t xml:space="preserve">3.3 Testing protocols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DCE6F1" w:color="auto" w:val="clear"/>
            <w:tcMar>
              <w:top w:type="dxa" w:w="60"/>
              <w:left w:type="dxa" w:w="100"/>
              <w:bottom w:type="dxa" w:w="60"/>
              <w:right w:type="dxa" w:w="100"/>
            </w:tcMar>
          </w:tcPr>
          <w:p>
            <w:r>
              <w:rPr>
                <w:b/>
                <w:bCs/>
                <w:sz w:val="19"/>
                <w:szCs w:val="19"/>
              </w:rPr>
              <w:t xml:space="preserve">Protocol</w:t>
            </w:r>
          </w:p>
        </w:tc>
        <w:tc>
          <w:tcPr>
            <w:tcW w:type="dxa" w:w="7038"/>
            <w:shd w:fill="DCE6F1" w:color="auto" w:val="clear"/>
            <w:tcMar>
              <w:top w:type="dxa" w:w="60"/>
              <w:left w:type="dxa" w:w="100"/>
              <w:bottom w:type="dxa" w:w="60"/>
              <w:right w:type="dxa" w:w="100"/>
            </w:tcMar>
          </w:tcPr>
          <w:p>
            <w:r>
              <w:rPr>
                <w:b/>
                <w:bCs/>
                <w:sz w:val="19"/>
                <w:szCs w:val="19"/>
              </w:rPr>
              <w:t xml:space="preserve">How it works</w:t>
            </w:r>
          </w:p>
        </w:tc>
      </w:tr>
      <w:tr>
        <w:trPr>
          <w:tblHeader w:val="false"/>
        </w:trPr>
        <w:tc>
          <w:tcPr>
            <w:tcW w:type="dxa" w:w="2600"/>
            <w:tcMar>
              <w:top w:type="dxa" w:w="60"/>
              <w:left w:type="dxa" w:w="100"/>
              <w:bottom w:type="dxa" w:w="60"/>
              <w:right w:type="dxa" w:w="100"/>
            </w:tcMar>
          </w:tcPr>
          <w:p>
            <w:r>
              <w:rPr>
                <w:sz w:val="19"/>
                <w:szCs w:val="19"/>
              </w:rPr>
              <w:t xml:space="preserve">Random split</w:t>
            </w:r>
          </w:p>
        </w:tc>
        <w:tc>
          <w:tcPr>
            <w:tcW w:type="dxa" w:w="7038"/>
            <w:tcMar>
              <w:top w:type="dxa" w:w="60"/>
              <w:left w:type="dxa" w:w="100"/>
              <w:bottom w:type="dxa" w:w="60"/>
              <w:right w:type="dxa" w:w="100"/>
            </w:tcMar>
          </w:tcPr>
          <w:p>
            <w:r>
              <w:rPr>
                <w:sz w:val="19"/>
                <w:szCs w:val="19"/>
              </w:rPr>
              <w:t xml:space="preserve">80/20 random split, 10 repeats. Rows of one biomass can appear in both training and test (common in literature).</w:t>
            </w:r>
          </w:p>
        </w:tc>
      </w:tr>
      <w:tr>
        <w:trPr>
          <w:tblHeader w:val="false"/>
        </w:trPr>
        <w:tc>
          <w:tcPr>
            <w:tcW w:type="dxa" w:w="2600"/>
            <w:tcMar>
              <w:top w:type="dxa" w:w="60"/>
              <w:left w:type="dxa" w:w="100"/>
              <w:bottom w:type="dxa" w:w="60"/>
              <w:right w:type="dxa" w:w="100"/>
            </w:tcMar>
          </w:tcPr>
          <w:p>
            <w:r>
              <w:rPr>
                <w:sz w:val="19"/>
                <w:szCs w:val="19"/>
              </w:rPr>
              <w:t xml:space="preserve">Grouped by exact values</w:t>
            </w:r>
          </w:p>
        </w:tc>
        <w:tc>
          <w:tcPr>
            <w:tcW w:type="dxa" w:w="7038"/>
            <w:tcMar>
              <w:top w:type="dxa" w:w="60"/>
              <w:left w:type="dxa" w:w="100"/>
              <w:bottom w:type="dxa" w:w="60"/>
              <w:right w:type="dxa" w:w="100"/>
            </w:tcMar>
          </w:tcPr>
          <w:p>
            <w:r>
              <w:rPr>
                <w:sz w:val="19"/>
                <w:szCs w:val="19"/>
              </w:rPr>
              <w:t xml:space="preserve">Rows with identical composition are kept together (5 folds × 5 repeats). Near-duplicates can still leak.</w:t>
            </w:r>
          </w:p>
        </w:tc>
      </w:tr>
      <w:tr>
        <w:trPr>
          <w:tblHeader w:val="false"/>
        </w:trPr>
        <w:tc>
          <w:tcPr>
            <w:tcW w:type="dxa" w:w="2600"/>
            <w:tcMar>
              <w:top w:type="dxa" w:w="60"/>
              <w:left w:type="dxa" w:w="100"/>
              <w:bottom w:type="dxa" w:w="60"/>
              <w:right w:type="dxa" w:w="100"/>
            </w:tcMar>
          </w:tcPr>
          <w:p>
            <w:r>
              <w:rPr>
                <w:sz w:val="19"/>
                <w:szCs w:val="19"/>
              </w:rPr>
              <w:t xml:space="preserve">Grouped by biomass</w:t>
            </w:r>
          </w:p>
        </w:tc>
        <w:tc>
          <w:tcPr>
            <w:tcW w:type="dxa" w:w="7038"/>
            <w:tcMar>
              <w:top w:type="dxa" w:w="60"/>
              <w:left w:type="dxa" w:w="100"/>
              <w:bottom w:type="dxa" w:w="60"/>
              <w:right w:type="dxa" w:w="100"/>
            </w:tcMar>
          </w:tcPr>
          <w:p>
            <w:r>
              <w:rPr>
                <w:sz w:val="19"/>
                <w:szCs w:val="19"/>
              </w:rPr>
              <w:t xml:space="preserve">All rows of a biomass, including near-duplicates, are kept together (5 folds × 5 repeats; GPR yield 10 splits). This simulates a truly new biomass.</w:t>
            </w:r>
          </w:p>
        </w:tc>
      </w:tr>
    </w:tbl>
    <w:p>
      <w:pPr>
        <w:pStyle w:val="Heading2"/>
      </w:pPr>
      <w:r>
        <w:t xml:space="preserve">3.4 Uncertainty, calibration and the advisor</w:t>
      </w:r>
    </w:p>
    <w:p>
      <w:pPr>
        <w:pStyle w:val="ListParagraph"/>
        <w:numPr>
          <w:ilvl w:val="0"/>
          <w:numId w:val="2"/>
        </w:numPr>
        <w:spacing w:after="60"/>
      </w:pPr>
      <w:r>
        <w:rPr>
          <w:b/>
          <w:bCs/>
        </w:rPr>
        <w:t xml:space="preserve">Honest uncertainty: </w:t>
      </w:r>
      <w:r>
        <w:t xml:space="preserve">80% prediction bands are taken from the errors the models made on unseen biomasses (grouped out-of-fold errors).</w:t>
      </w:r>
    </w:p>
    <w:p>
      <w:pPr>
        <w:pStyle w:val="ListParagraph"/>
        <w:numPr>
          <w:ilvl w:val="0"/>
          <w:numId w:val="2"/>
        </w:numPr>
        <w:spacing w:after="60"/>
      </w:pPr>
      <w:r>
        <w:rPr>
          <w:b/>
          <w:bCs/>
        </w:rPr>
        <w:t xml:space="preserve">Calibration: </w:t>
      </w:r>
      <w:r>
        <w:t xml:space="preserve">for a new biomass, 1 or 2 real experiments are used to shift the model's level; the model then predicts the remaining conditions.</w:t>
      </w:r>
    </w:p>
    <w:p>
      <w:pPr>
        <w:pStyle w:val="ListParagraph"/>
        <w:numPr>
          <w:ilvl w:val="0"/>
          <w:numId w:val="2"/>
        </w:numPr>
        <w:spacing w:after="60"/>
      </w:pPr>
      <w:r>
        <w:rPr>
          <w:b/>
          <w:bCs/>
        </w:rPr>
        <w:t xml:space="preserve">Applicability check: </w:t>
      </w:r>
      <w:r>
        <w:t xml:space="preserve">a biomass is flagged as "outside the model's knowledge" if its composition (O/C, H/C, N) is farther from any training biomass than 95% of training biomasses are from their nearest neighbour.</w:t>
      </w:r>
    </w:p>
    <w:p>
      <w:pPr>
        <w:pStyle w:val="ListParagraph"/>
        <w:numPr>
          <w:ilvl w:val="0"/>
          <w:numId w:val="2"/>
        </w:numPr>
        <w:spacing w:after="60"/>
      </w:pPr>
      <w:r>
        <w:rPr>
          <w:b/>
          <w:bCs/>
        </w:rPr>
        <w:t xml:space="preserve">Advisor: </w:t>
      </w:r>
      <w:r>
        <w:t xml:space="preserve">for a given biomass and particle size, it scans 26 temperatures (400 to 650 °C) × 6 heating rates (5 to 300 °C/min), predicts yield and O/C, finds the best trade-offs (Pareto front) and recommends the setting with the best balanced score (50% yield, 50% low O/C).</w:t>
      </w:r>
    </w:p>
    <w:p>
      <w:pPr>
        <w:pStyle w:val="Heading1"/>
      </w:pPr>
      <w:r>
        <w:t xml:space="preserve">4. Results Part A: How Testing Changes the Score</w:t>
      </w:r>
    </w:p>
    <w:p>
      <w:pPr>
        <w:jc w:val="center"/>
      </w:pPr>
      <w:r>
        <w:drawing>
          <wp:inline distT="0" distB="0" distL="0" distR="0">
            <wp:extent cx="5334000" cy="2390775"/>
            <wp:effectExtent t="0" r="0" b="0" l="0"/>
            <wp:docPr id="1" name="A1_leakage.png" descr="Figure 1. Test-set R² under different testing methods (physics inputs). Error bars: spread over repeats." title="Figure 1. Test-set R² under different testing methods (physics inputs). Error bars: spread over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52514E"/>
          <w:sz w:val="18"/>
          <w:szCs w:val="18"/>
        </w:rPr>
        <w:t xml:space="preserve">Figure 1. Test-set R² under different testing methods (physics inputs). Error bars: spread over repeats.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838"/>
      </w:tblGrid>
      <w:tr>
        <w:trPr>
          <w:tblHeader/>
        </w:trPr>
        <w:tc>
          <w:tcPr>
            <w:tcW w:type="dxa" w:w="2000"/>
            <w:shd w:fill="DCE6F1" w:color="auto" w:val="clear"/>
            <w:tcMar>
              <w:top w:type="dxa" w:w="60"/>
              <w:left w:type="dxa" w:w="100"/>
              <w:bottom w:type="dxa" w:w="60"/>
              <w:right w:type="dxa" w:w="100"/>
            </w:tcMar>
          </w:tcPr>
          <w:p>
            <w:r>
              <w:rPr>
                <w:b/>
                <w:bCs/>
                <w:sz w:val="19"/>
                <w:szCs w:val="19"/>
              </w:rPr>
              <w:t xml:space="preserve">Target</w:t>
            </w:r>
          </w:p>
        </w:tc>
        <w:tc>
          <w:tcPr>
            <w:tcW w:type="dxa" w:w="2200"/>
            <w:shd w:fill="DCE6F1" w:color="auto" w:val="clear"/>
            <w:tcMar>
              <w:top w:type="dxa" w:w="60"/>
              <w:left w:type="dxa" w:w="100"/>
              <w:bottom w:type="dxa" w:w="60"/>
              <w:right w:type="dxa" w:w="100"/>
            </w:tcMar>
          </w:tcPr>
          <w:p>
            <w:r>
              <w:rPr>
                <w:b/>
                <w:bCs/>
                <w:sz w:val="19"/>
                <w:szCs w:val="19"/>
              </w:rPr>
              <w:t xml:space="preserve">Model (physics inputs)</w:t>
            </w:r>
          </w:p>
        </w:tc>
        <w:tc>
          <w:tcPr>
            <w:tcW w:type="dxa" w:w="1800"/>
            <w:shd w:fill="DCE6F1" w:color="auto" w:val="clear"/>
            <w:tcMar>
              <w:top w:type="dxa" w:w="60"/>
              <w:left w:type="dxa" w:w="100"/>
              <w:bottom w:type="dxa" w:w="60"/>
              <w:right w:type="dxa" w:w="100"/>
            </w:tcMar>
          </w:tcPr>
          <w:p>
            <w:r>
              <w:rPr>
                <w:b/>
                <w:bCs/>
                <w:sz w:val="19"/>
                <w:szCs w:val="19"/>
              </w:rPr>
              <w:t xml:space="preserve">Random split</w:t>
            </w:r>
          </w:p>
        </w:tc>
        <w:tc>
          <w:tcPr>
            <w:tcW w:type="dxa" w:w="1800"/>
            <w:shd w:fill="DCE6F1" w:color="auto" w:val="clear"/>
            <w:tcMar>
              <w:top w:type="dxa" w:w="60"/>
              <w:left w:type="dxa" w:w="100"/>
              <w:bottom w:type="dxa" w:w="60"/>
              <w:right w:type="dxa" w:w="100"/>
            </w:tcMar>
          </w:tcPr>
          <w:p>
            <w:r>
              <w:rPr>
                <w:b/>
                <w:bCs/>
                <w:sz w:val="19"/>
                <w:szCs w:val="19"/>
              </w:rPr>
              <w:t xml:space="preserve">Grouped, exact values</w:t>
            </w:r>
          </w:p>
        </w:tc>
        <w:tc>
          <w:tcPr>
            <w:tcW w:type="dxa" w:w="1838"/>
            <w:shd w:fill="DCE6F1" w:color="auto" w:val="clear"/>
            <w:tcMar>
              <w:top w:type="dxa" w:w="60"/>
              <w:left w:type="dxa" w:w="100"/>
              <w:bottom w:type="dxa" w:w="60"/>
              <w:right w:type="dxa" w:w="100"/>
            </w:tcMar>
          </w:tcPr>
          <w:p>
            <w:r>
              <w:rPr>
                <w:b/>
                <w:bCs/>
                <w:sz w:val="19"/>
                <w:szCs w:val="19"/>
              </w:rPr>
              <w:t xml:space="preserve">Grouped by biomass</w:t>
            </w:r>
          </w:p>
        </w:tc>
      </w:tr>
      <w:tr>
        <w:trPr>
          <w:tblHeader w:val="false"/>
        </w:trPr>
        <w:tc>
          <w:tcPr>
            <w:tcW w:type="dxa" w:w="2000"/>
            <w:tcMar>
              <w:top w:type="dxa" w:w="60"/>
              <w:left w:type="dxa" w:w="100"/>
              <w:bottom w:type="dxa" w:w="60"/>
              <w:right w:type="dxa" w:w="100"/>
            </w:tcMar>
          </w:tcPr>
          <w:p>
            <w:r>
              <w:rPr>
                <w:sz w:val="19"/>
                <w:szCs w:val="19"/>
              </w:rPr>
              <w:t xml:space="preserve">Yield</w:t>
            </w:r>
          </w:p>
        </w:tc>
        <w:tc>
          <w:tcPr>
            <w:tcW w:type="dxa" w:w="2200"/>
            <w:tcMar>
              <w:top w:type="dxa" w:w="60"/>
              <w:left w:type="dxa" w:w="100"/>
              <w:bottom w:type="dxa" w:w="60"/>
              <w:right w:type="dxa" w:w="100"/>
            </w:tcMar>
          </w:tcPr>
          <w:p>
            <w:r>
              <w:rPr>
                <w:sz w:val="19"/>
                <w:szCs w:val="19"/>
              </w:rPr>
              <w:t xml:space="preserve">Random Forest</w:t>
            </w:r>
          </w:p>
        </w:tc>
        <w:tc>
          <w:tcPr>
            <w:tcW w:type="dxa" w:w="1800"/>
            <w:tcMar>
              <w:top w:type="dxa" w:w="60"/>
              <w:left w:type="dxa" w:w="100"/>
              <w:bottom w:type="dxa" w:w="60"/>
              <w:right w:type="dxa" w:w="100"/>
            </w:tcMar>
          </w:tcPr>
          <w:p>
            <w:r>
              <w:rPr>
                <w:sz w:val="19"/>
                <w:szCs w:val="19"/>
              </w:rPr>
              <w:t xml:space="preserve">R² 0.69, MAE 3.8</w:t>
            </w:r>
          </w:p>
        </w:tc>
        <w:tc>
          <w:tcPr>
            <w:tcW w:type="dxa" w:w="1800"/>
            <w:tcMar>
              <w:top w:type="dxa" w:w="60"/>
              <w:left w:type="dxa" w:w="100"/>
              <w:bottom w:type="dxa" w:w="60"/>
              <w:right w:type="dxa" w:w="100"/>
            </w:tcMar>
          </w:tcPr>
          <w:p>
            <w:r>
              <w:rPr>
                <w:sz w:val="19"/>
                <w:szCs w:val="19"/>
              </w:rPr>
              <w:t xml:space="preserve">R² 0.20, MAE 6.2</w:t>
            </w:r>
          </w:p>
        </w:tc>
        <w:tc>
          <w:tcPr>
            <w:tcW w:type="dxa" w:w="1838"/>
            <w:tcMar>
              <w:top w:type="dxa" w:w="60"/>
              <w:left w:type="dxa" w:w="100"/>
              <w:bottom w:type="dxa" w:w="60"/>
              <w:right w:type="dxa" w:w="100"/>
            </w:tcMar>
          </w:tcPr>
          <w:p>
            <w:r>
              <w:rPr>
                <w:sz w:val="19"/>
                <w:szCs w:val="19"/>
              </w:rPr>
              <w:t xml:space="preserve">R² −0.25, MAE 8.7</w:t>
            </w:r>
          </w:p>
        </w:tc>
      </w:tr>
      <w:tr>
        <w:trPr>
          <w:tblHeader w:val="false"/>
        </w:trPr>
        <w:tc>
          <w:tcPr>
            <w:tcW w:type="dxa" w:w="2000"/>
            <w:tcMar>
              <w:top w:type="dxa" w:w="60"/>
              <w:left w:type="dxa" w:w="100"/>
              <w:bottom w:type="dxa" w:w="60"/>
              <w:right w:type="dxa" w:w="100"/>
            </w:tcMar>
          </w:tcPr>
          <w:p>
            <w:r>
              <w:rPr>
                <w:sz w:val="19"/>
                <w:szCs w:val="19"/>
              </w:rPr>
              <w:t xml:space="preserve">Yield</w:t>
            </w:r>
          </w:p>
        </w:tc>
        <w:tc>
          <w:tcPr>
            <w:tcW w:type="dxa" w:w="2200"/>
            <w:tcMar>
              <w:top w:type="dxa" w:w="60"/>
              <w:left w:type="dxa" w:w="100"/>
              <w:bottom w:type="dxa" w:w="60"/>
              <w:right w:type="dxa" w:w="100"/>
            </w:tcMar>
          </w:tcPr>
          <w:p>
            <w:r>
              <w:rPr>
                <w:sz w:val="19"/>
                <w:szCs w:val="19"/>
              </w:rPr>
              <w:t xml:space="preserve">XGBoost</w:t>
            </w:r>
          </w:p>
        </w:tc>
        <w:tc>
          <w:tcPr>
            <w:tcW w:type="dxa" w:w="1800"/>
            <w:tcMar>
              <w:top w:type="dxa" w:w="60"/>
              <w:left w:type="dxa" w:w="100"/>
              <w:bottom w:type="dxa" w:w="60"/>
              <w:right w:type="dxa" w:w="100"/>
            </w:tcMar>
          </w:tcPr>
          <w:p>
            <w:r>
              <w:rPr>
                <w:sz w:val="19"/>
                <w:szCs w:val="19"/>
              </w:rPr>
              <w:t xml:space="preserve">R² 0.66, MAE 4.2</w:t>
            </w:r>
          </w:p>
        </w:tc>
        <w:tc>
          <w:tcPr>
            <w:tcW w:type="dxa" w:w="1800"/>
            <w:tcMar>
              <w:top w:type="dxa" w:w="60"/>
              <w:left w:type="dxa" w:w="100"/>
              <w:bottom w:type="dxa" w:w="60"/>
              <w:right w:type="dxa" w:w="100"/>
            </w:tcMar>
          </w:tcPr>
          <w:p>
            <w:r>
              <w:rPr>
                <w:sz w:val="19"/>
                <w:szCs w:val="19"/>
              </w:rPr>
              <w:t xml:space="preserve">R² 0.23, MAE 6.3</w:t>
            </w:r>
          </w:p>
        </w:tc>
        <w:tc>
          <w:tcPr>
            <w:tcW w:type="dxa" w:w="1838"/>
            <w:tcMar>
              <w:top w:type="dxa" w:w="60"/>
              <w:left w:type="dxa" w:w="100"/>
              <w:bottom w:type="dxa" w:w="60"/>
              <w:right w:type="dxa" w:w="100"/>
            </w:tcMar>
          </w:tcPr>
          <w:p>
            <w:r>
              <w:rPr>
                <w:sz w:val="19"/>
                <w:szCs w:val="19"/>
              </w:rPr>
              <w:t xml:space="preserve">R² −0.18, MAE 8.3</w:t>
            </w:r>
          </w:p>
        </w:tc>
      </w:tr>
      <w:tr>
        <w:trPr>
          <w:tblHeader w:val="false"/>
        </w:trPr>
        <w:tc>
          <w:tcPr>
            <w:tcW w:type="dxa" w:w="2000"/>
            <w:tcMar>
              <w:top w:type="dxa" w:w="60"/>
              <w:left w:type="dxa" w:w="100"/>
              <w:bottom w:type="dxa" w:w="60"/>
              <w:right w:type="dxa" w:w="100"/>
            </w:tcMar>
          </w:tcPr>
          <w:p>
            <w:r>
              <w:rPr>
                <w:sz w:val="19"/>
                <w:szCs w:val="19"/>
              </w:rPr>
              <w:t xml:space="preserve">Yield</w:t>
            </w:r>
          </w:p>
        </w:tc>
        <w:tc>
          <w:tcPr>
            <w:tcW w:type="dxa" w:w="2200"/>
            <w:tcMar>
              <w:top w:type="dxa" w:w="60"/>
              <w:left w:type="dxa" w:w="100"/>
              <w:bottom w:type="dxa" w:w="60"/>
              <w:right w:type="dxa" w:w="100"/>
            </w:tcMar>
          </w:tcPr>
          <w:p>
            <w:r>
              <w:rPr>
                <w:sz w:val="19"/>
                <w:szCs w:val="19"/>
              </w:rPr>
              <w:t xml:space="preserve">GPR</w:t>
            </w:r>
          </w:p>
        </w:tc>
        <w:tc>
          <w:tcPr>
            <w:tcW w:type="dxa" w:w="1800"/>
            <w:tcMar>
              <w:top w:type="dxa" w:w="60"/>
              <w:left w:type="dxa" w:w="100"/>
              <w:bottom w:type="dxa" w:w="60"/>
              <w:right w:type="dxa" w:w="100"/>
            </w:tcMar>
          </w:tcPr>
          <w:p>
            <w:r>
              <w:rPr>
                <w:sz w:val="19"/>
                <w:szCs w:val="19"/>
              </w:rPr>
              <w:t xml:space="preserve">R² 0.60, MAE 4.3</w:t>
            </w:r>
          </w:p>
        </w:tc>
        <w:tc>
          <w:tcPr>
            <w:tcW w:type="dxa" w:w="1800"/>
            <w:tcMar>
              <w:top w:type="dxa" w:w="60"/>
              <w:left w:type="dxa" w:w="100"/>
              <w:bottom w:type="dxa" w:w="60"/>
              <w:right w:type="dxa" w:w="100"/>
            </w:tcMar>
          </w:tcPr>
          <w:p>
            <w:r>
              <w:rPr>
                <w:sz w:val="19"/>
                <w:szCs w:val="19"/>
              </w:rPr>
              <w:t xml:space="preserve">not run</w:t>
            </w:r>
          </w:p>
        </w:tc>
        <w:tc>
          <w:tcPr>
            <w:tcW w:type="dxa" w:w="1838"/>
            <w:tcMar>
              <w:top w:type="dxa" w:w="60"/>
              <w:left w:type="dxa" w:w="100"/>
              <w:bottom w:type="dxa" w:w="60"/>
              <w:right w:type="dxa" w:w="100"/>
            </w:tcMar>
          </w:tcPr>
          <w:p>
            <w:r>
              <w:rPr>
                <w:sz w:val="19"/>
                <w:szCs w:val="19"/>
              </w:rPr>
              <w:t xml:space="preserve">R² 0.01, MAE 7.7</w:t>
            </w:r>
          </w:p>
        </w:tc>
      </w:tr>
      <w:tr>
        <w:trPr>
          <w:tblHeader w:val="false"/>
        </w:trPr>
        <w:tc>
          <w:tcPr>
            <w:tcW w:type="dxa" w:w="2000"/>
            <w:tcMar>
              <w:top w:type="dxa" w:w="60"/>
              <w:left w:type="dxa" w:w="100"/>
              <w:bottom w:type="dxa" w:w="60"/>
              <w:right w:type="dxa" w:w="100"/>
            </w:tcMar>
          </w:tcPr>
          <w:p>
            <w:r>
              <w:rPr>
                <w:sz w:val="19"/>
                <w:szCs w:val="19"/>
              </w:rPr>
              <w:t xml:space="preserve">O/C</w:t>
            </w:r>
          </w:p>
        </w:tc>
        <w:tc>
          <w:tcPr>
            <w:tcW w:type="dxa" w:w="2200"/>
            <w:tcMar>
              <w:top w:type="dxa" w:w="60"/>
              <w:left w:type="dxa" w:w="100"/>
              <w:bottom w:type="dxa" w:w="60"/>
              <w:right w:type="dxa" w:w="100"/>
            </w:tcMar>
          </w:tcPr>
          <w:p>
            <w:r>
              <w:rPr>
                <w:sz w:val="19"/>
                <w:szCs w:val="19"/>
              </w:rPr>
              <w:t xml:space="preserve">Random Forest</w:t>
            </w:r>
          </w:p>
        </w:tc>
        <w:tc>
          <w:tcPr>
            <w:tcW w:type="dxa" w:w="1800"/>
            <w:tcMar>
              <w:top w:type="dxa" w:w="60"/>
              <w:left w:type="dxa" w:w="100"/>
              <w:bottom w:type="dxa" w:w="60"/>
              <w:right w:type="dxa" w:w="100"/>
            </w:tcMar>
          </w:tcPr>
          <w:p>
            <w:r>
              <w:rPr>
                <w:sz w:val="19"/>
                <w:szCs w:val="19"/>
              </w:rPr>
              <w:t xml:space="preserve">R² 0.52</w:t>
            </w:r>
          </w:p>
        </w:tc>
        <w:tc>
          <w:tcPr>
            <w:tcW w:type="dxa" w:w="1800"/>
            <w:tcMar>
              <w:top w:type="dxa" w:w="60"/>
              <w:left w:type="dxa" w:w="100"/>
              <w:bottom w:type="dxa" w:w="60"/>
              <w:right w:type="dxa" w:w="100"/>
            </w:tcMar>
          </w:tcPr>
          <w:p>
            <w:r>
              <w:rPr>
                <w:sz w:val="19"/>
                <w:szCs w:val="19"/>
              </w:rPr>
              <w:t xml:space="preserve">(same as grouped)</w:t>
            </w:r>
          </w:p>
        </w:tc>
        <w:tc>
          <w:tcPr>
            <w:tcW w:type="dxa" w:w="1838"/>
            <w:tcMar>
              <w:top w:type="dxa" w:w="60"/>
              <w:left w:type="dxa" w:w="100"/>
              <w:bottom w:type="dxa" w:w="60"/>
              <w:right w:type="dxa" w:w="100"/>
            </w:tcMar>
          </w:tcPr>
          <w:p>
            <w:r>
              <w:rPr>
                <w:sz w:val="19"/>
                <w:szCs w:val="19"/>
              </w:rPr>
              <w:t xml:space="preserve">R² 0.19</w:t>
            </w:r>
          </w:p>
        </w:tc>
      </w:tr>
      <w:tr>
        <w:trPr>
          <w:tblHeader w:val="false"/>
        </w:trPr>
        <w:tc>
          <w:tcPr>
            <w:tcW w:type="dxa" w:w="2000"/>
            <w:tcMar>
              <w:top w:type="dxa" w:w="60"/>
              <w:left w:type="dxa" w:w="100"/>
              <w:bottom w:type="dxa" w:w="60"/>
              <w:right w:type="dxa" w:w="100"/>
            </w:tcMar>
          </w:tcPr>
          <w:p>
            <w:r>
              <w:rPr>
                <w:sz w:val="19"/>
                <w:szCs w:val="19"/>
              </w:rPr>
              <w:t xml:space="preserve">O/C</w:t>
            </w:r>
          </w:p>
        </w:tc>
        <w:tc>
          <w:tcPr>
            <w:tcW w:type="dxa" w:w="2200"/>
            <w:tcMar>
              <w:top w:type="dxa" w:w="60"/>
              <w:left w:type="dxa" w:w="100"/>
              <w:bottom w:type="dxa" w:w="60"/>
              <w:right w:type="dxa" w:w="100"/>
            </w:tcMar>
          </w:tcPr>
          <w:p>
            <w:r>
              <w:rPr>
                <w:sz w:val="19"/>
                <w:szCs w:val="19"/>
              </w:rPr>
              <w:t xml:space="preserve">XGBoost</w:t>
            </w:r>
          </w:p>
        </w:tc>
        <w:tc>
          <w:tcPr>
            <w:tcW w:type="dxa" w:w="1800"/>
            <w:tcMar>
              <w:top w:type="dxa" w:w="60"/>
              <w:left w:type="dxa" w:w="100"/>
              <w:bottom w:type="dxa" w:w="60"/>
              <w:right w:type="dxa" w:w="100"/>
            </w:tcMar>
          </w:tcPr>
          <w:p>
            <w:r>
              <w:rPr>
                <w:sz w:val="19"/>
                <w:szCs w:val="19"/>
              </w:rPr>
              <w:t xml:space="preserve">R² 0.51</w:t>
            </w:r>
          </w:p>
        </w:tc>
        <w:tc>
          <w:tcPr>
            <w:tcW w:type="dxa" w:w="1800"/>
            <w:tcMar>
              <w:top w:type="dxa" w:w="60"/>
              <w:left w:type="dxa" w:w="100"/>
              <w:bottom w:type="dxa" w:w="60"/>
              <w:right w:type="dxa" w:w="100"/>
            </w:tcMar>
          </w:tcPr>
          <w:p>
            <w:r>
              <w:rPr>
                <w:sz w:val="19"/>
                <w:szCs w:val="19"/>
              </w:rPr>
              <w:t xml:space="preserve">(same as grouped)</w:t>
            </w:r>
          </w:p>
        </w:tc>
        <w:tc>
          <w:tcPr>
            <w:tcW w:type="dxa" w:w="1838"/>
            <w:tcMar>
              <w:top w:type="dxa" w:w="60"/>
              <w:left w:type="dxa" w:w="100"/>
              <w:bottom w:type="dxa" w:w="60"/>
              <w:right w:type="dxa" w:w="100"/>
            </w:tcMar>
          </w:tcPr>
          <w:p>
            <w:r>
              <w:rPr>
                <w:sz w:val="19"/>
                <w:szCs w:val="19"/>
              </w:rPr>
              <w:t xml:space="preserve">R² 0.14</w:t>
            </w:r>
          </w:p>
        </w:tc>
      </w:tr>
      <w:tr>
        <w:trPr>
          <w:tblHeader w:val="false"/>
        </w:trPr>
        <w:tc>
          <w:tcPr>
            <w:tcW w:type="dxa" w:w="2000"/>
            <w:tcMar>
              <w:top w:type="dxa" w:w="60"/>
              <w:left w:type="dxa" w:w="100"/>
              <w:bottom w:type="dxa" w:w="60"/>
              <w:right w:type="dxa" w:w="100"/>
            </w:tcMar>
          </w:tcPr>
          <w:p>
            <w:r>
              <w:rPr>
                <w:sz w:val="19"/>
                <w:szCs w:val="19"/>
              </w:rPr>
              <w:t xml:space="preserve">O/C</w:t>
            </w:r>
          </w:p>
        </w:tc>
        <w:tc>
          <w:tcPr>
            <w:tcW w:type="dxa" w:w="2200"/>
            <w:tcMar>
              <w:top w:type="dxa" w:w="60"/>
              <w:left w:type="dxa" w:w="100"/>
              <w:bottom w:type="dxa" w:w="60"/>
              <w:right w:type="dxa" w:w="100"/>
            </w:tcMar>
          </w:tcPr>
          <w:p>
            <w:r>
              <w:rPr>
                <w:sz w:val="19"/>
                <w:szCs w:val="19"/>
              </w:rPr>
              <w:t xml:space="preserve">GPR</w:t>
            </w:r>
          </w:p>
        </w:tc>
        <w:tc>
          <w:tcPr>
            <w:tcW w:type="dxa" w:w="1800"/>
            <w:tcMar>
              <w:top w:type="dxa" w:w="60"/>
              <w:left w:type="dxa" w:w="100"/>
              <w:bottom w:type="dxa" w:w="60"/>
              <w:right w:type="dxa" w:w="100"/>
            </w:tcMar>
          </w:tcPr>
          <w:p>
            <w:r>
              <w:rPr>
                <w:sz w:val="19"/>
                <w:szCs w:val="19"/>
              </w:rPr>
              <w:t xml:space="preserve">R² 0.63</w:t>
            </w:r>
          </w:p>
        </w:tc>
        <w:tc>
          <w:tcPr>
            <w:tcW w:type="dxa" w:w="1800"/>
            <w:tcMar>
              <w:top w:type="dxa" w:w="60"/>
              <w:left w:type="dxa" w:w="100"/>
              <w:bottom w:type="dxa" w:w="60"/>
              <w:right w:type="dxa" w:w="100"/>
            </w:tcMar>
          </w:tcPr>
          <w:p>
            <w:r>
              <w:rPr>
                <w:sz w:val="19"/>
                <w:szCs w:val="19"/>
              </w:rPr>
              <w:t xml:space="preserve">(same as grouped)</w:t>
            </w:r>
          </w:p>
        </w:tc>
        <w:tc>
          <w:tcPr>
            <w:tcW w:type="dxa" w:w="1838"/>
            <w:tcMar>
              <w:top w:type="dxa" w:w="60"/>
              <w:left w:type="dxa" w:w="100"/>
              <w:bottom w:type="dxa" w:w="60"/>
              <w:right w:type="dxa" w:w="100"/>
            </w:tcMar>
          </w:tcPr>
          <w:p>
            <w:r>
              <w:rPr>
                <w:sz w:val="19"/>
                <w:szCs w:val="19"/>
              </w:rPr>
              <w:t xml:space="preserve">R² 0.23</w:t>
            </w:r>
          </w:p>
        </w:tc>
      </w:tr>
    </w:tbl>
    <w:p>
      <w:pPr>
        <w:spacing w:after="120"/>
      </w:pPr>
      <w:r>
        <w:rPr>
          <w:i/>
          <w:iCs/>
          <w:sz w:val="18"/>
          <w:szCs w:val="18"/>
        </w:rPr>
        <w:t xml:space="preserve">MAE in wt% yield. O/C R² is on log10(O/C). For D1b, exact and biomass grouping are the same because its values have no hidden noise. No-model baseline: yield MAE 8.3 wt%, O/C R² about 0.</w:t>
      </w:r>
    </w:p>
    <w:p>
      <w:pPr>
        <w:pStyle w:val="Heading2"/>
      </w:pPr>
      <w:r>
        <w:t xml:space="preserve">4.1 Findings</w:t>
      </w:r>
    </w:p>
    <w:p>
      <w:pPr>
        <w:pStyle w:val="ListParagraph"/>
        <w:numPr>
          <w:ilvl w:val="0"/>
          <w:numId w:val="4"/>
        </w:numPr>
        <w:spacing w:after="60"/>
      </w:pPr>
      <w:r>
        <w:rPr>
          <w:b/>
          <w:bCs/>
        </w:rPr>
        <w:t xml:space="preserve">Random splits inflate scores strongly. </w:t>
      </w:r>
      <w:r>
        <w:t xml:space="preserve">Yield R² 0.66 drops to −0.18 for unseen biomass; O/C 0.63 drops to 0.23.</w:t>
      </w:r>
    </w:p>
    <w:p>
      <w:pPr>
        <w:pStyle w:val="ListParagraph"/>
        <w:numPr>
          <w:ilvl w:val="0"/>
          <w:numId w:val="4"/>
        </w:numPr>
        <w:spacing w:after="60"/>
      </w:pPr>
      <w:r>
        <w:rPr>
          <w:b/>
          <w:bCs/>
        </w:rPr>
        <w:t xml:space="preserve">Near-duplicates hide leakage. </w:t>
      </w:r>
      <w:r>
        <w:t xml:space="preserve">Grouping by exact values still gives R² 0.23 for yield, because the same biomass hides under slightly different numbers. Only near-duplicate grouping reveals the true score.</w:t>
      </w:r>
    </w:p>
    <w:p>
      <w:pPr>
        <w:pStyle w:val="ListParagraph"/>
        <w:numPr>
          <w:ilvl w:val="0"/>
          <w:numId w:val="4"/>
        </w:numPr>
        <w:spacing w:after="60"/>
      </w:pPr>
      <w:r>
        <w:rPr>
          <w:b/>
          <w:bCs/>
        </w:rPr>
        <w:t xml:space="preserve">Physics features help where it matters. </w:t>
      </w:r>
      <w:r>
        <w:t xml:space="preserve">On unseen biomass, physics inputs raised O/C R² for every model (Figure 2).</w:t>
      </w:r>
    </w:p>
    <w:p>
      <w:pPr>
        <w:jc w:val="center"/>
      </w:pPr>
      <w:r>
        <w:drawing>
          <wp:inline distT="0" distB="0" distL="0" distR="0">
            <wp:extent cx="4095750" cy="2343150"/>
            <wp:effectExtent t="0" r="0" b="0" l="0"/>
            <wp:docPr id="1" name="A2_physics_vs_raw.png" descr="Figure 2. O/C on unseen biomass: raw inputs vs physics inputs." title="Figure 2. O/C on unseen biomass: raw inputs vs physics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i/>
          <w:iCs/>
          <w:color w:val="52514E"/>
          <w:sz w:val="18"/>
          <w:szCs w:val="18"/>
        </w:rPr>
        <w:t xml:space="preserve">Figure 2. O/C on unseen biomass: raw inputs vs physics inputs.</w:t>
      </w:r>
    </w:p>
    <w:p>
      <w:pPr>
        <w:pStyle w:val="ListParagraph"/>
        <w:numPr>
          <w:ilvl w:val="0"/>
          <w:numId w:val="4"/>
        </w:numPr>
        <w:spacing w:after="60"/>
      </w:pPr>
      <w:r>
        <w:rPr>
          <w:b/>
          <w:bCs/>
        </w:rPr>
        <w:t xml:space="preserve">Why yield does not transfer: </w:t>
      </w:r>
      <w:r>
        <w:t xml:space="preserve">72% of the variation in D3 yield lies between biomasses, and in literature data each biomass usually comes from a different lab, reactor and liquid-collection method. These lab differences are not recorded in any column, so no model can learn them.</w:t>
      </w:r>
    </w:p>
    <w:p>
      <w:pPr>
        <w:pStyle w:val="Heading1"/>
      </w:pPr>
      <w:r>
        <w:t xml:space="preserve">5. Results Part B: Physics-Aware Models and the Advisor</w:t>
      </w:r>
    </w:p>
    <w:p>
      <w:pPr>
        <w:pStyle w:val="Heading2"/>
      </w:pPr>
      <w:r>
        <w:t xml:space="preserve">5.1 Choosing the final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938"/>
      </w:tblGrid>
      <w:tr>
        <w:trPr>
          <w:tblHeader/>
        </w:trPr>
        <w:tc>
          <w:tcPr>
            <w:tcW w:type="dxa" w:w="3900"/>
            <w:shd w:fill="DCE6F1" w:color="auto" w:val="clear"/>
            <w:tcMar>
              <w:top w:type="dxa" w:w="60"/>
              <w:left w:type="dxa" w:w="100"/>
              <w:bottom w:type="dxa" w:w="60"/>
              <w:right w:type="dxa" w:w="100"/>
            </w:tcMar>
          </w:tcPr>
          <w:p>
            <w:r>
              <w:rPr>
                <w:b/>
                <w:bCs/>
                <w:sz w:val="19"/>
                <w:szCs w:val="19"/>
              </w:rPr>
              <w:t xml:space="preserve">Model (unseen biomass, same splits)</w:t>
            </w:r>
          </w:p>
        </w:tc>
        <w:tc>
          <w:tcPr>
            <w:tcW w:type="dxa" w:w="1900"/>
            <w:shd w:fill="DCE6F1" w:color="auto" w:val="clear"/>
            <w:tcMar>
              <w:top w:type="dxa" w:w="60"/>
              <w:left w:type="dxa" w:w="100"/>
              <w:bottom w:type="dxa" w:w="60"/>
              <w:right w:type="dxa" w:w="100"/>
            </w:tcMar>
          </w:tcPr>
          <w:p>
            <w:r>
              <w:rPr>
                <w:b/>
                <w:bCs/>
                <w:sz w:val="19"/>
                <w:szCs w:val="19"/>
              </w:rPr>
              <w:t xml:space="preserve">R²</w:t>
            </w:r>
          </w:p>
        </w:tc>
        <w:tc>
          <w:tcPr>
            <w:tcW w:type="dxa" w:w="1900"/>
            <w:shd w:fill="DCE6F1" w:color="auto" w:val="clear"/>
            <w:tcMar>
              <w:top w:type="dxa" w:w="60"/>
              <w:left w:type="dxa" w:w="100"/>
              <w:bottom w:type="dxa" w:w="60"/>
              <w:right w:type="dxa" w:w="100"/>
            </w:tcMar>
          </w:tcPr>
          <w:p>
            <w:r>
              <w:rPr>
                <w:b/>
                <w:bCs/>
                <w:sz w:val="19"/>
                <w:szCs w:val="19"/>
              </w:rPr>
              <w:t xml:space="preserve">MAE</w:t>
            </w:r>
          </w:p>
        </w:tc>
        <w:tc>
          <w:tcPr>
            <w:tcW w:type="dxa" w:w="1938"/>
            <w:shd w:fill="DCE6F1" w:color="auto" w:val="clear"/>
            <w:tcMar>
              <w:top w:type="dxa" w:w="60"/>
              <w:left w:type="dxa" w:w="100"/>
              <w:bottom w:type="dxa" w:w="60"/>
              <w:right w:type="dxa" w:w="100"/>
            </w:tcMar>
          </w:tcPr>
          <w:p>
            <w:r>
              <w:rPr>
                <w:b/>
                <w:bCs/>
                <w:sz w:val="19"/>
                <w:szCs w:val="19"/>
              </w:rPr>
              <w:t xml:space="preserve">Shape R²*</w:t>
            </w:r>
          </w:p>
        </w:tc>
      </w:tr>
      <w:tr>
        <w:trPr>
          <w:tblHeader w:val="false"/>
        </w:trPr>
        <w:tc>
          <w:tcPr>
            <w:tcW w:type="dxa" w:w="3900"/>
            <w:tcMar>
              <w:top w:type="dxa" w:w="60"/>
              <w:left w:type="dxa" w:w="100"/>
              <w:bottom w:type="dxa" w:w="60"/>
              <w:right w:type="dxa" w:w="100"/>
            </w:tcMar>
          </w:tcPr>
          <w:p>
            <w:r>
              <w:rPr>
                <w:sz w:val="19"/>
                <w:szCs w:val="19"/>
              </w:rPr>
              <w:t xml:space="preserve">Yield: mean only</w:t>
            </w:r>
          </w:p>
        </w:tc>
        <w:tc>
          <w:tcPr>
            <w:tcW w:type="dxa" w:w="1900"/>
            <w:tcMar>
              <w:top w:type="dxa" w:w="60"/>
              <w:left w:type="dxa" w:w="100"/>
              <w:bottom w:type="dxa" w:w="60"/>
              <w:right w:type="dxa" w:w="100"/>
            </w:tcMar>
          </w:tcPr>
          <w:p>
            <w:r>
              <w:rPr>
                <w:sz w:val="19"/>
                <w:szCs w:val="19"/>
              </w:rPr>
              <w:t xml:space="preserve">−0.09</w:t>
            </w:r>
          </w:p>
        </w:tc>
        <w:tc>
          <w:tcPr>
            <w:tcW w:type="dxa" w:w="1900"/>
            <w:tcMar>
              <w:top w:type="dxa" w:w="60"/>
              <w:left w:type="dxa" w:w="100"/>
              <w:bottom w:type="dxa" w:w="60"/>
              <w:right w:type="dxa" w:w="100"/>
            </w:tcMar>
          </w:tcPr>
          <w:p>
            <w:r>
              <w:rPr>
                <w:sz w:val="19"/>
                <w:szCs w:val="19"/>
              </w:rPr>
              <w:t xml:space="preserve">8.21 wt%</w:t>
            </w:r>
          </w:p>
        </w:tc>
        <w:tc>
          <w:tcPr>
            <w:tcW w:type="dxa" w:w="1938"/>
            <w:tcMar>
              <w:top w:type="dxa" w:w="60"/>
              <w:left w:type="dxa" w:w="100"/>
              <w:bottom w:type="dxa" w:w="60"/>
              <w:right w:type="dxa" w:w="100"/>
            </w:tcMar>
          </w:tcPr>
          <w:p>
            <w:r>
              <w:rPr>
                <w:sz w:val="19"/>
                <w:szCs w:val="19"/>
              </w:rPr>
              <w:t xml:space="preserve">0</w:t>
            </w:r>
          </w:p>
        </w:tc>
      </w:tr>
      <w:tr>
        <w:trPr>
          <w:tblHeader w:val="false"/>
        </w:trPr>
        <w:tc>
          <w:tcPr>
            <w:tcW w:type="dxa" w:w="3900"/>
            <w:tcMar>
              <w:top w:type="dxa" w:w="60"/>
              <w:left w:type="dxa" w:w="100"/>
              <w:bottom w:type="dxa" w:w="60"/>
              <w:right w:type="dxa" w:w="100"/>
            </w:tcMar>
          </w:tcPr>
          <w:p>
            <w:r>
              <w:rPr>
                <w:sz w:val="19"/>
                <w:szCs w:val="19"/>
              </w:rPr>
              <w:t xml:space="preserve">Yield: GPR only</w:t>
            </w:r>
          </w:p>
        </w:tc>
        <w:tc>
          <w:tcPr>
            <w:tcW w:type="dxa" w:w="1900"/>
            <w:tcMar>
              <w:top w:type="dxa" w:w="60"/>
              <w:left w:type="dxa" w:w="100"/>
              <w:bottom w:type="dxa" w:w="60"/>
              <w:right w:type="dxa" w:w="100"/>
            </w:tcMar>
          </w:tcPr>
          <w:p>
            <w:r>
              <w:rPr>
                <w:sz w:val="19"/>
                <w:szCs w:val="19"/>
              </w:rPr>
              <w:t xml:space="preserve">0.01</w:t>
            </w:r>
          </w:p>
        </w:tc>
        <w:tc>
          <w:tcPr>
            <w:tcW w:type="dxa" w:w="1900"/>
            <w:tcMar>
              <w:top w:type="dxa" w:w="60"/>
              <w:left w:type="dxa" w:w="100"/>
              <w:bottom w:type="dxa" w:w="60"/>
              <w:right w:type="dxa" w:w="100"/>
            </w:tcMar>
          </w:tcPr>
          <w:p>
            <w:r>
              <w:rPr>
                <w:sz w:val="19"/>
                <w:szCs w:val="19"/>
              </w:rPr>
              <w:t xml:space="preserve">7.70 wt%</w:t>
            </w:r>
          </w:p>
        </w:tc>
        <w:tc>
          <w:tcPr>
            <w:tcW w:type="dxa" w:w="1938"/>
            <w:tcMar>
              <w:top w:type="dxa" w:w="60"/>
              <w:left w:type="dxa" w:w="100"/>
              <w:bottom w:type="dxa" w:w="60"/>
              <w:right w:type="dxa" w:w="100"/>
            </w:tcMar>
          </w:tcPr>
          <w:p>
            <w:r>
              <w:rPr>
                <w:sz w:val="19"/>
                <w:szCs w:val="19"/>
              </w:rPr>
              <w:t xml:space="preserve">0.01</w:t>
            </w:r>
          </w:p>
        </w:tc>
      </w:tr>
      <w:tr>
        <w:trPr>
          <w:tblHeader w:val="false"/>
        </w:trPr>
        <w:tc>
          <w:tcPr>
            <w:tcW w:type="dxa" w:w="3900"/>
            <w:tcMar>
              <w:top w:type="dxa" w:w="60"/>
              <w:left w:type="dxa" w:w="100"/>
              <w:bottom w:type="dxa" w:w="60"/>
              <w:right w:type="dxa" w:w="100"/>
            </w:tcMar>
          </w:tcPr>
          <w:p>
            <w:r>
              <w:rPr>
                <w:sz w:val="19"/>
                <w:szCs w:val="19"/>
              </w:rPr>
              <w:t xml:space="preserve">Yield: GPR + XGBoost average</w:t>
            </w:r>
          </w:p>
        </w:tc>
        <w:tc>
          <w:tcPr>
            <w:tcW w:type="dxa" w:w="1900"/>
            <w:tcMar>
              <w:top w:type="dxa" w:w="60"/>
              <w:left w:type="dxa" w:w="100"/>
              <w:bottom w:type="dxa" w:w="60"/>
              <w:right w:type="dxa" w:w="100"/>
            </w:tcMar>
          </w:tcPr>
          <w:p>
            <w:r>
              <w:rPr>
                <w:sz w:val="19"/>
                <w:szCs w:val="19"/>
              </w:rPr>
              <w:t xml:space="preserve">0.07</w:t>
            </w:r>
          </w:p>
        </w:tc>
        <w:tc>
          <w:tcPr>
            <w:tcW w:type="dxa" w:w="1900"/>
            <w:tcMar>
              <w:top w:type="dxa" w:w="60"/>
              <w:left w:type="dxa" w:w="100"/>
              <w:bottom w:type="dxa" w:w="60"/>
              <w:right w:type="dxa" w:w="100"/>
            </w:tcMar>
          </w:tcPr>
          <w:p>
            <w:r>
              <w:rPr>
                <w:sz w:val="19"/>
                <w:szCs w:val="19"/>
              </w:rPr>
              <w:t xml:space="preserve">7.48 wt%</w:t>
            </w:r>
          </w:p>
        </w:tc>
        <w:tc>
          <w:tcPr>
            <w:tcW w:type="dxa" w:w="1938"/>
            <w:tcMar>
              <w:top w:type="dxa" w:w="60"/>
              <w:left w:type="dxa" w:w="100"/>
              <w:bottom w:type="dxa" w:w="60"/>
              <w:right w:type="dxa" w:w="100"/>
            </w:tcMar>
          </w:tcPr>
          <w:p>
            <w:r>
              <w:rPr>
                <w:sz w:val="19"/>
                <w:szCs w:val="19"/>
              </w:rPr>
              <w:t xml:space="preserve">0.07</w:t>
            </w:r>
          </w:p>
        </w:tc>
      </w:tr>
      <w:tr>
        <w:trPr>
          <w:tblHeader w:val="false"/>
        </w:trPr>
        <w:tc>
          <w:tcPr>
            <w:tcW w:type="dxa" w:w="3900"/>
            <w:tcMar>
              <w:top w:type="dxa" w:w="60"/>
              <w:left w:type="dxa" w:w="100"/>
              <w:bottom w:type="dxa" w:w="60"/>
              <w:right w:type="dxa" w:w="100"/>
            </w:tcMar>
          </w:tcPr>
          <w:p>
            <w:r>
              <w:rPr>
                <w:sz w:val="19"/>
                <w:szCs w:val="19"/>
              </w:rPr>
              <w:t xml:space="preserve">Yield: level (GPR) + shape (XGBoost) ✔</w:t>
            </w:r>
          </w:p>
        </w:tc>
        <w:tc>
          <w:tcPr>
            <w:tcW w:type="dxa" w:w="1900"/>
            <w:tcMar>
              <w:top w:type="dxa" w:w="60"/>
              <w:left w:type="dxa" w:w="100"/>
              <w:bottom w:type="dxa" w:w="60"/>
              <w:right w:type="dxa" w:w="100"/>
            </w:tcMar>
          </w:tcPr>
          <w:p>
            <w:r>
              <w:rPr>
                <w:sz w:val="19"/>
                <w:szCs w:val="19"/>
              </w:rPr>
              <w:t xml:space="preserve">0.07</w:t>
            </w:r>
          </w:p>
        </w:tc>
        <w:tc>
          <w:tcPr>
            <w:tcW w:type="dxa" w:w="1900"/>
            <w:tcMar>
              <w:top w:type="dxa" w:w="60"/>
              <w:left w:type="dxa" w:w="100"/>
              <w:bottom w:type="dxa" w:w="60"/>
              <w:right w:type="dxa" w:w="100"/>
            </w:tcMar>
          </w:tcPr>
          <w:p>
            <w:r>
              <w:rPr>
                <w:sz w:val="19"/>
                <w:szCs w:val="19"/>
              </w:rPr>
              <w:t xml:space="preserve">7.50 wt%</w:t>
            </w:r>
          </w:p>
        </w:tc>
        <w:tc>
          <w:tcPr>
            <w:tcW w:type="dxa" w:w="1938"/>
            <w:tcMar>
              <w:top w:type="dxa" w:w="60"/>
              <w:left w:type="dxa" w:w="100"/>
              <w:bottom w:type="dxa" w:w="60"/>
              <w:right w:type="dxa" w:w="100"/>
            </w:tcMar>
          </w:tcPr>
          <w:p>
            <w:r>
              <w:rPr>
                <w:sz w:val="19"/>
                <w:szCs w:val="19"/>
              </w:rPr>
              <w:t xml:space="preserve">0.12</w:t>
            </w:r>
          </w:p>
        </w:tc>
      </w:tr>
      <w:tr>
        <w:trPr>
          <w:tblHeader w:val="false"/>
        </w:trPr>
        <w:tc>
          <w:tcPr>
            <w:tcW w:type="dxa" w:w="3900"/>
            <w:tcMar>
              <w:top w:type="dxa" w:w="60"/>
              <w:left w:type="dxa" w:w="100"/>
              <w:bottom w:type="dxa" w:w="60"/>
              <w:right w:type="dxa" w:w="100"/>
            </w:tcMar>
          </w:tcPr>
          <w:p>
            <w:r>
              <w:rPr>
                <w:sz w:val="19"/>
                <w:szCs w:val="19"/>
              </w:rPr>
              <w:t xml:space="preserve">O/C: GPR only</w:t>
            </w:r>
          </w:p>
        </w:tc>
        <w:tc>
          <w:tcPr>
            <w:tcW w:type="dxa" w:w="1900"/>
            <w:tcMar>
              <w:top w:type="dxa" w:w="60"/>
              <w:left w:type="dxa" w:w="100"/>
              <w:bottom w:type="dxa" w:w="60"/>
              <w:right w:type="dxa" w:w="100"/>
            </w:tcMar>
          </w:tcPr>
          <w:p>
            <w:r>
              <w:rPr>
                <w:sz w:val="19"/>
                <w:szCs w:val="19"/>
              </w:rPr>
              <w:t xml:space="preserve">0.23 (log)</w:t>
            </w:r>
          </w:p>
        </w:tc>
        <w:tc>
          <w:tcPr>
            <w:tcW w:type="dxa" w:w="1900"/>
            <w:tcMar>
              <w:top w:type="dxa" w:w="60"/>
              <w:left w:type="dxa" w:w="100"/>
              <w:bottom w:type="dxa" w:w="60"/>
              <w:right w:type="dxa" w:w="100"/>
            </w:tcMar>
          </w:tcPr>
          <w:p>
            <w:r>
              <w:rPr>
                <w:sz w:val="19"/>
                <w:szCs w:val="19"/>
              </w:rPr>
              <w:t xml:space="preserve">27.7% typical</w:t>
            </w:r>
          </w:p>
        </w:tc>
        <w:tc>
          <w:tcPr>
            <w:tcW w:type="dxa" w:w="1938"/>
            <w:tcMar>
              <w:top w:type="dxa" w:w="60"/>
              <w:left w:type="dxa" w:w="100"/>
              <w:bottom w:type="dxa" w:w="60"/>
              <w:right w:type="dxa" w:w="100"/>
            </w:tcMar>
          </w:tcPr>
          <w:p>
            <w:r>
              <w:rPr>
                <w:sz w:val="19"/>
                <w:szCs w:val="19"/>
              </w:rPr>
              <w:t xml:space="preserve">-</w:t>
            </w:r>
          </w:p>
        </w:tc>
      </w:tr>
      <w:tr>
        <w:trPr>
          <w:tblHeader w:val="false"/>
        </w:trPr>
        <w:tc>
          <w:tcPr>
            <w:tcW w:type="dxa" w:w="3900"/>
            <w:tcMar>
              <w:top w:type="dxa" w:w="60"/>
              <w:left w:type="dxa" w:w="100"/>
              <w:bottom w:type="dxa" w:w="60"/>
              <w:right w:type="dxa" w:w="100"/>
            </w:tcMar>
          </w:tcPr>
          <w:p>
            <w:r>
              <w:rPr>
                <w:sz w:val="19"/>
                <w:szCs w:val="19"/>
              </w:rPr>
              <w:t xml:space="preserve">O/C: XGBoost with physics constraints</w:t>
            </w:r>
          </w:p>
        </w:tc>
        <w:tc>
          <w:tcPr>
            <w:tcW w:type="dxa" w:w="1900"/>
            <w:tcMar>
              <w:top w:type="dxa" w:w="60"/>
              <w:left w:type="dxa" w:w="100"/>
              <w:bottom w:type="dxa" w:w="60"/>
              <w:right w:type="dxa" w:w="100"/>
            </w:tcMar>
          </w:tcPr>
          <w:p>
            <w:r>
              <w:rPr>
                <w:sz w:val="19"/>
                <w:szCs w:val="19"/>
              </w:rPr>
              <w:t xml:space="preserve">0.14 (log)</w:t>
            </w:r>
          </w:p>
        </w:tc>
        <w:tc>
          <w:tcPr>
            <w:tcW w:type="dxa" w:w="1900"/>
            <w:tcMar>
              <w:top w:type="dxa" w:w="60"/>
              <w:left w:type="dxa" w:w="100"/>
              <w:bottom w:type="dxa" w:w="60"/>
              <w:right w:type="dxa" w:w="100"/>
            </w:tcMar>
          </w:tcPr>
          <w:p>
            <w:r>
              <w:rPr>
                <w:sz w:val="19"/>
                <w:szCs w:val="19"/>
              </w:rPr>
              <w:t xml:space="preserve">37.5% typical</w:t>
            </w:r>
          </w:p>
        </w:tc>
        <w:tc>
          <w:tcPr>
            <w:tcW w:type="dxa" w:w="1938"/>
            <w:tcMar>
              <w:top w:type="dxa" w:w="60"/>
              <w:left w:type="dxa" w:w="100"/>
              <w:bottom w:type="dxa" w:w="60"/>
              <w:right w:type="dxa" w:w="100"/>
            </w:tcMar>
          </w:tcPr>
          <w:p>
            <w:r>
              <w:rPr>
                <w:sz w:val="19"/>
                <w:szCs w:val="19"/>
              </w:rPr>
              <w:t xml:space="preserve">-</w:t>
            </w:r>
          </w:p>
        </w:tc>
      </w:tr>
      <w:tr>
        <w:trPr>
          <w:tblHeader w:val="false"/>
        </w:trPr>
        <w:tc>
          <w:tcPr>
            <w:tcW w:type="dxa" w:w="3900"/>
            <w:tcMar>
              <w:top w:type="dxa" w:w="60"/>
              <w:left w:type="dxa" w:w="100"/>
              <w:bottom w:type="dxa" w:w="60"/>
              <w:right w:type="dxa" w:w="100"/>
            </w:tcMar>
          </w:tcPr>
          <w:p>
            <w:r>
              <w:rPr>
                <w:sz w:val="19"/>
                <w:szCs w:val="19"/>
              </w:rPr>
              <w:t xml:space="preserve">O/C: GPR + constrained XGBoost ✔</w:t>
            </w:r>
          </w:p>
        </w:tc>
        <w:tc>
          <w:tcPr>
            <w:tcW w:type="dxa" w:w="1900"/>
            <w:tcMar>
              <w:top w:type="dxa" w:w="60"/>
              <w:left w:type="dxa" w:w="100"/>
              <w:bottom w:type="dxa" w:w="60"/>
              <w:right w:type="dxa" w:w="100"/>
            </w:tcMar>
          </w:tcPr>
          <w:p>
            <w:r>
              <w:rPr>
                <w:sz w:val="19"/>
                <w:szCs w:val="19"/>
              </w:rPr>
              <w:t xml:space="preserve">0.26 (log)</w:t>
            </w:r>
          </w:p>
        </w:tc>
        <w:tc>
          <w:tcPr>
            <w:tcW w:type="dxa" w:w="1900"/>
            <w:tcMar>
              <w:top w:type="dxa" w:w="60"/>
              <w:left w:type="dxa" w:w="100"/>
              <w:bottom w:type="dxa" w:w="60"/>
              <w:right w:type="dxa" w:w="100"/>
            </w:tcMar>
          </w:tcPr>
          <w:p>
            <w:r>
              <w:rPr>
                <w:sz w:val="19"/>
                <w:szCs w:val="19"/>
              </w:rPr>
              <w:t xml:space="preserve">32.1% typical</w:t>
            </w:r>
          </w:p>
        </w:tc>
        <w:tc>
          <w:tcPr>
            <w:tcW w:type="dxa" w:w="1938"/>
            <w:tcMar>
              <w:top w:type="dxa" w:w="60"/>
              <w:left w:type="dxa" w:w="100"/>
              <w:bottom w:type="dxa" w:w="60"/>
              <w:right w:type="dxa" w:w="100"/>
            </w:tcMar>
          </w:tcPr>
          <w:p>
            <w:r>
              <w:rPr>
                <w:sz w:val="19"/>
                <w:szCs w:val="19"/>
              </w:rPr>
              <w:t xml:space="preserve">-</w:t>
            </w:r>
          </w:p>
        </w:tc>
      </w:tr>
    </w:tbl>
    <w:p>
      <w:pPr>
        <w:spacing w:after="120"/>
      </w:pPr>
      <w:r>
        <w:rPr>
          <w:i/>
          <w:iCs/>
          <w:sz w:val="18"/>
          <w:szCs w:val="18"/>
        </w:rPr>
        <w:t xml:space="preserve">*Shape R²: how well the model predicts how yield changes with conditions within one biomass. GPR alone ignored the reactor conditions (shape R² 0.01), so it could not guide temperature choice. The level + shape model captures the condition effects best (0.12).</w:t>
      </w:r>
    </w:p>
    <w:p>
      <w:pPr>
        <w:pStyle w:val="Heading2"/>
      </w:pPr>
      <w:r>
        <w:t xml:space="preserve">5.2 Physics checks</w:t>
      </w:r>
    </w:p>
    <w:p>
      <w:pPr>
        <w:jc w:val="center"/>
      </w:pPr>
      <w:r>
        <w:drawing>
          <wp:inline distT="0" distB="0" distL="0" distR="0">
            <wp:extent cx="5715000" cy="1790700"/>
            <wp:effectExtent t="0" r="0" b="0" l="0"/>
            <wp:docPr id="1" name="B1_physics.png" descr="Figure 3. Average model response to temperature, with kinetic tar selectivity for comparison." title="Figure 3. Average model response to temperature, with kinetic tar selectivity f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i/>
          <w:iCs/>
          <w:color w:val="52514E"/>
          <w:sz w:val="18"/>
          <w:szCs w:val="18"/>
        </w:rPr>
        <w:t xml:space="preserve">Figure 3. Average model response to temperature, with kinetic tar selectivity for comparison.</w:t>
      </w:r>
    </w:p>
    <w:p>
      <w:pPr>
        <w:pStyle w:val="ListParagraph"/>
        <w:numPr>
          <w:ilvl w:val="0"/>
          <w:numId w:val="2"/>
        </w:numPr>
        <w:spacing w:after="60"/>
      </w:pPr>
      <w:r>
        <w:rPr>
          <w:b/>
          <w:bCs/>
        </w:rPr>
        <w:t xml:space="preserve">Yield optimum: </w:t>
      </w:r>
      <w:r>
        <w:t xml:space="preserve">predicted yield rises from 36.3 wt% at 350 °C to a peak of 41.6 wt% at 525 °C and falls to 38.2 wt% at 700 °C, matching the known optimum of 450 to 550 °C.</w:t>
      </w:r>
    </w:p>
    <w:p>
      <w:pPr>
        <w:pStyle w:val="ListParagraph"/>
        <w:numPr>
          <w:ilvl w:val="0"/>
          <w:numId w:val="2"/>
        </w:numPr>
        <w:spacing w:after="60"/>
      </w:pPr>
      <w:r>
        <w:rPr>
          <w:b/>
          <w:bCs/>
        </w:rPr>
        <w:t xml:space="preserve">Why a peak: </w:t>
      </w:r>
      <w:r>
        <w:t xml:space="preserve">kinetics says the share of biomass turning into tar keeps rising (51% at 350 °C to 69% at 700 °C), so the fall above about 600 °C must come from secondary cracking of hot vapours into gas. The model learned this two-step behaviour from data.</w:t>
      </w:r>
    </w:p>
    <w:p>
      <w:pPr>
        <w:pStyle w:val="ListParagraph"/>
        <w:numPr>
          <w:ilvl w:val="0"/>
          <w:numId w:val="2"/>
        </w:numPr>
        <w:spacing w:after="60"/>
      </w:pPr>
      <w:r>
        <w:rPr>
          <w:b/>
          <w:bCs/>
        </w:rPr>
        <w:t xml:space="preserve">Oxygen: </w:t>
      </w:r>
      <w:r>
        <w:t xml:space="preserve">predicted O/C falls from 0.28 to 0.21 between 350 and 700 °C, as expected from stronger deoxygenation (CO, CO₂, water release) at higher temperature, and is guaranteed never to rise with temperature.</w:t>
      </w:r>
    </w:p>
    <w:p>
      <w:pPr>
        <w:pStyle w:val="ListParagraph"/>
        <w:numPr>
          <w:ilvl w:val="0"/>
          <w:numId w:val="2"/>
        </w:numPr>
        <w:spacing w:after="60"/>
      </w:pPr>
      <w:r>
        <w:rPr>
          <w:b/>
          <w:bCs/>
        </w:rPr>
        <w:t xml:space="preserve">Heating regime: </w:t>
      </w:r>
      <w:r>
        <w:t xml:space="preserve">every experiment in D3 has θ &lt; 0 (maximum −0.86) and the median heating rate is only 25 °C/min, so the data is dominated by slow pyrolysis of evenly heated particles. Particle-size effects are therefore small and noisy.</w:t>
      </w:r>
    </w:p>
    <w:p>
      <w:pPr>
        <w:pStyle w:val="Heading2"/>
      </w:pPr>
      <w:r>
        <w:t xml:space="preserve">5.3 Honest uncertainty and calibration</w:t>
      </w:r>
    </w:p>
    <w:p>
      <w:pPr>
        <w:pStyle w:val="ListParagraph"/>
        <w:numPr>
          <w:ilvl w:val="0"/>
          <w:numId w:val="2"/>
        </w:numPr>
        <w:spacing w:after="60"/>
      </w:pPr>
      <w:r>
        <w:rPr>
          <w:b/>
          <w:bCs/>
        </w:rPr>
        <w:t xml:space="preserve">80% bands for a brand-new biomass: </w:t>
      </w:r>
      <w:r>
        <w:t xml:space="preserve">yield ±12.6 wt%; O/C within a factor of 2.2. These are wide, and the advisor shows them so users do not over-trust a single number.</w:t>
      </w:r>
    </w:p>
    <w:p>
      <w:pPr>
        <w:jc w:val="center"/>
      </w:pPr>
      <w:r>
        <w:drawing>
          <wp:inline distT="0" distB="0" distL="0" distR="0">
            <wp:extent cx="4476750" cy="2381250"/>
            <wp:effectExtent t="0" r="0" b="0" l="0"/>
            <wp:docPr id="1" name="B2_calibration.png" descr="Figure 4. Yield error for a new biomass with 0, 1 or 2 real experiments." title="Figure 4. Yield error for a new biomass with 0, 1 or 2 real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81250"/>
                    </a:xfrm>
                    <a:prstGeom prst="rect">
                      <a:avLst/>
                    </a:prstGeom>
                  </pic:spPr>
                </pic:pic>
              </a:graphicData>
            </a:graphic>
          </wp:inline>
        </w:drawing>
      </w:r>
    </w:p>
    <w:p>
      <w:pPr>
        <w:spacing w:after="200"/>
        <w:jc w:val="center"/>
      </w:pPr>
      <w:r>
        <w:rPr>
          <w:i/>
          <w:iCs/>
          <w:color w:val="52514E"/>
          <w:sz w:val="18"/>
          <w:szCs w:val="18"/>
        </w:rPr>
        <w:t xml:space="preserve">Figure 4. Yield error for a new biomass with 0, 1 or 2 real experiments.</w:t>
      </w:r>
    </w:p>
    <w:p>
      <w:pPr>
        <w:spacing w:after="120"/>
      </w:pPr>
      <w:r>
        <w:t xml:space="preserve">One real experiment cuts the yield error from about 8 to 5.3 wt%; two bring it to 4.2 wt%. In both cases the model beats simply re-using the measured value (5.7 and 4.6 wt%), because it adds how yield changes with conditions. For O/C, re-using the measured value was slightly better than the model (log error 0.087 vs 0.104), because O/C changes little within one biomass in this dataset.</w:t>
      </w:r>
    </w:p>
    <w:p>
      <w:pPr>
        <w:pStyle w:val="Heading2"/>
      </w:pPr>
      <w:r>
        <w:t xml:space="preserve">5.4 Case studies: three biomasses never seen in training</w:t>
      </w:r>
    </w:p>
    <w:p>
      <w:pPr>
        <w:jc w:val="center"/>
      </w:pPr>
      <w:r>
        <w:drawing>
          <wp:inline distT="0" distB="0" distL="0" distR="0">
            <wp:extent cx="5905500" cy="1847850"/>
            <wp:effectExtent t="0" r="0" b="0" l="0"/>
            <wp:docPr id="1" name="B3_cases.png" descr="Figure 5. Held-out biomasses. The circled point is the single experiment used for calibration." title="Figure 5. Held-out biomasses. The circled point is the single experiment used for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i/>
          <w:iCs/>
          <w:color w:val="52514E"/>
          <w:sz w:val="18"/>
          <w:szCs w:val="18"/>
        </w:rPr>
        <w:t xml:space="preserve">Figure 5. Held-out biomasses. The circled point is the single experiment used for calibration.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2200"/>
        <w:gridCol w:w="2338"/>
      </w:tblGrid>
      <w:tr>
        <w:trPr>
          <w:tblHeader/>
        </w:trPr>
        <w:tc>
          <w:tcPr>
            <w:tcW w:type="dxa" w:w="1700"/>
            <w:shd w:fill="DCE6F1" w:color="auto" w:val="clear"/>
            <w:tcMar>
              <w:top w:type="dxa" w:w="60"/>
              <w:left w:type="dxa" w:w="100"/>
              <w:bottom w:type="dxa" w:w="60"/>
              <w:right w:type="dxa" w:w="100"/>
            </w:tcMar>
          </w:tcPr>
          <w:p>
            <w:r>
              <w:rPr>
                <w:b/>
                <w:bCs/>
                <w:sz w:val="19"/>
                <w:szCs w:val="19"/>
              </w:rPr>
              <w:t xml:space="preserve">Biomass</w:t>
            </w:r>
          </w:p>
        </w:tc>
        <w:tc>
          <w:tcPr>
            <w:tcW w:type="dxa" w:w="1700"/>
            <w:shd w:fill="DCE6F1" w:color="auto" w:val="clear"/>
            <w:tcMar>
              <w:top w:type="dxa" w:w="60"/>
              <w:left w:type="dxa" w:w="100"/>
              <w:bottom w:type="dxa" w:w="60"/>
              <w:right w:type="dxa" w:w="100"/>
            </w:tcMar>
          </w:tcPr>
          <w:p>
            <w:r>
              <w:rPr>
                <w:b/>
                <w:bCs/>
                <w:sz w:val="19"/>
                <w:szCs w:val="19"/>
              </w:rPr>
              <w:t xml:space="preserve">Best T (real)</w:t>
            </w:r>
          </w:p>
        </w:tc>
        <w:tc>
          <w:tcPr>
            <w:tcW w:type="dxa" w:w="1700"/>
            <w:shd w:fill="DCE6F1" w:color="auto" w:val="clear"/>
            <w:tcMar>
              <w:top w:type="dxa" w:w="60"/>
              <w:left w:type="dxa" w:w="100"/>
              <w:bottom w:type="dxa" w:w="60"/>
              <w:right w:type="dxa" w:w="100"/>
            </w:tcMar>
          </w:tcPr>
          <w:p>
            <w:r>
              <w:rPr>
                <w:b/>
                <w:bCs/>
                <w:sz w:val="19"/>
                <w:szCs w:val="19"/>
              </w:rPr>
              <w:t xml:space="preserve">Best T (model)</w:t>
            </w:r>
          </w:p>
        </w:tc>
        <w:tc>
          <w:tcPr>
            <w:tcW w:type="dxa" w:w="2200"/>
            <w:shd w:fill="DCE6F1" w:color="auto" w:val="clear"/>
            <w:tcMar>
              <w:top w:type="dxa" w:w="60"/>
              <w:left w:type="dxa" w:w="100"/>
              <w:bottom w:type="dxa" w:w="60"/>
              <w:right w:type="dxa" w:w="100"/>
            </w:tcMar>
          </w:tcPr>
          <w:p>
            <w:r>
              <w:rPr>
                <w:b/>
                <w:bCs/>
                <w:sz w:val="19"/>
                <w:szCs w:val="19"/>
              </w:rPr>
              <w:t xml:space="preserve">Error, no experiment</w:t>
            </w:r>
          </w:p>
        </w:tc>
        <w:tc>
          <w:tcPr>
            <w:tcW w:type="dxa" w:w="2338"/>
            <w:shd w:fill="DCE6F1" w:color="auto" w:val="clear"/>
            <w:tcMar>
              <w:top w:type="dxa" w:w="60"/>
              <w:left w:type="dxa" w:w="100"/>
              <w:bottom w:type="dxa" w:w="60"/>
              <w:right w:type="dxa" w:w="100"/>
            </w:tcMar>
          </w:tcPr>
          <w:p>
            <w:r>
              <w:rPr>
                <w:b/>
                <w:bCs/>
                <w:sz w:val="19"/>
                <w:szCs w:val="19"/>
              </w:rPr>
              <w:t xml:space="preserve">Error, 1 experiment</w:t>
            </w:r>
          </w:p>
        </w:tc>
      </w:tr>
      <w:tr>
        <w:trPr>
          <w:tblHeader w:val="false"/>
        </w:trPr>
        <w:tc>
          <w:tcPr>
            <w:tcW w:type="dxa" w:w="1700"/>
            <w:tcMar>
              <w:top w:type="dxa" w:w="60"/>
              <w:left w:type="dxa" w:w="100"/>
              <w:bottom w:type="dxa" w:w="60"/>
              <w:right w:type="dxa" w:w="100"/>
            </w:tcMar>
          </w:tcPr>
          <w:p>
            <w:r>
              <w:rPr>
                <w:sz w:val="19"/>
                <w:szCs w:val="19"/>
              </w:rPr>
              <w:t xml:space="preserve">11 (C 49%, O 34%)</w:t>
            </w:r>
          </w:p>
        </w:tc>
        <w:tc>
          <w:tcPr>
            <w:tcW w:type="dxa" w:w="1700"/>
            <w:tcMar>
              <w:top w:type="dxa" w:w="60"/>
              <w:left w:type="dxa" w:w="100"/>
              <w:bottom w:type="dxa" w:w="60"/>
              <w:right w:type="dxa" w:w="100"/>
            </w:tcMar>
          </w:tcPr>
          <w:p>
            <w:r>
              <w:rPr>
                <w:sz w:val="19"/>
                <w:szCs w:val="19"/>
              </w:rPr>
              <w:t xml:space="preserve">450 °C</w:t>
            </w:r>
          </w:p>
        </w:tc>
        <w:tc>
          <w:tcPr>
            <w:tcW w:type="dxa" w:w="1700"/>
            <w:tcMar>
              <w:top w:type="dxa" w:w="60"/>
              <w:left w:type="dxa" w:w="100"/>
              <w:bottom w:type="dxa" w:w="60"/>
              <w:right w:type="dxa" w:w="100"/>
            </w:tcMar>
          </w:tcPr>
          <w:p>
            <w:r>
              <w:rPr>
                <w:sz w:val="19"/>
                <w:szCs w:val="19"/>
              </w:rPr>
              <w:t xml:space="preserve">450 °C ✔</w:t>
            </w:r>
          </w:p>
        </w:tc>
        <w:tc>
          <w:tcPr>
            <w:tcW w:type="dxa" w:w="2200"/>
            <w:tcMar>
              <w:top w:type="dxa" w:w="60"/>
              <w:left w:type="dxa" w:w="100"/>
              <w:bottom w:type="dxa" w:w="60"/>
              <w:right w:type="dxa" w:w="100"/>
            </w:tcMar>
          </w:tcPr>
          <w:p>
            <w:r>
              <w:rPr>
                <w:sz w:val="19"/>
                <w:szCs w:val="19"/>
              </w:rPr>
              <w:t xml:space="preserve">6.6 wt%</w:t>
            </w:r>
          </w:p>
        </w:tc>
        <w:tc>
          <w:tcPr>
            <w:tcW w:type="dxa" w:w="2338"/>
            <w:tcMar>
              <w:top w:type="dxa" w:w="60"/>
              <w:left w:type="dxa" w:w="100"/>
              <w:bottom w:type="dxa" w:w="60"/>
              <w:right w:type="dxa" w:w="100"/>
            </w:tcMar>
          </w:tcPr>
          <w:p>
            <w:r>
              <w:rPr>
                <w:sz w:val="19"/>
                <w:szCs w:val="19"/>
              </w:rPr>
              <w:t xml:space="preserve">13.0 wt%</w:t>
            </w:r>
          </w:p>
        </w:tc>
      </w:tr>
      <w:tr>
        <w:trPr>
          <w:tblHeader w:val="false"/>
        </w:trPr>
        <w:tc>
          <w:tcPr>
            <w:tcW w:type="dxa" w:w="1700"/>
            <w:tcMar>
              <w:top w:type="dxa" w:w="60"/>
              <w:left w:type="dxa" w:w="100"/>
              <w:bottom w:type="dxa" w:w="60"/>
              <w:right w:type="dxa" w:w="100"/>
            </w:tcMar>
          </w:tcPr>
          <w:p>
            <w:r>
              <w:rPr>
                <w:sz w:val="19"/>
                <w:szCs w:val="19"/>
              </w:rPr>
              <w:t xml:space="preserve">108 (C 50%, O 45%)</w:t>
            </w:r>
          </w:p>
        </w:tc>
        <w:tc>
          <w:tcPr>
            <w:tcW w:type="dxa" w:w="1700"/>
            <w:tcMar>
              <w:top w:type="dxa" w:w="60"/>
              <w:left w:type="dxa" w:w="100"/>
              <w:bottom w:type="dxa" w:w="60"/>
              <w:right w:type="dxa" w:w="100"/>
            </w:tcMar>
          </w:tcPr>
          <w:p>
            <w:r>
              <w:rPr>
                <w:sz w:val="19"/>
                <w:szCs w:val="19"/>
              </w:rPr>
              <w:t xml:space="preserve">550 °C</w:t>
            </w:r>
          </w:p>
        </w:tc>
        <w:tc>
          <w:tcPr>
            <w:tcW w:type="dxa" w:w="1700"/>
            <w:tcMar>
              <w:top w:type="dxa" w:w="60"/>
              <w:left w:type="dxa" w:w="100"/>
              <w:bottom w:type="dxa" w:w="60"/>
              <w:right w:type="dxa" w:w="100"/>
            </w:tcMar>
          </w:tcPr>
          <w:p>
            <w:r>
              <w:rPr>
                <w:sz w:val="19"/>
                <w:szCs w:val="19"/>
              </w:rPr>
              <w:t xml:space="preserve">550 °C ✔</w:t>
            </w:r>
          </w:p>
        </w:tc>
        <w:tc>
          <w:tcPr>
            <w:tcW w:type="dxa" w:w="2200"/>
            <w:tcMar>
              <w:top w:type="dxa" w:w="60"/>
              <w:left w:type="dxa" w:w="100"/>
              <w:bottom w:type="dxa" w:w="60"/>
              <w:right w:type="dxa" w:w="100"/>
            </w:tcMar>
          </w:tcPr>
          <w:p>
            <w:r>
              <w:rPr>
                <w:sz w:val="19"/>
                <w:szCs w:val="19"/>
              </w:rPr>
              <w:t xml:space="preserve">5.6 wt%</w:t>
            </w:r>
          </w:p>
        </w:tc>
        <w:tc>
          <w:tcPr>
            <w:tcW w:type="dxa" w:w="2338"/>
            <w:tcMar>
              <w:top w:type="dxa" w:w="60"/>
              <w:left w:type="dxa" w:w="100"/>
              <w:bottom w:type="dxa" w:w="60"/>
              <w:right w:type="dxa" w:w="100"/>
            </w:tcMar>
          </w:tcPr>
          <w:p>
            <w:r>
              <w:rPr>
                <w:sz w:val="19"/>
                <w:szCs w:val="19"/>
              </w:rPr>
              <w:t xml:space="preserve">1.7 wt%</w:t>
            </w:r>
          </w:p>
        </w:tc>
      </w:tr>
      <w:tr>
        <w:trPr>
          <w:tblHeader w:val="false"/>
        </w:trPr>
        <w:tc>
          <w:tcPr>
            <w:tcW w:type="dxa" w:w="1700"/>
            <w:tcMar>
              <w:top w:type="dxa" w:w="60"/>
              <w:left w:type="dxa" w:w="100"/>
              <w:bottom w:type="dxa" w:w="60"/>
              <w:right w:type="dxa" w:w="100"/>
            </w:tcMar>
          </w:tcPr>
          <w:p>
            <w:r>
              <w:rPr>
                <w:sz w:val="19"/>
                <w:szCs w:val="19"/>
              </w:rPr>
              <w:t xml:space="preserve">99 (C 45%, O 47%)</w:t>
            </w:r>
          </w:p>
        </w:tc>
        <w:tc>
          <w:tcPr>
            <w:tcW w:type="dxa" w:w="1700"/>
            <w:tcMar>
              <w:top w:type="dxa" w:w="60"/>
              <w:left w:type="dxa" w:w="100"/>
              <w:bottom w:type="dxa" w:w="60"/>
              <w:right w:type="dxa" w:w="100"/>
            </w:tcMar>
          </w:tcPr>
          <w:p>
            <w:r>
              <w:rPr>
                <w:sz w:val="19"/>
                <w:szCs w:val="19"/>
              </w:rPr>
              <w:t xml:space="preserve">500 °C</w:t>
            </w:r>
          </w:p>
        </w:tc>
        <w:tc>
          <w:tcPr>
            <w:tcW w:type="dxa" w:w="1700"/>
            <w:tcMar>
              <w:top w:type="dxa" w:w="60"/>
              <w:left w:type="dxa" w:w="100"/>
              <w:bottom w:type="dxa" w:w="60"/>
              <w:right w:type="dxa" w:w="100"/>
            </w:tcMar>
          </w:tcPr>
          <w:p>
            <w:r>
              <w:rPr>
                <w:sz w:val="19"/>
                <w:szCs w:val="19"/>
              </w:rPr>
              <w:t xml:space="preserve">600 °C</w:t>
            </w:r>
          </w:p>
        </w:tc>
        <w:tc>
          <w:tcPr>
            <w:tcW w:type="dxa" w:w="2200"/>
            <w:tcMar>
              <w:top w:type="dxa" w:w="60"/>
              <w:left w:type="dxa" w:w="100"/>
              <w:bottom w:type="dxa" w:w="60"/>
              <w:right w:type="dxa" w:w="100"/>
            </w:tcMar>
          </w:tcPr>
          <w:p>
            <w:r>
              <w:rPr>
                <w:sz w:val="19"/>
                <w:szCs w:val="19"/>
              </w:rPr>
              <w:t xml:space="preserve">6.0 wt%</w:t>
            </w:r>
          </w:p>
        </w:tc>
        <w:tc>
          <w:tcPr>
            <w:tcW w:type="dxa" w:w="2338"/>
            <w:tcMar>
              <w:top w:type="dxa" w:w="60"/>
              <w:left w:type="dxa" w:w="100"/>
              <w:bottom w:type="dxa" w:w="60"/>
              <w:right w:type="dxa" w:w="100"/>
            </w:tcMar>
          </w:tcPr>
          <w:p>
            <w:r>
              <w:rPr>
                <w:sz w:val="19"/>
                <w:szCs w:val="19"/>
              </w:rPr>
              <w:t xml:space="preserve">1.9 wt%</w:t>
            </w:r>
          </w:p>
        </w:tc>
      </w:tr>
    </w:tbl>
    <w:p>
      <w:pPr>
        <w:spacing w:after="60"/>
      </w:pPr>
    </w:p>
    <w:p>
      <w:pPr>
        <w:spacing w:after="120"/>
      </w:pPr>
      <w:r>
        <w:t xml:space="preserve">The model found the best temperature for two of three biomasses without any experiment. Calibration cut errors to under 2 wt% for biomasses 108 and 99. For biomass 11, the calibration point (34.8 wt% at 500 °C) is far below its neighbours (46 to 47 wt%), probably a measurement or reporting inconsistency, so calibrating on it made things worse. Lesson: calibrate with at least two experiments.</w:t>
      </w:r>
    </w:p>
    <w:p>
      <w:pPr>
        <w:pStyle w:val="Heading2"/>
      </w:pPr>
      <w:r>
        <w:t xml:space="preserve">5.5 The Pyrolysis Advisor</w:t>
      </w:r>
    </w:p>
    <w:p>
      <w:pPr>
        <w:jc w:val="center"/>
      </w:pPr>
      <w:r>
        <w:drawing>
          <wp:inline distT="0" distB="0" distL="0" distR="0">
            <wp:extent cx="4476750" cy="3314700"/>
            <wp:effectExtent t="0" r="0" b="0" l="0"/>
            <wp:docPr id="1" name="B4_advisor_pine.png" descr="Figure 6. Advisor output for a pine-like wood (C 50, H 6.1, O 43.5, N 0.2 wt%; particle 0.5 mm)." title="Figure 6. Advisor output for a pine-like wood (C 50, H 6.1, O 43.5, N 0.2 wt%; particle 0.5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314700"/>
                    </a:xfrm>
                    <a:prstGeom prst="rect">
                      <a:avLst/>
                    </a:prstGeom>
                  </pic:spPr>
                </pic:pic>
              </a:graphicData>
            </a:graphic>
          </wp:inline>
        </w:drawing>
      </w:r>
    </w:p>
    <w:p>
      <w:pPr>
        <w:spacing w:after="200"/>
        <w:jc w:val="center"/>
      </w:pPr>
      <w:r>
        <w:rPr>
          <w:i/>
          <w:iCs/>
          <w:color w:val="52514E"/>
          <w:sz w:val="18"/>
          <w:szCs w:val="18"/>
        </w:rPr>
        <w:t xml:space="preserve">Figure 6. Advisor output for a pine-like wood (C 50, H 6.1, O 43.5, N 0.2 wt%; particle 0.5 mm).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700"/>
        <w:gridCol w:w="3138"/>
      </w:tblGrid>
      <w:tr>
        <w:trPr>
          <w:tblHeader/>
        </w:trPr>
        <w:tc>
          <w:tcPr>
            <w:tcW w:type="dxa" w:w="2300"/>
            <w:shd w:fill="DCE6F1" w:color="auto" w:val="clear"/>
            <w:tcMar>
              <w:top w:type="dxa" w:w="60"/>
              <w:left w:type="dxa" w:w="100"/>
              <w:bottom w:type="dxa" w:w="60"/>
              <w:right w:type="dxa" w:w="100"/>
            </w:tcMar>
          </w:tcPr>
          <w:p>
            <w:r>
              <w:rPr>
                <w:b/>
                <w:bCs/>
                <w:sz w:val="19"/>
                <w:szCs w:val="19"/>
              </w:rPr>
              <w:t xml:space="preserve">Biomass</w:t>
            </w:r>
          </w:p>
        </w:tc>
        <w:tc>
          <w:tcPr>
            <w:tcW w:type="dxa" w:w="1500"/>
            <w:shd w:fill="DCE6F1" w:color="auto" w:val="clear"/>
            <w:tcMar>
              <w:top w:type="dxa" w:w="60"/>
              <w:left w:type="dxa" w:w="100"/>
              <w:bottom w:type="dxa" w:w="60"/>
              <w:right w:type="dxa" w:w="100"/>
            </w:tcMar>
          </w:tcPr>
          <w:p>
            <w:r>
              <w:rPr>
                <w:b/>
                <w:bCs/>
                <w:sz w:val="19"/>
                <w:szCs w:val="19"/>
              </w:rPr>
              <w:t xml:space="preserve">Known type?</w:t>
            </w:r>
          </w:p>
        </w:tc>
        <w:tc>
          <w:tcPr>
            <w:tcW w:type="dxa" w:w="2700"/>
            <w:shd w:fill="DCE6F1" w:color="auto" w:val="clear"/>
            <w:tcMar>
              <w:top w:type="dxa" w:w="60"/>
              <w:left w:type="dxa" w:w="100"/>
              <w:bottom w:type="dxa" w:w="60"/>
              <w:right w:type="dxa" w:w="100"/>
            </w:tcMar>
          </w:tcPr>
          <w:p>
            <w:r>
              <w:rPr>
                <w:b/>
                <w:bCs/>
                <w:sz w:val="19"/>
                <w:szCs w:val="19"/>
              </w:rPr>
              <w:t xml:space="preserve">Recommended setting</w:t>
            </w:r>
          </w:p>
        </w:tc>
        <w:tc>
          <w:tcPr>
            <w:tcW w:type="dxa" w:w="3138"/>
            <w:shd w:fill="DCE6F1" w:color="auto" w:val="clear"/>
            <w:tcMar>
              <w:top w:type="dxa" w:w="60"/>
              <w:left w:type="dxa" w:w="100"/>
              <w:bottom w:type="dxa" w:w="60"/>
              <w:right w:type="dxa" w:w="100"/>
            </w:tcMar>
          </w:tcPr>
          <w:p>
            <w:r>
              <w:rPr>
                <w:b/>
                <w:bCs/>
                <w:sz w:val="19"/>
                <w:szCs w:val="19"/>
              </w:rPr>
              <w:t xml:space="preserve">Alternatives</w:t>
            </w:r>
          </w:p>
        </w:tc>
      </w:tr>
      <w:tr>
        <w:trPr>
          <w:tblHeader w:val="false"/>
        </w:trPr>
        <w:tc>
          <w:tcPr>
            <w:tcW w:type="dxa" w:w="2300"/>
            <w:tcMar>
              <w:top w:type="dxa" w:w="60"/>
              <w:left w:type="dxa" w:w="100"/>
              <w:bottom w:type="dxa" w:w="60"/>
              <w:right w:type="dxa" w:w="100"/>
            </w:tcMar>
          </w:tcPr>
          <w:p>
            <w:r>
              <w:rPr>
                <w:sz w:val="19"/>
                <w:szCs w:val="19"/>
              </w:rPr>
              <w:t xml:space="preserve">Pine-like wood</w:t>
            </w:r>
          </w:p>
        </w:tc>
        <w:tc>
          <w:tcPr>
            <w:tcW w:type="dxa" w:w="1500"/>
            <w:tcMar>
              <w:top w:type="dxa" w:w="60"/>
              <w:left w:type="dxa" w:w="100"/>
              <w:bottom w:type="dxa" w:w="60"/>
              <w:right w:type="dxa" w:w="100"/>
            </w:tcMar>
          </w:tcPr>
          <w:p>
            <w:r>
              <w:rPr>
                <w:sz w:val="19"/>
                <w:szCs w:val="19"/>
              </w:rPr>
              <w:t xml:space="preserve">Yes</w:t>
            </w:r>
          </w:p>
        </w:tc>
        <w:tc>
          <w:tcPr>
            <w:tcW w:type="dxa" w:w="2700"/>
            <w:tcMar>
              <w:top w:type="dxa" w:w="60"/>
              <w:left w:type="dxa" w:w="100"/>
              <w:bottom w:type="dxa" w:w="60"/>
              <w:right w:type="dxa" w:w="100"/>
            </w:tcMar>
          </w:tcPr>
          <w:p>
            <w:r>
              <w:rPr>
                <w:sz w:val="19"/>
                <w:szCs w:val="19"/>
              </w:rPr>
              <w:t xml:space="preserve">480 °C, 300 °C/min → 41.8 wt%, O/C 0.068</w:t>
            </w:r>
          </w:p>
        </w:tc>
        <w:tc>
          <w:tcPr>
            <w:tcW w:type="dxa" w:w="3138"/>
            <w:tcMar>
              <w:top w:type="dxa" w:w="60"/>
              <w:left w:type="dxa" w:w="100"/>
              <w:bottom w:type="dxa" w:w="60"/>
              <w:right w:type="dxa" w:w="100"/>
            </w:tcMar>
          </w:tcPr>
          <w:p>
            <w:r>
              <w:rPr>
                <w:sz w:val="19"/>
                <w:szCs w:val="19"/>
              </w:rPr>
              <w:t xml:space="preserve">Max yield: 570 °C, 100 °C/min → 43.5 wt%, O/C 0.097</w:t>
            </w:r>
          </w:p>
        </w:tc>
      </w:tr>
      <w:tr>
        <w:trPr>
          <w:tblHeader w:val="false"/>
        </w:trPr>
        <w:tc>
          <w:tcPr>
            <w:tcW w:type="dxa" w:w="2300"/>
            <w:tcMar>
              <w:top w:type="dxa" w:w="60"/>
              <w:left w:type="dxa" w:w="100"/>
              <w:bottom w:type="dxa" w:w="60"/>
              <w:right w:type="dxa" w:w="100"/>
            </w:tcMar>
          </w:tcPr>
          <w:p>
            <w:r>
              <w:rPr>
                <w:sz w:val="19"/>
                <w:szCs w:val="19"/>
              </w:rPr>
              <w:t xml:space="preserve">Rice husk-like</w:t>
            </w:r>
          </w:p>
        </w:tc>
        <w:tc>
          <w:tcPr>
            <w:tcW w:type="dxa" w:w="1500"/>
            <w:tcMar>
              <w:top w:type="dxa" w:w="60"/>
              <w:left w:type="dxa" w:w="100"/>
              <w:bottom w:type="dxa" w:w="60"/>
              <w:right w:type="dxa" w:w="100"/>
            </w:tcMar>
          </w:tcPr>
          <w:p>
            <w:r>
              <w:rPr>
                <w:sz w:val="19"/>
                <w:szCs w:val="19"/>
              </w:rPr>
              <w:t xml:space="preserve">Yes</w:t>
            </w:r>
          </w:p>
        </w:tc>
        <w:tc>
          <w:tcPr>
            <w:tcW w:type="dxa" w:w="2700"/>
            <w:tcMar>
              <w:top w:type="dxa" w:w="60"/>
              <w:left w:type="dxa" w:w="100"/>
              <w:bottom w:type="dxa" w:w="60"/>
              <w:right w:type="dxa" w:w="100"/>
            </w:tcMar>
          </w:tcPr>
          <w:p>
            <w:r>
              <w:rPr>
                <w:sz w:val="19"/>
                <w:szCs w:val="19"/>
              </w:rPr>
              <w:t xml:space="preserve">510 °C, 10 °C/min → 41.6 wt%, O/C 0.062</w:t>
            </w:r>
          </w:p>
        </w:tc>
        <w:tc>
          <w:tcPr>
            <w:tcW w:type="dxa" w:w="3138"/>
            <w:tcMar>
              <w:top w:type="dxa" w:w="60"/>
              <w:left w:type="dxa" w:w="100"/>
              <w:bottom w:type="dxa" w:w="60"/>
              <w:right w:type="dxa" w:w="100"/>
            </w:tcMar>
          </w:tcPr>
          <w:p>
            <w:r>
              <w:rPr>
                <w:sz w:val="19"/>
                <w:szCs w:val="19"/>
              </w:rPr>
              <w:t xml:space="preserve">Max yield: 570 °C, 100 °C/min → 44.7 wt%, O/C 0.113</w:t>
            </w:r>
          </w:p>
        </w:tc>
      </w:tr>
      <w:tr>
        <w:trPr>
          <w:tblHeader w:val="false"/>
        </w:trPr>
        <w:tc>
          <w:tcPr>
            <w:tcW w:type="dxa" w:w="2300"/>
            <w:tcMar>
              <w:top w:type="dxa" w:w="60"/>
              <w:left w:type="dxa" w:w="100"/>
              <w:bottom w:type="dxa" w:w="60"/>
              <w:right w:type="dxa" w:w="100"/>
            </w:tcMar>
          </w:tcPr>
          <w:p>
            <w:r>
              <w:rPr>
                <w:sz w:val="19"/>
                <w:szCs w:val="19"/>
              </w:rPr>
              <w:t xml:space="preserve">Microalgae-like (N 8.5%)</w:t>
            </w:r>
          </w:p>
        </w:tc>
        <w:tc>
          <w:tcPr>
            <w:tcW w:type="dxa" w:w="1500"/>
            <w:tcMar>
              <w:top w:type="dxa" w:w="60"/>
              <w:left w:type="dxa" w:w="100"/>
              <w:bottom w:type="dxa" w:w="60"/>
              <w:right w:type="dxa" w:w="100"/>
            </w:tcMar>
          </w:tcPr>
          <w:p>
            <w:r>
              <w:rPr>
                <w:sz w:val="19"/>
                <w:szCs w:val="19"/>
              </w:rPr>
              <w:t xml:space="preserve">No: flagged</w:t>
            </w:r>
          </w:p>
        </w:tc>
        <w:tc>
          <w:tcPr>
            <w:tcW w:type="dxa" w:w="2700"/>
            <w:tcMar>
              <w:top w:type="dxa" w:w="60"/>
              <w:left w:type="dxa" w:w="100"/>
              <w:bottom w:type="dxa" w:w="60"/>
              <w:right w:type="dxa" w:w="100"/>
            </w:tcMar>
          </w:tcPr>
          <w:p>
            <w:r>
              <w:rPr>
                <w:sz w:val="19"/>
                <w:szCs w:val="19"/>
              </w:rPr>
              <w:t xml:space="preserve">Shown with a warning</w:t>
            </w:r>
          </w:p>
        </w:tc>
        <w:tc>
          <w:tcPr>
            <w:tcW w:type="dxa" w:w="3138"/>
            <w:tcMar>
              <w:top w:type="dxa" w:w="60"/>
              <w:left w:type="dxa" w:w="100"/>
              <w:bottom w:type="dxa" w:w="60"/>
              <w:right w:type="dxa" w:w="100"/>
            </w:tcMar>
          </w:tcPr>
          <w:p>
            <w:r>
              <w:rPr>
                <w:sz w:val="19"/>
                <w:szCs w:val="19"/>
              </w:rPr>
              <w:t xml:space="preserve">Needs 1 to 2 experiments first</w:t>
            </w:r>
          </w:p>
        </w:tc>
      </w:tr>
      <w:tr>
        <w:trPr>
          <w:tblHeader w:val="false"/>
        </w:trPr>
        <w:tc>
          <w:tcPr>
            <w:tcW w:type="dxa" w:w="2300"/>
            <w:tcMar>
              <w:top w:type="dxa" w:w="60"/>
              <w:left w:type="dxa" w:w="100"/>
              <w:bottom w:type="dxa" w:w="60"/>
              <w:right w:type="dxa" w:w="100"/>
            </w:tcMar>
          </w:tcPr>
          <w:p>
            <w:r>
              <w:rPr>
                <w:sz w:val="19"/>
                <w:szCs w:val="19"/>
              </w:rPr>
              <w:t xml:space="preserve">Coal-like (C 80%)</w:t>
            </w:r>
          </w:p>
        </w:tc>
        <w:tc>
          <w:tcPr>
            <w:tcW w:type="dxa" w:w="1500"/>
            <w:tcMar>
              <w:top w:type="dxa" w:w="60"/>
              <w:left w:type="dxa" w:w="100"/>
              <w:bottom w:type="dxa" w:w="60"/>
              <w:right w:type="dxa" w:w="100"/>
            </w:tcMar>
          </w:tcPr>
          <w:p>
            <w:r>
              <w:rPr>
                <w:sz w:val="19"/>
                <w:szCs w:val="19"/>
              </w:rPr>
              <w:t xml:space="preserve">No: flagged</w:t>
            </w:r>
          </w:p>
        </w:tc>
        <w:tc>
          <w:tcPr>
            <w:tcW w:type="dxa" w:w="2700"/>
            <w:tcMar>
              <w:top w:type="dxa" w:w="60"/>
              <w:left w:type="dxa" w:w="100"/>
              <w:bottom w:type="dxa" w:w="60"/>
              <w:right w:type="dxa" w:w="100"/>
            </w:tcMar>
          </w:tcPr>
          <w:p>
            <w:r>
              <w:rPr>
                <w:sz w:val="19"/>
                <w:szCs w:val="19"/>
              </w:rPr>
              <w:t xml:space="preserve">Shown with a warning</w:t>
            </w:r>
          </w:p>
        </w:tc>
        <w:tc>
          <w:tcPr>
            <w:tcW w:type="dxa" w:w="3138"/>
            <w:tcMar>
              <w:top w:type="dxa" w:w="60"/>
              <w:left w:type="dxa" w:w="100"/>
              <w:bottom w:type="dxa" w:w="60"/>
              <w:right w:type="dxa" w:w="100"/>
            </w:tcMar>
          </w:tcPr>
          <w:p>
            <w:r>
              <w:rPr>
                <w:sz w:val="19"/>
                <w:szCs w:val="19"/>
              </w:rPr>
              <w:t xml:space="preserve">Outside biomass range</w:t>
            </w:r>
          </w:p>
        </w:tc>
      </w:tr>
    </w:tbl>
    <w:p>
      <w:pPr>
        <w:spacing w:after="60"/>
      </w:pPr>
    </w:p>
    <w:p>
      <w:pPr>
        <w:spacing w:after="120"/>
      </w:pPr>
      <w:r>
        <w:t xml:space="preserve">The Pareto front (Figure 6) shows the real trade-off: the last 1.7 wt% of extra yield costs about 40% more oxygen in the oil. The advisor makes this trade-off visible instead of hiding it, and it correctly refuses to be confident about feedstocks unlike its training data.</w:t>
      </w:r>
    </w:p>
    <w:p>
      <w:pPr>
        <w:pStyle w:val="Heading1"/>
      </w:pPr>
      <w:r>
        <w:t xml:space="preserve">6. Discussion</w:t>
      </w:r>
    </w:p>
    <w:p>
      <w:pPr>
        <w:pStyle w:val="Heading2"/>
      </w:pPr>
      <w:r>
        <w:t xml:space="preserve">6.1 Link to Dr. Akhil Mohan's separation review</w:t>
      </w:r>
    </w:p>
    <w:p>
      <w:pPr>
        <w:pStyle w:val="ListParagraph"/>
        <w:numPr>
          <w:ilvl w:val="0"/>
          <w:numId w:val="2"/>
        </w:numPr>
        <w:spacing w:after="60"/>
      </w:pPr>
      <w:r>
        <w:rPr>
          <w:b/>
          <w:bCs/>
        </w:rPr>
        <w:t xml:space="preserve">Upstream preparation: </w:t>
      </w:r>
      <w:r>
        <w:t xml:space="preserve">lower-O/C oil carries fewer oxygenated compounds into the separation stage, reducing solvent, adsorbent and energy demand. The advisor makes this choice explicit.</w:t>
      </w:r>
    </w:p>
    <w:p>
      <w:pPr>
        <w:pStyle w:val="ListParagraph"/>
        <w:numPr>
          <w:ilvl w:val="0"/>
          <w:numId w:val="2"/>
        </w:numPr>
        <w:spacing w:after="60"/>
      </w:pPr>
      <w:r>
        <w:rPr>
          <w:b/>
          <w:bCs/>
        </w:rPr>
        <w:t xml:space="preserve">Section 8.4 of the review: </w:t>
      </w:r>
      <w:r>
        <w:t xml:space="preserve">the review calls for interpretable, physics-informed ML. This project uses physics features, physical constraints and physics checks, and shows quantitatively why purely data-driven literature models do not transfer.</w:t>
      </w:r>
    </w:p>
    <w:p>
      <w:pPr>
        <w:pStyle w:val="ListParagraph"/>
        <w:numPr>
          <w:ilvl w:val="0"/>
          <w:numId w:val="2"/>
        </w:numPr>
        <w:spacing w:after="60"/>
      </w:pPr>
      <w:r>
        <w:rPr>
          <w:b/>
          <w:bCs/>
        </w:rPr>
        <w:t xml:space="preserve">Fig. 11 of the review: </w:t>
      </w:r>
      <w:r>
        <w:t xml:space="preserve">the proposed pipeline (data collection, cleaning, feature engineering, training, evaluation, validation, optimal conditions) is implemented here end to end for the pyrolysis stage, including the validation step that is often skipped.</w:t>
      </w:r>
    </w:p>
    <w:p>
      <w:pPr>
        <w:pStyle w:val="Heading2"/>
      </w:pPr>
      <w:r>
        <w:t xml:space="preserve">6.2 Limitations</w:t>
      </w:r>
    </w:p>
    <w:p>
      <w:pPr>
        <w:pStyle w:val="ListParagraph"/>
        <w:numPr>
          <w:ilvl w:val="0"/>
          <w:numId w:val="2"/>
        </w:numPr>
        <w:spacing w:after="60"/>
      </w:pPr>
      <w:r>
        <w:t xml:space="preserve">Literature data mixes labs, reactors and measurement bases; vapour residence time, condensation conditions and water content are not reported.</w:t>
      </w:r>
    </w:p>
    <w:p>
      <w:pPr>
        <w:pStyle w:val="ListParagraph"/>
        <w:numPr>
          <w:ilvl w:val="0"/>
          <w:numId w:val="2"/>
        </w:numPr>
        <w:spacing w:after="60"/>
      </w:pPr>
      <w:r>
        <w:t xml:space="preserve">O/C and yield come from different datasets, so the advisor combines two separately trained models.</w:t>
      </w:r>
    </w:p>
    <w:p>
      <w:pPr>
        <w:pStyle w:val="ListParagraph"/>
        <w:numPr>
          <w:ilvl w:val="0"/>
          <w:numId w:val="2"/>
        </w:numPr>
        <w:spacing w:after="60"/>
      </w:pPr>
      <w:r>
        <w:t xml:space="preserve">Uncertainty for brand-new biomasses is wide; predictions are most useful after one or two real experiments.</w:t>
      </w:r>
    </w:p>
    <w:p>
      <w:pPr>
        <w:pStyle w:val="ListParagraph"/>
        <w:numPr>
          <w:ilvl w:val="0"/>
          <w:numId w:val="2"/>
        </w:numPr>
        <w:spacing w:after="60"/>
      </w:pPr>
      <w:r>
        <w:t xml:space="preserve">No separation data was available, so the separation stage itself is discussed, not modelled.</w:t>
      </w:r>
    </w:p>
    <w:p>
      <w:pPr>
        <w:pStyle w:val="Heading1"/>
      </w:pPr>
      <w:r>
        <w:t xml:space="preserve">7. Conclusion</w:t>
      </w:r>
    </w:p>
    <w:p>
      <w:pPr>
        <w:spacing w:after="120"/>
      </w:pPr>
      <w:r>
        <w:t xml:space="preserve">Published ML accuracy for bio-oil prediction is largely an artefact of random testing: on truly new biomasses, yield prediction drops to the level of guessing and O/C prediction to R² about 0.2 to 0.3. Hidden near-duplicate rows make this worse because they defeat simple grouping. Physics-based features, constraints and a level-plus-shape design produce models that are honestly tested, follow known pyrolysis physics, report realistic uncertainty and become useful with one or two experiments. The resulting Pyrolysis Advisor turns these models into practical guidance for producing more bio-oil with less oxygen, the starting point for the separation strategies studied by Dr. Akhil Mohan.</w:t>
      </w:r>
    </w:p>
    <w:p>
      <w:pPr>
        <w:pStyle w:val="Heading1"/>
      </w:pPr>
      <w:r>
        <w:t xml:space="preserve">8. Future Work</w:t>
      </w:r>
    </w:p>
    <w:p>
      <w:pPr>
        <w:pStyle w:val="ListParagraph"/>
        <w:numPr>
          <w:ilvl w:val="0"/>
          <w:numId w:val="5"/>
        </w:numPr>
        <w:spacing w:after="60"/>
      </w:pPr>
      <w:r>
        <w:t xml:space="preserve">Add a "source paper" column from the original supplementary tables and test leave-one-paper-out.</w:t>
      </w:r>
    </w:p>
    <w:p>
      <w:pPr>
        <w:pStyle w:val="ListParagraph"/>
        <w:numPr>
          <w:ilvl w:val="0"/>
          <w:numId w:val="5"/>
        </w:numPr>
        <w:spacing w:after="60"/>
      </w:pPr>
      <w:r>
        <w:t xml:space="preserve">Model organic oil yield (bio-liquid minus water) on the 413 rows with water content.</w:t>
      </w:r>
    </w:p>
    <w:p>
      <w:pPr>
        <w:pStyle w:val="ListParagraph"/>
        <w:numPr>
          <w:ilvl w:val="0"/>
          <w:numId w:val="5"/>
        </w:numPr>
        <w:spacing w:after="60"/>
      </w:pPr>
      <w:r>
        <w:t xml:space="preserve">Collect consistent data from one reactor, including vapour residence time and condensation temperature, and retrain.</w:t>
      </w:r>
    </w:p>
    <w:p>
      <w:pPr>
        <w:pStyle w:val="ListParagraph"/>
        <w:numPr>
          <w:ilvl w:val="0"/>
          <w:numId w:val="5"/>
        </w:numPr>
        <w:spacing w:after="60"/>
      </w:pPr>
      <w:r>
        <w:t xml:space="preserve">Extend the advisor to the separation stage once separation data becomes available.</w:t>
      </w:r>
    </w:p>
    <w:p>
      <w:pPr>
        <w:pStyle w:val="Heading1"/>
      </w:pPr>
      <w:r>
        <w:t xml:space="preserve">References</w:t>
      </w:r>
    </w:p>
    <w:p>
      <w:pPr>
        <w:pStyle w:val="ListParagraph"/>
        <w:numPr>
          <w:ilvl w:val="0"/>
          <w:numId w:val="6"/>
        </w:numPr>
        <w:spacing w:after="60"/>
      </w:pPr>
      <w:r>
        <w:t xml:space="preserve">Mohan A., Emmer Å., Engvall K., Jonsson M. (2026). Recent progress in separation strategies for upgrading bio-oil: mechanisms, challenges and a way forward. Separation and Purification Technology 392, 137146.</w:t>
      </w:r>
    </w:p>
    <w:p>
      <w:pPr>
        <w:pStyle w:val="ListParagraph"/>
        <w:numPr>
          <w:ilvl w:val="0"/>
          <w:numId w:val="6"/>
        </w:numPr>
        <w:spacing w:after="60"/>
      </w:pPr>
      <w:r>
        <w:t xml:space="preserve">Zhang T., Cao D., Feng X., Zhu J., Lu X., Mu L., Qian H. (2022). Machine learning prediction of bio-oil characteristics quantitatively relating to biomass compositions and pyrolysis conditions. Fuel 312, 122812.</w:t>
      </w:r>
    </w:p>
    <w:p>
      <w:pPr>
        <w:pStyle w:val="ListParagraph"/>
        <w:numPr>
          <w:ilvl w:val="0"/>
          <w:numId w:val="6"/>
        </w:numPr>
        <w:spacing w:after="60"/>
      </w:pPr>
      <w:r>
        <w:t xml:space="preserve">Pascarella A.E., Coppola A., Marrone S., Chirone R., Sansone C., Salatino P. (2025). Critical assessment of machine learning prediction of biomass pyrolysis. Fuel 394, 135000.</w:t>
      </w:r>
    </w:p>
    <w:p>
      <w:pPr>
        <w:pStyle w:val="ListParagraph"/>
        <w:numPr>
          <w:ilvl w:val="0"/>
          <w:numId w:val="6"/>
        </w:numPr>
        <w:spacing w:after="60"/>
      </w:pPr>
      <w:r>
        <w:t xml:space="preserve">Aye H.Y., Scala F., Stepanec L., Zin Lin O., Juchelkova D. (2026). Mechanistic machine learning for biomass pyrolysis. Energy Conversion and Management: X. Dataset: Zenodo 10.5281/zenodo.19205977.</w:t>
      </w:r>
    </w:p>
    <w:p>
      <w:pPr>
        <w:pStyle w:val="ListParagraph"/>
        <w:numPr>
          <w:ilvl w:val="0"/>
          <w:numId w:val="6"/>
        </w:numPr>
        <w:spacing w:after="60"/>
      </w:pPr>
      <w:r>
        <w:t xml:space="preserve">da Costa et al. (2027). Artificial intelligence in biomass pyrolysis: a structured synthesis of modeling practices, performance and research gaps. Biomass and Bioenergy 216, 109717.</w:t>
      </w:r>
    </w:p>
    <w:p>
      <w:pPr>
        <w:pStyle w:val="ListParagraph"/>
        <w:numPr>
          <w:ilvl w:val="0"/>
          <w:numId w:val="6"/>
        </w:numPr>
        <w:spacing w:after="60"/>
      </w:pPr>
      <w:r>
        <w:t xml:space="preserve">Chan W.R., Kelbon M., Krieger B.B. (1985). Modelling and experimental verification of physical and chemical processes during pyrolysis of a large biomass particle. Fuel 64, 1505–1513.</w:t>
      </w:r>
    </w:p>
    <w:p>
      <w:pPr>
        <w:pStyle w:val="ListParagraph"/>
        <w:numPr>
          <w:ilvl w:val="0"/>
          <w:numId w:val="6"/>
        </w:numPr>
        <w:spacing w:after="60"/>
      </w:pPr>
      <w:r>
        <w:t xml:space="preserve">Ren S., Wu S., Weng Q. (2023). Physics-informed machine learning methods for biomass gasification modeling by considering monotonic relationships. Bioresource Technology, 10.1016/j.biortech.2022.128472.</w:t>
      </w:r>
    </w:p>
    <w:p>
      <w:pPr>
        <w:pStyle w:val="ListParagraph"/>
        <w:numPr>
          <w:ilvl w:val="0"/>
          <w:numId w:val="6"/>
        </w:numPr>
        <w:spacing w:after="60"/>
      </w:pPr>
      <w:r>
        <w:t xml:space="preserve">Tang Q. et al. (2020). Prediction of bio-oil yield and hydrogen contents based on machine learning method. Energy &amp; Fuels 34(9), 11050–11060.</w:t>
      </w:r>
    </w:p>
    <w:p>
      <w:pPr>
        <w:pStyle w:val="Heading1"/>
      </w:pPr>
      <w:r>
        <w:t xml:space="preserve">Appendix: 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shd w:fill="DCE6F1" w:color="auto" w:val="clear"/>
            <w:tcMar>
              <w:top w:type="dxa" w:w="60"/>
              <w:left w:type="dxa" w:w="100"/>
              <w:bottom w:type="dxa" w:w="60"/>
              <w:right w:type="dxa" w:w="100"/>
            </w:tcMar>
          </w:tcPr>
          <w:p>
            <w:r>
              <w:rPr>
                <w:b/>
                <w:bCs/>
                <w:sz w:val="19"/>
                <w:szCs w:val="19"/>
              </w:rPr>
              <w:t xml:space="preserve">Folder / file</w:t>
            </w:r>
          </w:p>
        </w:tc>
        <w:tc>
          <w:tcPr>
            <w:tcW w:type="dxa" w:w="6238"/>
            <w:shd w:fill="DCE6F1" w:color="auto" w:val="clear"/>
            <w:tcMar>
              <w:top w:type="dxa" w:w="60"/>
              <w:left w:type="dxa" w:w="100"/>
              <w:bottom w:type="dxa" w:w="60"/>
              <w:right w:type="dxa" w:w="100"/>
            </w:tcMar>
          </w:tcPr>
          <w:p>
            <w:r>
              <w:rPr>
                <w:b/>
                <w:bCs/>
                <w:sz w:val="19"/>
                <w:szCs w:val="19"/>
              </w:rPr>
              <w:t xml:space="preserve">Contents</w:t>
            </w:r>
          </w:p>
        </w:tc>
      </w:tr>
      <w:tr>
        <w:trPr>
          <w:tblHeader w:val="false"/>
        </w:trPr>
        <w:tc>
          <w:tcPr>
            <w:tcW w:type="dxa" w:w="3400"/>
            <w:tcMar>
              <w:top w:type="dxa" w:w="60"/>
              <w:left w:type="dxa" w:w="100"/>
              <w:bottom w:type="dxa" w:w="60"/>
              <w:right w:type="dxa" w:w="100"/>
            </w:tcMar>
          </w:tcPr>
          <w:p>
            <w:r>
              <w:rPr>
                <w:sz w:val="19"/>
                <w:szCs w:val="19"/>
              </w:rPr>
              <w:t xml:space="preserve">data_raw/</w:t>
            </w:r>
          </w:p>
        </w:tc>
        <w:tc>
          <w:tcPr>
            <w:tcW w:type="dxa" w:w="6238"/>
            <w:tcMar>
              <w:top w:type="dxa" w:w="60"/>
              <w:left w:type="dxa" w:w="100"/>
              <w:bottom w:type="dxa" w:w="60"/>
              <w:right w:type="dxa" w:w="100"/>
            </w:tcMar>
          </w:tcPr>
          <w:p>
            <w:r>
              <w:rPr>
                <w:sz w:val="19"/>
                <w:szCs w:val="19"/>
              </w:rPr>
              <w:t xml:space="preserve">Original datasets, untouched</w:t>
            </w:r>
          </w:p>
        </w:tc>
      </w:tr>
      <w:tr>
        <w:trPr>
          <w:tblHeader w:val="false"/>
        </w:trPr>
        <w:tc>
          <w:tcPr>
            <w:tcW w:type="dxa" w:w="3400"/>
            <w:tcMar>
              <w:top w:type="dxa" w:w="60"/>
              <w:left w:type="dxa" w:w="100"/>
              <w:bottom w:type="dxa" w:w="60"/>
              <w:right w:type="dxa" w:w="100"/>
            </w:tcMar>
          </w:tcPr>
          <w:p>
            <w:r>
              <w:rPr>
                <w:sz w:val="19"/>
                <w:szCs w:val="19"/>
              </w:rPr>
              <w:t xml:space="preserve">data_clean/</w:t>
            </w:r>
          </w:p>
        </w:tc>
        <w:tc>
          <w:tcPr>
            <w:tcW w:type="dxa" w:w="6238"/>
            <w:tcMar>
              <w:top w:type="dxa" w:w="60"/>
              <w:left w:type="dxa" w:w="100"/>
              <w:bottom w:type="dxa" w:w="60"/>
              <w:right w:type="dxa" w:w="100"/>
            </w:tcMar>
          </w:tcPr>
          <w:p>
            <w:r>
              <w:rPr>
                <w:sz w:val="19"/>
                <w:szCs w:val="19"/>
              </w:rPr>
              <w:t xml:space="preserve">Cleaned D1b (O/C) and D3 (yield) with biomass group IDs</w:t>
            </w:r>
          </w:p>
        </w:tc>
      </w:tr>
      <w:tr>
        <w:trPr>
          <w:tblHeader w:val="false"/>
        </w:trPr>
        <w:tc>
          <w:tcPr>
            <w:tcW w:type="dxa" w:w="3400"/>
            <w:tcMar>
              <w:top w:type="dxa" w:w="60"/>
              <w:left w:type="dxa" w:w="100"/>
              <w:bottom w:type="dxa" w:w="60"/>
              <w:right w:type="dxa" w:w="100"/>
            </w:tcMar>
          </w:tcPr>
          <w:p>
            <w:r>
              <w:rPr>
                <w:sz w:val="19"/>
                <w:szCs w:val="19"/>
              </w:rPr>
              <w:t xml:space="preserve">src/01_clean.py</w:t>
            </w:r>
          </w:p>
        </w:tc>
        <w:tc>
          <w:tcPr>
            <w:tcW w:type="dxa" w:w="6238"/>
            <w:tcMar>
              <w:top w:type="dxa" w:w="60"/>
              <w:left w:type="dxa" w:w="100"/>
              <w:bottom w:type="dxa" w:w="60"/>
              <w:right w:type="dxa" w:w="100"/>
            </w:tcMar>
          </w:tcPr>
          <w:p>
            <w:r>
              <w:rPr>
                <w:sz w:val="19"/>
                <w:szCs w:val="19"/>
              </w:rPr>
              <w:t xml:space="preserve">Cleaning and near-duplicate grouping</w:t>
            </w:r>
          </w:p>
        </w:tc>
      </w:tr>
      <w:tr>
        <w:trPr>
          <w:tblHeader w:val="false"/>
        </w:trPr>
        <w:tc>
          <w:tcPr>
            <w:tcW w:type="dxa" w:w="3400"/>
            <w:tcMar>
              <w:top w:type="dxa" w:w="60"/>
              <w:left w:type="dxa" w:w="100"/>
              <w:bottom w:type="dxa" w:w="60"/>
              <w:right w:type="dxa" w:w="100"/>
            </w:tcMar>
          </w:tcPr>
          <w:p>
            <w:r>
              <w:rPr>
                <w:sz w:val="19"/>
                <w:szCs w:val="19"/>
              </w:rPr>
              <w:t xml:space="preserve">src/features.py</w:t>
            </w:r>
          </w:p>
        </w:tc>
        <w:tc>
          <w:tcPr>
            <w:tcW w:type="dxa" w:w="6238"/>
            <w:tcMar>
              <w:top w:type="dxa" w:w="60"/>
              <w:left w:type="dxa" w:w="100"/>
              <w:bottom w:type="dxa" w:w="60"/>
              <w:right w:type="dxa" w:w="100"/>
            </w:tcMar>
          </w:tcPr>
          <w:p>
            <w:r>
              <w:rPr>
                <w:sz w:val="19"/>
                <w:szCs w:val="19"/>
              </w:rPr>
              <w:t xml:space="preserve">Physics features (heat transfer, kinetics, molar ratios)</w:t>
            </w:r>
          </w:p>
        </w:tc>
      </w:tr>
      <w:tr>
        <w:trPr>
          <w:tblHeader w:val="false"/>
        </w:trPr>
        <w:tc>
          <w:tcPr>
            <w:tcW w:type="dxa" w:w="3400"/>
            <w:tcMar>
              <w:top w:type="dxa" w:w="60"/>
              <w:left w:type="dxa" w:w="100"/>
              <w:bottom w:type="dxa" w:w="60"/>
              <w:right w:type="dxa" w:w="100"/>
            </w:tcMar>
          </w:tcPr>
          <w:p>
            <w:r>
              <w:rPr>
                <w:sz w:val="19"/>
                <w:szCs w:val="19"/>
              </w:rPr>
              <w:t xml:space="preserve">src/02_leakage_study.py</w:t>
            </w:r>
          </w:p>
        </w:tc>
        <w:tc>
          <w:tcPr>
            <w:tcW w:type="dxa" w:w="6238"/>
            <w:tcMar>
              <w:top w:type="dxa" w:w="60"/>
              <w:left w:type="dxa" w:w="100"/>
              <w:bottom w:type="dxa" w:w="60"/>
              <w:right w:type="dxa" w:w="100"/>
            </w:tcMar>
          </w:tcPr>
          <w:p>
            <w:r>
              <w:rPr>
                <w:sz w:val="19"/>
                <w:szCs w:val="19"/>
              </w:rPr>
              <w:t xml:space="preserve">Part A: random vs grouped testing</w:t>
            </w:r>
          </w:p>
        </w:tc>
      </w:tr>
      <w:tr>
        <w:trPr>
          <w:tblHeader w:val="false"/>
        </w:trPr>
        <w:tc>
          <w:tcPr>
            <w:tcW w:type="dxa" w:w="3400"/>
            <w:tcMar>
              <w:top w:type="dxa" w:w="60"/>
              <w:left w:type="dxa" w:w="100"/>
              <w:bottom w:type="dxa" w:w="60"/>
              <w:right w:type="dxa" w:w="100"/>
            </w:tcMar>
          </w:tcPr>
          <w:p>
            <w:r>
              <w:rPr>
                <w:sz w:val="19"/>
                <w:szCs w:val="19"/>
              </w:rPr>
              <w:t xml:space="preserve">src/05, 06</w:t>
            </w:r>
          </w:p>
        </w:tc>
        <w:tc>
          <w:tcPr>
            <w:tcW w:type="dxa" w:w="6238"/>
            <w:tcMar>
              <w:top w:type="dxa" w:w="60"/>
              <w:left w:type="dxa" w:w="100"/>
              <w:bottom w:type="dxa" w:w="60"/>
              <w:right w:type="dxa" w:w="100"/>
            </w:tcMar>
          </w:tcPr>
          <w:p>
            <w:r>
              <w:rPr>
                <w:sz w:val="19"/>
                <w:szCs w:val="19"/>
              </w:rPr>
              <w:t xml:space="preserve">Model selection for O/C and yield</w:t>
            </w:r>
          </w:p>
        </w:tc>
      </w:tr>
      <w:tr>
        <w:trPr>
          <w:tblHeader w:val="false"/>
        </w:trPr>
        <w:tc>
          <w:tcPr>
            <w:tcW w:type="dxa" w:w="3400"/>
            <w:tcMar>
              <w:top w:type="dxa" w:w="60"/>
              <w:left w:type="dxa" w:w="100"/>
              <w:bottom w:type="dxa" w:w="60"/>
              <w:right w:type="dxa" w:w="100"/>
            </w:tcMar>
          </w:tcPr>
          <w:p>
            <w:r>
              <w:rPr>
                <w:sz w:val="19"/>
                <w:szCs w:val="19"/>
              </w:rPr>
              <w:t xml:space="preserve">src/07_final_advisor.py</w:t>
            </w:r>
          </w:p>
        </w:tc>
        <w:tc>
          <w:tcPr>
            <w:tcW w:type="dxa" w:w="6238"/>
            <w:tcMar>
              <w:top w:type="dxa" w:w="60"/>
              <w:left w:type="dxa" w:w="100"/>
              <w:bottom w:type="dxa" w:w="60"/>
              <w:right w:type="dxa" w:w="100"/>
            </w:tcMar>
          </w:tcPr>
          <w:p>
            <w:r>
              <w:rPr>
                <w:sz w:val="19"/>
                <w:szCs w:val="19"/>
              </w:rPr>
              <w:t xml:space="preserve">Part B: final models, uncertainty, calibration, case studies, advisor</w:t>
            </w:r>
          </w:p>
        </w:tc>
      </w:tr>
      <w:tr>
        <w:trPr>
          <w:tblHeader w:val="false"/>
        </w:trPr>
        <w:tc>
          <w:tcPr>
            <w:tcW w:type="dxa" w:w="3400"/>
            <w:tcMar>
              <w:top w:type="dxa" w:w="60"/>
              <w:left w:type="dxa" w:w="100"/>
              <w:bottom w:type="dxa" w:w="60"/>
              <w:right w:type="dxa" w:w="100"/>
            </w:tcMar>
          </w:tcPr>
          <w:p>
            <w:r>
              <w:rPr>
                <w:sz w:val="19"/>
                <w:szCs w:val="19"/>
              </w:rPr>
              <w:t xml:space="preserve">results/</w:t>
            </w:r>
          </w:p>
        </w:tc>
        <w:tc>
          <w:tcPr>
            <w:tcW w:type="dxa" w:w="6238"/>
            <w:tcMar>
              <w:top w:type="dxa" w:w="60"/>
              <w:left w:type="dxa" w:w="100"/>
              <w:bottom w:type="dxa" w:w="60"/>
              <w:right w:type="dxa" w:w="100"/>
            </w:tcMar>
          </w:tcPr>
          <w:p>
            <w:r>
              <w:rPr>
                <w:sz w:val="19"/>
                <w:szCs w:val="19"/>
              </w:rPr>
              <w:t xml:space="preserve">All tables (CSV/JSON) and figures</w:t>
            </w:r>
          </w:p>
        </w:tc>
      </w:tr>
      <w:tr>
        <w:trPr>
          <w:tblHeader w:val="false"/>
        </w:trPr>
        <w:tc>
          <w:tcPr>
            <w:tcW w:type="dxa" w:w="3400"/>
            <w:tcMar>
              <w:top w:type="dxa" w:w="60"/>
              <w:left w:type="dxa" w:w="100"/>
              <w:bottom w:type="dxa" w:w="60"/>
              <w:right w:type="dxa" w:w="100"/>
            </w:tcMar>
          </w:tcPr>
          <w:p>
            <w:r>
              <w:rPr>
                <w:sz w:val="19"/>
                <w:szCs w:val="19"/>
              </w:rPr>
              <w:t xml:space="preserve">models/</w:t>
            </w:r>
          </w:p>
        </w:tc>
        <w:tc>
          <w:tcPr>
            <w:tcW w:type="dxa" w:w="6238"/>
            <w:tcMar>
              <w:top w:type="dxa" w:w="60"/>
              <w:left w:type="dxa" w:w="100"/>
              <w:bottom w:type="dxa" w:w="60"/>
              <w:right w:type="dxa" w:w="100"/>
            </w:tcMar>
          </w:tcPr>
          <w:p>
            <w:r>
              <w:rPr>
                <w:sz w:val="19"/>
                <w:szCs w:val="19"/>
              </w:rPr>
              <w:t xml:space="preserve">Saved final models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Physics-Aware ML for Bio-Oil Pyrolysis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4"/>
      </w:pBd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c77bc382c3cacbd71a9119921077a2688f98ab.png"/><Relationship Id="rId9" Type="http://schemas.openxmlformats.org/officeDocument/2006/relationships/image" Target="media/24b8051076444d840a3513ba88735e8a69ce4f8d.png"/><Relationship Id="rId10" Type="http://schemas.openxmlformats.org/officeDocument/2006/relationships/image" Target="media/f09e41a902ac1b2a760cc808748c25daf73653e5.png"/><Relationship Id="rId11" Type="http://schemas.openxmlformats.org/officeDocument/2006/relationships/image" Target="media/fd8b0f0803ee65d25901fdea6716e77bd3005273.png"/><Relationship Id="rId12" Type="http://schemas.openxmlformats.org/officeDocument/2006/relationships/image" Target="media/52274d8c8efa5d737a448b48f2bb3a7d91e9566e.png"/><Relationship Id="rId13" Type="http://schemas.openxmlformats.org/officeDocument/2006/relationships/image" Target="media/344e51fc6ce02339f51901412d6f9a73ee236ed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Machine Learning for Bio-Oil Pyrolysis</dc:title>
  <dc:creator>Umasuthan Palaniappan</dc:creator>
  <cp:lastModifiedBy>Un-named</cp:lastModifiedBy>
  <cp:revision>1</cp:revision>
  <dcterms:created xsi:type="dcterms:W3CDTF">2026-10-10T05:06:01.585Z</dcterms:created>
  <dcterms:modified xsi:type="dcterms:W3CDTF">2026-10-10T05:06:01.592Z</dcterms:modified>
</cp:coreProperties>
</file>

<file path=docProps/custom.xml><?xml version="1.0" encoding="utf-8"?>
<Properties xmlns="http://schemas.openxmlformats.org/officeDocument/2006/custom-properties" xmlns:vt="http://schemas.openxmlformats.org/officeDocument/2006/docPropsVTypes"/>
</file>