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The abstract will not be longer than one page</w:t>
      </w:r>
      <w:r w:rsidR="00E016F7" w:rsidRPr="00CB57DE">
        <w:rPr>
          <w:rFonts w:asciiTheme="minorHAnsi" w:hAnsiTheme="minorHAnsi" w:cstheme="minorHAnsi"/>
          <w:color w:val="000000" w:themeColor="text1"/>
          <w:szCs w:val="22"/>
        </w:rPr>
        <w:t xml:space="preserve"> )</w:t>
      </w:r>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12 )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my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9A127F">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End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488EA30A"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w:t>
      </w:r>
      <w:r w:rsidR="003E6C0F">
        <w:t xml:space="preserve"> </w:t>
      </w:r>
      <w:r w:rsidRPr="00063C91">
        <w:t>Hence, readmission prediction in hospitals has become one of the key areas of ML application in clinical practice with growing attention to interpretability.</w:t>
      </w:r>
    </w:p>
    <w:p w14:paraId="7EF6132F" w14:textId="345CA069" w:rsidR="003E6C0F" w:rsidRDefault="00C35BCF" w:rsidP="00063C91">
      <w:pPr>
        <w:pStyle w:val="BodyText"/>
        <w:spacing w:before="240"/>
      </w:pPr>
      <w:r w:rsidRPr="00C35BCF">
        <w:t xml:space="preserve">There have been several studies that used this dataset to build models for predicting 30-day readmissions directly. Specifically, </w:t>
      </w:r>
      <w:r w:rsidR="002B3446">
        <w:rPr>
          <w:noProof/>
        </w:rPr>
        <w:t>Emi-Johnson OG N. K. (2025)</w:t>
      </w:r>
      <w:r w:rsidRPr="00C35BCF">
        <w:t xml:space="preserve"> performed the analysis of UCI diabetes dataset by splitting it into 80% training and 20% testing with ROC-AUC scores of 0.667 for </w:t>
      </w:r>
      <w:proofErr w:type="spellStart"/>
      <w:r w:rsidRPr="00C35BCF">
        <w:t>XGBoost</w:t>
      </w:r>
      <w:proofErr w:type="spellEnd"/>
      <w:r w:rsidRPr="00C35BCF">
        <w:t xml:space="preserve">, 0.642 for logistic regression, 0.630 for random forest and 0.579 for deep neural network. These results were interpreted using SHAP. This study serves as a good benchmarking point but the design of their study cannot guarantee patients' separation. As the source dataset has repeated observations of each patient, the split into random observations may include patients' data into both </w:t>
      </w:r>
      <w:r w:rsidRPr="00C35BCF">
        <w:lastRenderedPageBreak/>
        <w:t>training and testing datasets.</w:t>
      </w:r>
      <w:r w:rsidR="002B3446">
        <w:t xml:space="preserve"> </w:t>
      </w:r>
      <w:r w:rsidR="0091044B">
        <w:rPr>
          <w:noProof/>
        </w:rPr>
        <w:t>Liu VB (2024)</w:t>
      </w:r>
      <w:r w:rsidR="002B3446" w:rsidRPr="002B3446">
        <w:t xml:space="preserve"> likewise </w:t>
      </w:r>
      <w:r w:rsidR="0091044B" w:rsidRPr="002B3446">
        <w:t>works</w:t>
      </w:r>
      <w:r w:rsidR="002B3446" w:rsidRPr="002B3446">
        <w:t xml:space="preserve"> on the diabetes readmission dataset from the UCI and </w:t>
      </w:r>
      <w:r w:rsidR="0091044B" w:rsidRPr="002B3446">
        <w:t>has</w:t>
      </w:r>
      <w:r w:rsidR="002B3446" w:rsidRPr="002B3446">
        <w:t xml:space="preserve"> found about 0.64 AUROC for </w:t>
      </w:r>
      <w:proofErr w:type="spellStart"/>
      <w:r w:rsidR="002B3446" w:rsidRPr="002B3446">
        <w:t>XGBoost</w:t>
      </w:r>
      <w:proofErr w:type="spellEnd"/>
      <w:r w:rsidR="002B3446" w:rsidRPr="002B3446">
        <w:t xml:space="preserve">, while the logistic regression and random forest algorithms follow suit. In their methodology, they employ feature selection, resampling, and employ grouped folds to ensure that all entries belonging to the same patient appear in </w:t>
      </w:r>
      <w:r w:rsidR="0091044B" w:rsidRPr="002B3446">
        <w:t>one-fold</w:t>
      </w:r>
      <w:r w:rsidR="002B3446" w:rsidRPr="002B3446">
        <w:t>. From a methodological perspective, this is relevant since it takes into account the within-patient dependence. Nonetheless, their focus is mainly on the classification task and not on the combination of analysis elements provided herein. Careful comparisons should be made due to the fact that feature selection, synthetic oversampling, folds design, and the holdout method affect the result.</w:t>
      </w:r>
    </w:p>
    <w:p w14:paraId="52CE45D0" w14:textId="77777777" w:rsidR="00BE036B" w:rsidRDefault="00063C91" w:rsidP="00063C91">
      <w:pPr>
        <w:pStyle w:val="BodyText"/>
        <w:spacing w:before="240"/>
      </w:pPr>
      <w:r w:rsidRPr="00063C91">
        <w:t>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w:t>
      </w:r>
      <w:r w:rsidRPr="00063C91">
        <w:lastRenderedPageBreak/>
        <w:t xml:space="preserve">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lastRenderedPageBreak/>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180 day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w:t>
      </w:r>
      <w:r w:rsidRPr="00E15912">
        <w:lastRenderedPageBreak/>
        <w:t xml:space="preserve">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 xml:space="preserve">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w:t>
      </w:r>
      <w:r>
        <w:lastRenderedPageBreak/>
        <w:t>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 xml:space="preserve">Prediction models can influence access to limited resources, the scheduling of follow-ups, and how much attention is paid. An ethical assessment will have to address the issues of data reduction, secure handling, clear limitations, subgroup testing, human involvement, and post-deployment </w:t>
      </w:r>
      <w:r w:rsidRPr="00CE08EA">
        <w:lastRenderedPageBreak/>
        <w:t>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t>Research Gap</w:t>
      </w:r>
    </w:p>
    <w:p w14:paraId="79D60C48" w14:textId="4FBEBA69" w:rsidR="00C62554" w:rsidRDefault="0040260D" w:rsidP="002A1670">
      <w:pPr>
        <w:pStyle w:val="BodyText"/>
      </w:pPr>
      <w:r w:rsidRPr="0040260D">
        <w:t xml:space="preserve">The literature review indicates that 30-day readmission prediction was performed with statistical, machine learning, and clinical scores. Explanation and fairness metrics were also considered. Emi-Johnson et al. report results of multiple models along with SHAP, while Liu reports group-level validation due to patients' repetition. A further gap concerns the way how models are evaluated. The metric of discrimination does not indicate whether the predicted probabilities are valid, what readmission identification capacity of the model is across subgroups, and whether its explanations are stable. Fairness and explainability studies covered in literature are essential to answer some of the questions mentioned above. But the results of these studies do not allow concluding that the selected model outperforms other options according to all the criteria mentioned above simultaneously. That is why the paper evaluates penalised logistic regression, Explainable Boosting Machine (EBM), </w:t>
      </w:r>
      <w:proofErr w:type="spellStart"/>
      <w:r w:rsidRPr="0040260D">
        <w:t>XGBoost</w:t>
      </w:r>
      <w:proofErr w:type="spellEnd"/>
      <w:r w:rsidRPr="0040260D">
        <w:t xml:space="preserve"> and modified LACE score in terms of ROC-AUC and PR-AUC, probability calibration, sub-group performance by age, gender, and race, bootstrap confidence intervals of sub-group true positive rates, and </w:t>
      </w:r>
      <w:proofErr w:type="spellStart"/>
      <w:r w:rsidRPr="0040260D">
        <w:t>XGBoost</w:t>
      </w:r>
      <w:proofErr w:type="spellEnd"/>
      <w:r w:rsidRPr="0040260D">
        <w:t xml:space="preserve"> explanation stability.</w:t>
      </w:r>
    </w:p>
    <w:p w14:paraId="2D1D8B2C" w14:textId="42A3EBD4" w:rsidR="00AA7834" w:rsidRPr="002A1670" w:rsidRDefault="00AA7834" w:rsidP="002A1670">
      <w:pPr>
        <w:pStyle w:val="BodyText"/>
      </w:pPr>
      <w:r w:rsidRPr="00AA7834">
        <w:t xml:space="preserve">The study also looks at fairness interventions through threshold decisions and reweighting by subgroups. It becomes clear why such methods have to be looked at as </w:t>
      </w:r>
      <w:r w:rsidRPr="00AA7834">
        <w:t>trade-offs</w:t>
      </w:r>
      <w:r w:rsidRPr="00AA7834">
        <w:t xml:space="preserve"> because their impacts did not uniformly apply to demographic subgroups and metrics of performance. The value of the study is in its combined analysis within the framework of literature </w:t>
      </w:r>
      <w:r w:rsidRPr="00AA7834">
        <w:t>analysed</w:t>
      </w:r>
      <w:r w:rsidRPr="00AA7834">
        <w:t xml:space="preserve"> here, rather than the novelty of any of the methods or measures used.</w:t>
      </w:r>
    </w:p>
    <w:bookmarkEnd w:id="30"/>
    <w:bookmarkEnd w:id="31"/>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lastRenderedPageBreak/>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45D7C48F" w14:textId="0AEA71AB" w:rsidR="007659E0" w:rsidRPr="00CB57DE" w:rsidRDefault="00477421" w:rsidP="00E8361F">
      <w:pPr>
        <w:pStyle w:val="BodyText"/>
        <w:jc w:val="both"/>
        <w:rPr>
          <w:rFonts w:asciiTheme="minorHAnsi" w:hAnsiTheme="minorHAnsi" w:cstheme="minorHAnsi"/>
          <w:color w:val="000000" w:themeColor="text1"/>
        </w:rPr>
      </w:pPr>
      <w:r w:rsidRPr="00477421">
        <w:rPr>
          <w:rFonts w:asciiTheme="minorHAnsi" w:hAnsiTheme="minorHAnsi" w:cstheme="minorHAnsi"/>
          <w:color w:val="000000" w:themeColor="text1"/>
        </w:rPr>
        <w:t xml:space="preserve">The study is computational and uses the publicly available “Diabetes 130-US Hospitals” dataset, which captures the inpatient treatment of diabetes for 130 US hospitals and integrated delivery networks between 1999 and 2008. This study does not take place at a participating hospital and involves neither patient </w:t>
      </w:r>
      <w:r w:rsidRPr="00477421">
        <w:rPr>
          <w:rFonts w:asciiTheme="minorHAnsi" w:hAnsiTheme="minorHAnsi" w:cstheme="minorHAnsi"/>
          <w:color w:val="000000" w:themeColor="text1"/>
        </w:rPr>
        <w:t>enrolment</w:t>
      </w:r>
      <w:r w:rsidRPr="00477421">
        <w:rPr>
          <w:rFonts w:asciiTheme="minorHAnsi" w:hAnsiTheme="minorHAnsi" w:cstheme="minorHAnsi"/>
          <w:color w:val="000000" w:themeColor="text1"/>
        </w:rPr>
        <w:t xml:space="preserve"> nor intervention. There are 101,766 observations and 50 variables, including identifiers, demographics, diagnoses, medications, encounter characteristics and readmission status. </w:t>
      </w:r>
      <w:r w:rsidR="00C25527">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00C25527" w:rsidRPr="00C25527">
        <w:rPr>
          <w:rFonts w:asciiTheme="minorHAnsi" w:hAnsiTheme="minorHAnsi" w:cstheme="minorHAnsi"/>
          <w:color w:val="000000" w:themeColor="text1"/>
        </w:rPr>
        <w:t>.</w:t>
      </w: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6C38E05D" w14:textId="65F8C228" w:rsidR="009F6E2E" w:rsidRDefault="009F6E2E" w:rsidP="00AB729D">
      <w:pPr>
        <w:pStyle w:val="BodyText"/>
        <w:jc w:val="both"/>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133D6781" wp14:editId="623C5913">
            <wp:extent cx="6007895" cy="1104900"/>
            <wp:effectExtent l="0" t="0" r="0" b="0"/>
            <wp:docPr id="57755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0965" b="35430"/>
                    <a:stretch>
                      <a:fillRect/>
                    </a:stretch>
                  </pic:blipFill>
                  <pic:spPr bwMode="auto">
                    <a:xfrm>
                      <a:off x="0" y="0"/>
                      <a:ext cx="6016711" cy="1106521"/>
                    </a:xfrm>
                    <a:prstGeom prst="rect">
                      <a:avLst/>
                    </a:prstGeom>
                    <a:noFill/>
                    <a:ln>
                      <a:noFill/>
                    </a:ln>
                    <a:extLst>
                      <a:ext uri="{53640926-AAD7-44D8-BBD7-CCE9431645EC}">
                        <a14:shadowObscured xmlns:a14="http://schemas.microsoft.com/office/drawing/2010/main"/>
                      </a:ext>
                    </a:extLst>
                  </pic:spPr>
                </pic:pic>
              </a:graphicData>
            </a:graphic>
          </wp:inline>
        </w:drawing>
      </w:r>
    </w:p>
    <w:p w14:paraId="5CFD0106" w14:textId="4F8833C3" w:rsidR="00E8361F" w:rsidRPr="00E8361F" w:rsidRDefault="00E8361F" w:rsidP="00E8361F">
      <w:pPr>
        <w:pStyle w:val="Caption"/>
        <w:rPr>
          <w:color w:val="000000" w:themeColor="text1"/>
        </w:rPr>
      </w:pPr>
      <w:r w:rsidRPr="00E8361F">
        <w:t xml:space="preserve">Figure </w:t>
      </w:r>
      <w:r w:rsidRPr="00E8361F">
        <w:fldChar w:fldCharType="begin"/>
      </w:r>
      <w:r w:rsidRPr="00E8361F">
        <w:instrText xml:space="preserve"> SEQ Figure \* ARABIC </w:instrText>
      </w:r>
      <w:r w:rsidRPr="00E8361F">
        <w:fldChar w:fldCharType="separate"/>
      </w:r>
      <w:r w:rsidR="005A061A">
        <w:t>1</w:t>
      </w:r>
      <w:r w:rsidRPr="00E8361F">
        <w:fldChar w:fldCharType="end"/>
      </w:r>
      <w:r w:rsidRPr="00E8361F">
        <w:t>: Cohort construction and patient-disjoint evaluation workflow</w:t>
      </w:r>
    </w:p>
    <w:p w14:paraId="0E22837D" w14:textId="02775FC1" w:rsidR="00AB729D" w:rsidRDefault="00AB729D" w:rsidP="00E8361F">
      <w:pPr>
        <w:pStyle w:val="Caption"/>
      </w:pPr>
    </w:p>
    <w:p w14:paraId="1F183CCD" w14:textId="77777777" w:rsidR="00E8361F" w:rsidRPr="00E8361F" w:rsidRDefault="00E8361F" w:rsidP="00E8361F">
      <w:pPr>
        <w:pStyle w:val="BodyText"/>
        <w:rPr>
          <w:lang w:val="en-MY"/>
        </w:rPr>
      </w:pPr>
    </w:p>
    <w:p w14:paraId="7DECB240" w14:textId="4132B300" w:rsidR="003551AA"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lastRenderedPageBreak/>
        <w:t>Data collection</w:t>
      </w:r>
      <w:bookmarkEnd w:id="44"/>
      <w:r w:rsidR="00460133">
        <w:rPr>
          <w:rFonts w:asciiTheme="minorHAnsi" w:hAnsiTheme="minorHAnsi" w:cstheme="minorHAnsi"/>
          <w:color w:val="000000" w:themeColor="text1"/>
        </w:rPr>
        <w:t xml:space="preserve"> and Cohort Construction</w:t>
      </w:r>
    </w:p>
    <w:p w14:paraId="1845DC4C" w14:textId="62C1377C" w:rsidR="00460133" w:rsidRDefault="00867847" w:rsidP="00460133">
      <w:pPr>
        <w:pStyle w:val="BodyText"/>
      </w:pPr>
      <w:r w:rsidRPr="00867847">
        <w:t>No new participant data were collected for this project. The original CSV file was imported into pandas. The special character “?” was replaced by missing values. The weight variable was dropped since 96.86% of the original data were missing it. Death and hospice encounters were recognized based on discharge disposition codes 11, 13, 14, 19, 20, and 21. 2,423 death and hospice encounters were removed from the dataset. No duplicates of the encounter ID column were found. The two lowest age categories ([0-10), [10-20)) were dropped from the dataset, resulting in 98,493 encounters. Since the original source only contains age ranges, the age range 18 and above from the original proposal cannot be applied here.</w:t>
      </w:r>
    </w:p>
    <w:tbl>
      <w:tblPr>
        <w:tblStyle w:val="TableGrid"/>
        <w:tblW w:w="0" w:type="auto"/>
        <w:tblLook w:val="04A0" w:firstRow="1" w:lastRow="0" w:firstColumn="1" w:lastColumn="0" w:noHBand="0" w:noVBand="1"/>
      </w:tblPr>
      <w:tblGrid>
        <w:gridCol w:w="2547"/>
        <w:gridCol w:w="2268"/>
        <w:gridCol w:w="4246"/>
      </w:tblGrid>
      <w:tr w:rsidR="00EE63ED" w14:paraId="53E6B5BB" w14:textId="77777777" w:rsidTr="00EE63ED">
        <w:tc>
          <w:tcPr>
            <w:tcW w:w="2547" w:type="dxa"/>
            <w:vAlign w:val="center"/>
          </w:tcPr>
          <w:p w14:paraId="5A17F7CE" w14:textId="0197C11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Cohort step</w:t>
            </w:r>
          </w:p>
        </w:tc>
        <w:tc>
          <w:tcPr>
            <w:tcW w:w="2268" w:type="dxa"/>
            <w:vAlign w:val="center"/>
          </w:tcPr>
          <w:p w14:paraId="648A8787" w14:textId="19753E69"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Encounter count</w:t>
            </w:r>
          </w:p>
        </w:tc>
        <w:tc>
          <w:tcPr>
            <w:tcW w:w="4246" w:type="dxa"/>
            <w:vAlign w:val="center"/>
          </w:tcPr>
          <w:p w14:paraId="317E4340" w14:textId="41E7FFE3" w:rsidR="00EE63ED" w:rsidRPr="00EE63ED" w:rsidRDefault="00EE63ED" w:rsidP="00EE63ED">
            <w:pPr>
              <w:pStyle w:val="BodyText"/>
              <w:jc w:val="center"/>
              <w:rPr>
                <w:rFonts w:asciiTheme="minorHAnsi" w:hAnsiTheme="minorHAnsi" w:cstheme="minorHAnsi"/>
                <w:b/>
                <w:bCs/>
                <w:sz w:val="24"/>
              </w:rPr>
            </w:pPr>
            <w:r w:rsidRPr="00EE63ED">
              <w:rPr>
                <w:rFonts w:asciiTheme="minorHAnsi" w:hAnsiTheme="minorHAnsi" w:cstheme="minorHAnsi"/>
                <w:b/>
                <w:bCs/>
                <w:sz w:val="24"/>
              </w:rPr>
              <w:t>Interpretation</w:t>
            </w:r>
          </w:p>
        </w:tc>
      </w:tr>
      <w:tr w:rsidR="00EE63ED" w14:paraId="58B0CD12" w14:textId="77777777" w:rsidTr="00EE63ED">
        <w:trPr>
          <w:trHeight w:val="456"/>
        </w:trPr>
        <w:tc>
          <w:tcPr>
            <w:tcW w:w="2547" w:type="dxa"/>
            <w:vAlign w:val="center"/>
          </w:tcPr>
          <w:p w14:paraId="54D6ABB6" w14:textId="7C5074B6" w:rsidR="00EE63ED" w:rsidRPr="00EE63ED" w:rsidRDefault="00EE63ED" w:rsidP="00EE63ED">
            <w:pPr>
              <w:pStyle w:val="BodyText"/>
              <w:rPr>
                <w:szCs w:val="22"/>
              </w:rPr>
            </w:pPr>
            <w:r w:rsidRPr="00EE63ED">
              <w:rPr>
                <w:szCs w:val="22"/>
              </w:rPr>
              <w:t>Original dataset</w:t>
            </w:r>
          </w:p>
        </w:tc>
        <w:tc>
          <w:tcPr>
            <w:tcW w:w="2268" w:type="dxa"/>
            <w:vAlign w:val="center"/>
          </w:tcPr>
          <w:p w14:paraId="4A864AB8" w14:textId="359A74BC" w:rsidR="00EE63ED" w:rsidRPr="00EE63ED" w:rsidRDefault="00EE63ED" w:rsidP="00EE63ED">
            <w:pPr>
              <w:pStyle w:val="BodyText"/>
              <w:rPr>
                <w:szCs w:val="22"/>
              </w:rPr>
            </w:pPr>
            <w:r w:rsidRPr="00EE63ED">
              <w:rPr>
                <w:szCs w:val="22"/>
              </w:rPr>
              <w:t>101,766</w:t>
            </w:r>
          </w:p>
        </w:tc>
        <w:tc>
          <w:tcPr>
            <w:tcW w:w="4246" w:type="dxa"/>
            <w:vAlign w:val="center"/>
          </w:tcPr>
          <w:p w14:paraId="1CED5A60" w14:textId="017D2BA3" w:rsidR="00EE63ED" w:rsidRPr="00EE63ED" w:rsidRDefault="00EE63ED" w:rsidP="00EE63ED">
            <w:pPr>
              <w:pStyle w:val="BodyText"/>
              <w:rPr>
                <w:szCs w:val="22"/>
              </w:rPr>
            </w:pPr>
            <w:r w:rsidRPr="00EE63ED">
              <w:rPr>
                <w:szCs w:val="22"/>
              </w:rPr>
              <w:t>All records in the source file.</w:t>
            </w:r>
          </w:p>
        </w:tc>
      </w:tr>
      <w:tr w:rsidR="00EE63ED" w14:paraId="7319166B" w14:textId="77777777" w:rsidTr="00EE63ED">
        <w:tc>
          <w:tcPr>
            <w:tcW w:w="2547" w:type="dxa"/>
            <w:vAlign w:val="center"/>
          </w:tcPr>
          <w:p w14:paraId="11B80E39" w14:textId="39FFCFCD" w:rsidR="00EE63ED" w:rsidRPr="00EE63ED" w:rsidRDefault="00EE63ED" w:rsidP="00EE63ED">
            <w:pPr>
              <w:pStyle w:val="BodyText"/>
              <w:rPr>
                <w:szCs w:val="22"/>
              </w:rPr>
            </w:pPr>
            <w:r w:rsidRPr="00EE63ED">
              <w:rPr>
                <w:szCs w:val="22"/>
              </w:rPr>
              <w:t>Death/hospice exclusions</w:t>
            </w:r>
          </w:p>
        </w:tc>
        <w:tc>
          <w:tcPr>
            <w:tcW w:w="2268" w:type="dxa"/>
            <w:vAlign w:val="center"/>
          </w:tcPr>
          <w:p w14:paraId="5D065CA6" w14:textId="25D3BF2C" w:rsidR="00EE63ED" w:rsidRPr="00EE63ED" w:rsidRDefault="00EE63ED" w:rsidP="00EE63ED">
            <w:pPr>
              <w:pStyle w:val="BodyText"/>
              <w:rPr>
                <w:szCs w:val="22"/>
              </w:rPr>
            </w:pPr>
            <w:r w:rsidRPr="00EE63ED">
              <w:rPr>
                <w:szCs w:val="22"/>
              </w:rPr>
              <w:t>2,423 removed</w:t>
            </w:r>
          </w:p>
        </w:tc>
        <w:tc>
          <w:tcPr>
            <w:tcW w:w="4246" w:type="dxa"/>
            <w:vAlign w:val="center"/>
          </w:tcPr>
          <w:p w14:paraId="581D3222" w14:textId="4759B5CE" w:rsidR="00EE63ED" w:rsidRPr="00EE63ED" w:rsidRDefault="00EE63ED" w:rsidP="00EE63ED">
            <w:pPr>
              <w:pStyle w:val="BodyText"/>
              <w:rPr>
                <w:szCs w:val="22"/>
              </w:rPr>
            </w:pPr>
            <w:r w:rsidRPr="00EE63ED">
              <w:rPr>
                <w:szCs w:val="22"/>
              </w:rPr>
              <w:t>Codes 11, 13, 14, 19, 20, and 21.</w:t>
            </w:r>
          </w:p>
        </w:tc>
      </w:tr>
      <w:tr w:rsidR="00EE63ED" w14:paraId="58B1AC2E" w14:textId="77777777" w:rsidTr="00EE63ED">
        <w:tc>
          <w:tcPr>
            <w:tcW w:w="2547" w:type="dxa"/>
            <w:vAlign w:val="center"/>
          </w:tcPr>
          <w:p w14:paraId="247DFF6F" w14:textId="57A069DD" w:rsidR="00EE63ED" w:rsidRPr="00EE63ED" w:rsidRDefault="00EE63ED" w:rsidP="00EE63ED">
            <w:pPr>
              <w:pStyle w:val="BodyText"/>
              <w:rPr>
                <w:szCs w:val="22"/>
              </w:rPr>
            </w:pPr>
            <w:r w:rsidRPr="00EE63ED">
              <w:rPr>
                <w:szCs w:val="22"/>
              </w:rPr>
              <w:t>Duplicate encounter IDs</w:t>
            </w:r>
          </w:p>
        </w:tc>
        <w:tc>
          <w:tcPr>
            <w:tcW w:w="2268" w:type="dxa"/>
            <w:vAlign w:val="center"/>
          </w:tcPr>
          <w:p w14:paraId="10BD02D8" w14:textId="400A2ECF" w:rsidR="00EE63ED" w:rsidRPr="00EE63ED" w:rsidRDefault="00EE63ED" w:rsidP="00EE63ED">
            <w:pPr>
              <w:pStyle w:val="BodyText"/>
              <w:rPr>
                <w:szCs w:val="22"/>
              </w:rPr>
            </w:pPr>
            <w:r w:rsidRPr="00EE63ED">
              <w:rPr>
                <w:szCs w:val="22"/>
              </w:rPr>
              <w:t>0 removed</w:t>
            </w:r>
          </w:p>
        </w:tc>
        <w:tc>
          <w:tcPr>
            <w:tcW w:w="4246" w:type="dxa"/>
            <w:vAlign w:val="center"/>
          </w:tcPr>
          <w:p w14:paraId="3E22D0D1" w14:textId="61B287C6" w:rsidR="00EE63ED" w:rsidRPr="00EE63ED" w:rsidRDefault="00EE63ED" w:rsidP="00EE63ED">
            <w:pPr>
              <w:pStyle w:val="BodyText"/>
              <w:rPr>
                <w:szCs w:val="22"/>
              </w:rPr>
            </w:pPr>
            <w:r w:rsidRPr="00EE63ED">
              <w:rPr>
                <w:szCs w:val="22"/>
              </w:rPr>
              <w:t>No duplicate encounter IDs in saved output.</w:t>
            </w:r>
          </w:p>
        </w:tc>
      </w:tr>
      <w:tr w:rsidR="00EE63ED" w14:paraId="63CB78F6" w14:textId="77777777" w:rsidTr="00EE63ED">
        <w:tc>
          <w:tcPr>
            <w:tcW w:w="2547" w:type="dxa"/>
            <w:vAlign w:val="center"/>
          </w:tcPr>
          <w:p w14:paraId="33273AC7" w14:textId="190FA933" w:rsidR="00EE63ED" w:rsidRPr="00EE63ED" w:rsidRDefault="00EE63ED" w:rsidP="00EE63ED">
            <w:pPr>
              <w:pStyle w:val="BodyText"/>
              <w:rPr>
                <w:szCs w:val="22"/>
              </w:rPr>
            </w:pPr>
            <w:r w:rsidRPr="00EE63ED">
              <w:rPr>
                <w:szCs w:val="22"/>
              </w:rPr>
              <w:t>Age-band exclusion</w:t>
            </w:r>
          </w:p>
        </w:tc>
        <w:tc>
          <w:tcPr>
            <w:tcW w:w="2268" w:type="dxa"/>
            <w:vAlign w:val="center"/>
          </w:tcPr>
          <w:p w14:paraId="0306A483" w14:textId="08DABD15" w:rsidR="00EE63ED" w:rsidRPr="00EE63ED" w:rsidRDefault="00EE63ED" w:rsidP="00EE63ED">
            <w:pPr>
              <w:pStyle w:val="BodyText"/>
              <w:rPr>
                <w:szCs w:val="22"/>
              </w:rPr>
            </w:pPr>
            <w:r w:rsidRPr="00EE63ED">
              <w:rPr>
                <w:szCs w:val="22"/>
              </w:rPr>
              <w:t>850 removed</w:t>
            </w:r>
          </w:p>
        </w:tc>
        <w:tc>
          <w:tcPr>
            <w:tcW w:w="4246" w:type="dxa"/>
            <w:vAlign w:val="center"/>
          </w:tcPr>
          <w:p w14:paraId="30E1DC41" w14:textId="4A9480E8" w:rsidR="00EE63ED" w:rsidRPr="00EE63ED" w:rsidRDefault="00EE63ED" w:rsidP="00EE63ED">
            <w:pPr>
              <w:pStyle w:val="BodyText"/>
              <w:rPr>
                <w:szCs w:val="22"/>
              </w:rPr>
            </w:pPr>
            <w:r w:rsidRPr="00EE63ED">
              <w:rPr>
                <w:szCs w:val="22"/>
              </w:rPr>
              <w:t>All records in [0–10) and [10–20) excluded; operational cohort is 20+.</w:t>
            </w:r>
          </w:p>
        </w:tc>
      </w:tr>
      <w:tr w:rsidR="00EE63ED" w14:paraId="586CB311" w14:textId="77777777" w:rsidTr="00EE63ED">
        <w:tc>
          <w:tcPr>
            <w:tcW w:w="2547" w:type="dxa"/>
            <w:vAlign w:val="center"/>
          </w:tcPr>
          <w:p w14:paraId="0FEC73ED" w14:textId="3E22198D" w:rsidR="00EE63ED" w:rsidRPr="00EE63ED" w:rsidRDefault="00EE63ED" w:rsidP="00EE63ED">
            <w:pPr>
              <w:pStyle w:val="BodyText"/>
              <w:rPr>
                <w:szCs w:val="22"/>
              </w:rPr>
            </w:pPr>
            <w:r w:rsidRPr="00EE63ED">
              <w:rPr>
                <w:szCs w:val="22"/>
              </w:rPr>
              <w:t>Final cohort</w:t>
            </w:r>
          </w:p>
        </w:tc>
        <w:tc>
          <w:tcPr>
            <w:tcW w:w="2268" w:type="dxa"/>
            <w:vAlign w:val="center"/>
          </w:tcPr>
          <w:p w14:paraId="7D27F68D" w14:textId="3D3B04D3" w:rsidR="00EE63ED" w:rsidRPr="00EE63ED" w:rsidRDefault="00EE63ED" w:rsidP="00EE63ED">
            <w:pPr>
              <w:pStyle w:val="BodyText"/>
              <w:rPr>
                <w:szCs w:val="22"/>
              </w:rPr>
            </w:pPr>
            <w:r w:rsidRPr="00EE63ED">
              <w:rPr>
                <w:szCs w:val="22"/>
              </w:rPr>
              <w:t>98,493</w:t>
            </w:r>
          </w:p>
        </w:tc>
        <w:tc>
          <w:tcPr>
            <w:tcW w:w="4246" w:type="dxa"/>
            <w:vAlign w:val="center"/>
          </w:tcPr>
          <w:p w14:paraId="012A8CEB" w14:textId="1C34DAE3" w:rsidR="00EE63ED" w:rsidRPr="00EE63ED" w:rsidRDefault="00EE63ED" w:rsidP="00EE63ED">
            <w:pPr>
              <w:pStyle w:val="BodyText"/>
              <w:rPr>
                <w:szCs w:val="22"/>
              </w:rPr>
            </w:pPr>
            <w:r w:rsidRPr="00EE63ED">
              <w:rPr>
                <w:szCs w:val="22"/>
              </w:rPr>
              <w:t>11,271 positive labels (11.44%); 87,222 negative labels (88.56%).</w:t>
            </w:r>
          </w:p>
        </w:tc>
      </w:tr>
    </w:tbl>
    <w:p w14:paraId="111211AF" w14:textId="07188C3D" w:rsidR="00867847" w:rsidRDefault="00E9693B" w:rsidP="00E8361F">
      <w:pPr>
        <w:pStyle w:val="Caption"/>
      </w:pPr>
      <w:r>
        <w:t xml:space="preserve">Table </w:t>
      </w:r>
      <w:r>
        <w:fldChar w:fldCharType="begin"/>
      </w:r>
      <w:r>
        <w:instrText xml:space="preserve"> SEQ Table \* ARABIC </w:instrText>
      </w:r>
      <w:r>
        <w:fldChar w:fldCharType="separate"/>
      </w:r>
      <w:r>
        <w:t>1</w:t>
      </w:r>
      <w:r>
        <w:fldChar w:fldCharType="end"/>
      </w:r>
      <w:r>
        <w:t>: Cohort explanation</w:t>
      </w:r>
    </w:p>
    <w:p w14:paraId="0E572C50" w14:textId="1D94ACCC" w:rsidR="001C62D1" w:rsidRDefault="001C62D1" w:rsidP="001C62D1">
      <w:pPr>
        <w:pStyle w:val="BodyText"/>
      </w:pPr>
      <w:r>
        <w:t xml:space="preserve">The final cohort contains repeated patients and there are 71,518 patient identifiers as unique patients among 101,766 encounters and 16,773 patients with more than one encounter in the initial dataset. In the study, </w:t>
      </w:r>
      <w:proofErr w:type="spellStart"/>
      <w:r>
        <w:t>patient_nbr</w:t>
      </w:r>
      <w:proofErr w:type="spellEnd"/>
      <w:r>
        <w:t xml:space="preserve"> was kept solely as a grouping variable, while </w:t>
      </w:r>
      <w:proofErr w:type="spellStart"/>
      <w:r>
        <w:t>encounter_id</w:t>
      </w:r>
      <w:proofErr w:type="spellEnd"/>
      <w:r>
        <w:t xml:space="preserve"> and </w:t>
      </w:r>
      <w:proofErr w:type="spellStart"/>
      <w:r>
        <w:t>patient_nbr</w:t>
      </w:r>
      <w:proofErr w:type="spellEnd"/>
      <w:r>
        <w:t xml:space="preserve"> were not used as features for </w:t>
      </w:r>
      <w:r>
        <w:t>modelling</w:t>
      </w:r>
      <w:r>
        <w:t>.</w:t>
      </w:r>
    </w:p>
    <w:p w14:paraId="414BC424" w14:textId="77777777" w:rsidR="001C62D1" w:rsidRDefault="001C62D1" w:rsidP="001C62D1">
      <w:pPr>
        <w:pStyle w:val="BodyText"/>
      </w:pPr>
      <w:r>
        <w:t>The rationale for exclusion criterion shows a meaningful approach to the problem. Encounters which have death or hospice disposition were excluded because there is no point in comparing conventional 30 days after discharge period for patients who died or went into hospice.</w:t>
      </w:r>
    </w:p>
    <w:p w14:paraId="7E1F18DA" w14:textId="3BAA3CCC" w:rsidR="00833DA6" w:rsidRDefault="001C62D1" w:rsidP="001C62D1">
      <w:pPr>
        <w:pStyle w:val="BodyText"/>
      </w:pPr>
      <w:r>
        <w:t xml:space="preserve">Age exclusion criterion is not just a small detail related to measurements but rather a </w:t>
      </w:r>
      <w:r>
        <w:t>real-life</w:t>
      </w:r>
      <w:r>
        <w:t xml:space="preserve"> issue. As per the proposal, patients over the age of 18 should be included in the sample, but data include large categories [0-10) and [10-20). By excluding [10-20), both 18- and 19-years-old will be excluded, </w:t>
      </w:r>
      <w:r>
        <w:lastRenderedPageBreak/>
        <w:t>while keeping that category in the data implies also retaining children. The chosen criterion can be considered a fair approximation of the intended criterion. The research then uses "age 20 years and over" exclusively.</w:t>
      </w:r>
    </w:p>
    <w:p w14:paraId="18709C72" w14:textId="310865FA" w:rsidR="001C62D1" w:rsidRPr="00460133" w:rsidRDefault="001C62D1" w:rsidP="001C62D1">
      <w:pPr>
        <w:pStyle w:val="BodyText"/>
      </w:pPr>
      <w:r w:rsidRPr="001C62D1">
        <w:t>The race feature contains missing data and imputes missing race as the most frequent category in order to predict with model in some pipelines, while keeping missing race as missing in order to perform subgroup audit. These are two different approaches. In the case of subgroup audit, missing race is reported separately to prevent silent exclusion of encounters, but the model preprocessing strategy may treat missing race differently depending on the estimator.</w:t>
      </w:r>
    </w:p>
    <w:p w14:paraId="1CDD0870" w14:textId="77777777" w:rsidR="00B10CEF" w:rsidRPr="00CB57DE" w:rsidRDefault="00B10CEF" w:rsidP="00B10CEF">
      <w:pPr>
        <w:pStyle w:val="BodyText"/>
        <w:rPr>
          <w:rFonts w:asciiTheme="minorHAnsi" w:hAnsiTheme="minorHAnsi" w:cstheme="minorHAnsi"/>
        </w:rPr>
      </w:pPr>
    </w:p>
    <w:p w14:paraId="25739321" w14:textId="466CCDEF" w:rsidR="00B10CEF" w:rsidRPr="00CB57DE" w:rsidRDefault="00120727" w:rsidP="00B10CEF">
      <w:pPr>
        <w:pStyle w:val="Heading2"/>
        <w:ind w:left="851" w:hanging="851"/>
        <w:jc w:val="both"/>
        <w:rPr>
          <w:rFonts w:asciiTheme="minorHAnsi" w:hAnsiTheme="minorHAnsi" w:cstheme="minorHAnsi"/>
        </w:rPr>
      </w:pPr>
      <w:r>
        <w:t>Data Preparation and Leakage Control</w:t>
      </w:r>
    </w:p>
    <w:p w14:paraId="6906C716" w14:textId="218889E1" w:rsidR="001E460C" w:rsidRDefault="00E8361F" w:rsidP="00216623">
      <w:pPr>
        <w:pStyle w:val="BodyText"/>
        <w:jc w:val="both"/>
        <w:rPr>
          <w:rFonts w:asciiTheme="minorHAnsi" w:hAnsiTheme="minorHAnsi" w:cstheme="minorHAnsi"/>
          <w:color w:val="000000" w:themeColor="text1"/>
        </w:rPr>
      </w:pPr>
      <w:r>
        <w:rPr>
          <w:noProof/>
        </w:rPr>
        <w:drawing>
          <wp:anchor distT="0" distB="0" distL="114300" distR="114300" simplePos="0" relativeHeight="251658240" behindDoc="1" locked="0" layoutInCell="1" allowOverlap="1" wp14:anchorId="138C0A93" wp14:editId="373587E7">
            <wp:simplePos x="0" y="0"/>
            <wp:positionH relativeFrom="margin">
              <wp:align>right</wp:align>
            </wp:positionH>
            <wp:positionV relativeFrom="paragraph">
              <wp:posOffset>2794058</wp:posOffset>
            </wp:positionV>
            <wp:extent cx="2893060" cy="1856105"/>
            <wp:effectExtent l="0" t="0" r="2540" b="0"/>
            <wp:wrapTight wrapText="bothSides">
              <wp:wrapPolygon edited="0">
                <wp:start x="0" y="0"/>
                <wp:lineTo x="0" y="21282"/>
                <wp:lineTo x="21477" y="21282"/>
                <wp:lineTo x="21477" y="0"/>
                <wp:lineTo x="0" y="0"/>
              </wp:wrapPolygon>
            </wp:wrapTight>
            <wp:docPr id="242104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93060" cy="1856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0E7">
        <w:rPr>
          <w:noProof/>
        </w:rPr>
        <w:drawing>
          <wp:anchor distT="0" distB="0" distL="114300" distR="114300" simplePos="0" relativeHeight="251659264" behindDoc="1" locked="0" layoutInCell="1" allowOverlap="1" wp14:anchorId="69C89BFC" wp14:editId="3174FD31">
            <wp:simplePos x="0" y="0"/>
            <wp:positionH relativeFrom="margin">
              <wp:posOffset>-228600</wp:posOffset>
            </wp:positionH>
            <wp:positionV relativeFrom="paragraph">
              <wp:posOffset>2884747</wp:posOffset>
            </wp:positionV>
            <wp:extent cx="2954020" cy="1689735"/>
            <wp:effectExtent l="0" t="0" r="0" b="5715"/>
            <wp:wrapTight wrapText="bothSides">
              <wp:wrapPolygon edited="0">
                <wp:start x="0" y="0"/>
                <wp:lineTo x="0" y="21430"/>
                <wp:lineTo x="21451" y="21430"/>
                <wp:lineTo x="21451" y="0"/>
                <wp:lineTo x="0" y="0"/>
              </wp:wrapPolygon>
            </wp:wrapTight>
            <wp:docPr id="678405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540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99B" w:rsidRPr="00D3599B">
        <w:rPr>
          <w:rFonts w:asciiTheme="minorHAnsi" w:hAnsiTheme="minorHAnsi" w:cstheme="minorHAnsi"/>
          <w:color w:val="000000" w:themeColor="text1"/>
        </w:rPr>
        <w:t>Columns `</w:t>
      </w:r>
      <w:proofErr w:type="spellStart"/>
      <w:r w:rsidR="00D3599B" w:rsidRPr="00D3599B">
        <w:rPr>
          <w:rFonts w:asciiTheme="minorHAnsi" w:hAnsiTheme="minorHAnsi" w:cstheme="minorHAnsi"/>
          <w:color w:val="000000" w:themeColor="text1"/>
        </w:rPr>
        <w:t>encounter_id</w:t>
      </w:r>
      <w:proofErr w:type="spellEnd"/>
      <w:r w:rsidR="00D3599B" w:rsidRPr="00D3599B">
        <w:rPr>
          <w:rFonts w:asciiTheme="minorHAnsi" w:hAnsiTheme="minorHAnsi" w:cstheme="minorHAnsi"/>
          <w:color w:val="000000" w:themeColor="text1"/>
        </w:rPr>
        <w:t>` and `</w:t>
      </w:r>
      <w:proofErr w:type="spellStart"/>
      <w:r w:rsidR="00D3599B" w:rsidRPr="00D3599B">
        <w:rPr>
          <w:rFonts w:asciiTheme="minorHAnsi" w:hAnsiTheme="minorHAnsi" w:cstheme="minorHAnsi"/>
          <w:color w:val="000000" w:themeColor="text1"/>
        </w:rPr>
        <w:t>patient_nbr</w:t>
      </w:r>
      <w:proofErr w:type="spellEnd"/>
      <w:r w:rsidR="00D3599B" w:rsidRPr="00D3599B">
        <w:rPr>
          <w:rFonts w:asciiTheme="minorHAnsi" w:hAnsiTheme="minorHAnsi" w:cstheme="minorHAnsi"/>
          <w:color w:val="000000" w:themeColor="text1"/>
        </w:rPr>
        <w:t xml:space="preserve">` are deleted from predictors. Patient number is stored independently as a grouping variable. All missing symbols `?` are turned into NULL, while `weight` is excluded since there are 98,569 missing values out of 101,766 observations in the source dataset. Missing rates stay very high for </w:t>
      </w:r>
      <w:proofErr w:type="spellStart"/>
      <w:r w:rsidR="00D3599B" w:rsidRPr="00D3599B">
        <w:rPr>
          <w:rFonts w:asciiTheme="minorHAnsi" w:hAnsiTheme="minorHAnsi" w:cstheme="minorHAnsi"/>
          <w:color w:val="000000" w:themeColor="text1"/>
        </w:rPr>
        <w:t>max_glu_serum</w:t>
      </w:r>
      <w:proofErr w:type="spellEnd"/>
      <w:r w:rsidR="00D3599B" w:rsidRPr="00D3599B">
        <w:rPr>
          <w:rFonts w:asciiTheme="minorHAnsi" w:hAnsiTheme="minorHAnsi" w:cstheme="minorHAnsi"/>
          <w:color w:val="000000" w:themeColor="text1"/>
        </w:rPr>
        <w:t xml:space="preserve"> 96,420 (94.75% of the initial sample), A1Cresult 84,748 (83.28%), </w:t>
      </w:r>
      <w:proofErr w:type="spellStart"/>
      <w:r w:rsidR="00D3599B" w:rsidRPr="00D3599B">
        <w:rPr>
          <w:rFonts w:asciiTheme="minorHAnsi" w:hAnsiTheme="minorHAnsi" w:cstheme="minorHAnsi"/>
          <w:color w:val="000000" w:themeColor="text1"/>
        </w:rPr>
        <w:t>medical_specialty</w:t>
      </w:r>
      <w:proofErr w:type="spellEnd"/>
      <w:r w:rsidR="00D3599B" w:rsidRPr="00D3599B">
        <w:rPr>
          <w:rFonts w:asciiTheme="minorHAnsi" w:hAnsiTheme="minorHAnsi" w:cstheme="minorHAnsi"/>
          <w:color w:val="000000" w:themeColor="text1"/>
        </w:rPr>
        <w:t xml:space="preserve"> 49,949 (49.08%) and </w:t>
      </w:r>
      <w:proofErr w:type="spellStart"/>
      <w:r w:rsidR="00D3599B" w:rsidRPr="00D3599B">
        <w:rPr>
          <w:rFonts w:asciiTheme="minorHAnsi" w:hAnsiTheme="minorHAnsi" w:cstheme="minorHAnsi"/>
          <w:color w:val="000000" w:themeColor="text1"/>
        </w:rPr>
        <w:t>payer_code</w:t>
      </w:r>
      <w:proofErr w:type="spellEnd"/>
      <w:r w:rsidR="00D3599B" w:rsidRPr="00D3599B">
        <w:rPr>
          <w:rFonts w:asciiTheme="minorHAnsi" w:hAnsiTheme="minorHAnsi" w:cstheme="minorHAnsi"/>
          <w:color w:val="000000" w:themeColor="text1"/>
        </w:rPr>
        <w:t xml:space="preserve"> 40,256 (39.56%). For the final dataset, it detects 93,356 missing values of </w:t>
      </w:r>
      <w:proofErr w:type="spellStart"/>
      <w:r w:rsidR="00D3599B" w:rsidRPr="00D3599B">
        <w:rPr>
          <w:rFonts w:asciiTheme="minorHAnsi" w:hAnsiTheme="minorHAnsi" w:cstheme="minorHAnsi"/>
          <w:color w:val="000000" w:themeColor="text1"/>
        </w:rPr>
        <w:t>max_glu_serum</w:t>
      </w:r>
      <w:proofErr w:type="spellEnd"/>
      <w:r w:rsidR="00D3599B" w:rsidRPr="00D3599B">
        <w:rPr>
          <w:rFonts w:asciiTheme="minorHAnsi" w:hAnsiTheme="minorHAnsi" w:cstheme="minorHAnsi"/>
          <w:color w:val="000000" w:themeColor="text1"/>
        </w:rPr>
        <w:t xml:space="preserve">, 82,102 missing A1Cresult, 48,362 missing </w:t>
      </w:r>
      <w:proofErr w:type="spellStart"/>
      <w:r w:rsidR="00D3599B" w:rsidRPr="00D3599B">
        <w:rPr>
          <w:rFonts w:asciiTheme="minorHAnsi" w:hAnsiTheme="minorHAnsi" w:cstheme="minorHAnsi"/>
          <w:color w:val="000000" w:themeColor="text1"/>
        </w:rPr>
        <w:t>medical_specialty</w:t>
      </w:r>
      <w:proofErr w:type="spellEnd"/>
      <w:r w:rsidR="00D3599B" w:rsidRPr="00D3599B">
        <w:rPr>
          <w:rFonts w:asciiTheme="minorHAnsi" w:hAnsiTheme="minorHAnsi" w:cstheme="minorHAnsi"/>
          <w:color w:val="000000" w:themeColor="text1"/>
        </w:rPr>
        <w:t xml:space="preserve">, and 38,789 missing </w:t>
      </w:r>
      <w:proofErr w:type="spellStart"/>
      <w:r w:rsidR="00D3599B" w:rsidRPr="00D3599B">
        <w:rPr>
          <w:rFonts w:asciiTheme="minorHAnsi" w:hAnsiTheme="minorHAnsi" w:cstheme="minorHAnsi"/>
          <w:color w:val="000000" w:themeColor="text1"/>
        </w:rPr>
        <w:t>payer_code</w:t>
      </w:r>
      <w:proofErr w:type="spellEnd"/>
      <w:r w:rsidR="00D3599B" w:rsidRPr="00D3599B">
        <w:rPr>
          <w:rFonts w:asciiTheme="minorHAnsi" w:hAnsiTheme="minorHAnsi" w:cstheme="minorHAnsi"/>
          <w:color w:val="000000" w:themeColor="text1"/>
        </w:rPr>
        <w:t xml:space="preserve">. Numerical variables are median imputed and standardized in the framework of logistic regression, categorical are median imputed based on the most common value and one-hot encoded with unknown categories ignored. A special pipeline is developed for </w:t>
      </w:r>
      <w:proofErr w:type="spellStart"/>
      <w:r w:rsidR="00D3599B" w:rsidRPr="00D3599B">
        <w:rPr>
          <w:rFonts w:asciiTheme="minorHAnsi" w:hAnsiTheme="minorHAnsi" w:cstheme="minorHAnsi"/>
          <w:color w:val="000000" w:themeColor="text1"/>
        </w:rPr>
        <w:t>XGBoost</w:t>
      </w:r>
      <w:proofErr w:type="spellEnd"/>
      <w:r w:rsidR="00D3599B" w:rsidRPr="00D3599B">
        <w:rPr>
          <w:rFonts w:asciiTheme="minorHAnsi" w:hAnsiTheme="minorHAnsi" w:cstheme="minorHAnsi"/>
          <w:color w:val="000000" w:themeColor="text1"/>
        </w:rPr>
        <w:t xml:space="preserve"> without numerical scaling. EBM uses string categories and median numerical imputation.</w:t>
      </w:r>
    </w:p>
    <w:p w14:paraId="46DDFC1A" w14:textId="69873282" w:rsidR="00D00DFF" w:rsidRDefault="003D30E7" w:rsidP="00E8361F">
      <w:pPr>
        <w:pStyle w:val="Caption"/>
        <w:jc w:val="left"/>
        <w:rPr>
          <w:color w:val="000000" w:themeColor="text1"/>
        </w:rPr>
      </w:pPr>
      <w:r>
        <w:t xml:space="preserve">Figure </w:t>
      </w:r>
      <w:r>
        <w:fldChar w:fldCharType="begin"/>
      </w:r>
      <w:r>
        <w:instrText xml:space="preserve"> SEQ Figure \* ARABIC </w:instrText>
      </w:r>
      <w:r>
        <w:fldChar w:fldCharType="separate"/>
      </w:r>
      <w:r w:rsidR="005A061A">
        <w:t>2</w:t>
      </w:r>
      <w:r>
        <w:fldChar w:fldCharType="end"/>
      </w:r>
      <w:r>
        <w:t xml:space="preserve">: Missing values before final cohort                            Figure </w:t>
      </w:r>
      <w:r>
        <w:fldChar w:fldCharType="begin"/>
      </w:r>
      <w:r>
        <w:instrText xml:space="preserve"> SEQ Figure \* ARABIC </w:instrText>
      </w:r>
      <w:r>
        <w:fldChar w:fldCharType="separate"/>
      </w:r>
      <w:r w:rsidR="005A061A">
        <w:t>3</w:t>
      </w:r>
      <w:r>
        <w:fldChar w:fldCharType="end"/>
      </w:r>
      <w:r>
        <w:t>:</w:t>
      </w:r>
      <w:r w:rsidRPr="002F704B">
        <w:t xml:space="preserve">Missing values </w:t>
      </w:r>
      <w:r>
        <w:t>after</w:t>
      </w:r>
      <w:r w:rsidRPr="002F704B">
        <w:t xml:space="preserve"> final cohor</w:t>
      </w:r>
      <w:r>
        <w:t>t</w:t>
      </w:r>
    </w:p>
    <w:p w14:paraId="138104E3" w14:textId="6DF0E9C0" w:rsidR="003D30E7" w:rsidRDefault="003D30E7" w:rsidP="00216623">
      <w:pPr>
        <w:pStyle w:val="BodyText"/>
        <w:jc w:val="both"/>
        <w:rPr>
          <w:rFonts w:asciiTheme="minorHAnsi" w:hAnsiTheme="minorHAnsi" w:cstheme="minorHAnsi"/>
          <w:color w:val="000000" w:themeColor="text1"/>
        </w:rPr>
      </w:pPr>
    </w:p>
    <w:p w14:paraId="71BC3FC7" w14:textId="6B727893" w:rsidR="006435E6" w:rsidRPr="006435E6"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lastRenderedPageBreak/>
        <w:t xml:space="preserve">Preprocessing is fitted using the development dataset and applied to the test partitions. It excluded the outcome and identifier columns from the predictor variables, changes '?' to missing values, excludes the very sparse column 'weight', performs imputation for both numerical and categorical variables, and one-hot encodes the categorical inputs for the linear and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pipeline. The logistic regression uses scaling for the numeric variables while tree models do not need such scaling. EBM uses the relevant categorical/numerical preprocessing. A leakage test ensures that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are removed.</w:t>
      </w:r>
    </w:p>
    <w:p w14:paraId="773B7AD2" w14:textId="24541D52" w:rsidR="00D3599B" w:rsidRPr="00CB57DE" w:rsidRDefault="006435E6" w:rsidP="006435E6">
      <w:pPr>
        <w:pStyle w:val="BodyText"/>
        <w:jc w:val="both"/>
        <w:rPr>
          <w:rFonts w:asciiTheme="minorHAnsi" w:hAnsiTheme="minorHAnsi" w:cstheme="minorHAnsi"/>
          <w:color w:val="000000" w:themeColor="text1"/>
        </w:rPr>
      </w:pPr>
      <w:r w:rsidRPr="006435E6">
        <w:rPr>
          <w:rFonts w:asciiTheme="minorHAnsi" w:hAnsiTheme="minorHAnsi" w:cstheme="minorHAnsi"/>
          <w:color w:val="000000" w:themeColor="text1"/>
        </w:rPr>
        <w:t xml:space="preserve">The code creates one filtered analysis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creates X, y and groups based on that </w:t>
      </w:r>
      <w:r w:rsidR="00DF1B7F" w:rsidRPr="006435E6">
        <w:rPr>
          <w:rFonts w:asciiTheme="minorHAnsi" w:hAnsiTheme="minorHAnsi" w:cstheme="minorHAnsi"/>
          <w:color w:val="000000" w:themeColor="text1"/>
        </w:rPr>
        <w:t>data frame</w:t>
      </w:r>
      <w:r w:rsidRPr="006435E6">
        <w:rPr>
          <w:rFonts w:asciiTheme="minorHAnsi" w:hAnsiTheme="minorHAnsi" w:cstheme="minorHAnsi"/>
          <w:color w:val="000000" w:themeColor="text1"/>
        </w:rPr>
        <w:t xml:space="preserve"> and checks the lengths and indexes before splitting. The final modelling dataset has 98,493 observations with 46 predictors excluding `target`, `readmitted`, `</w:t>
      </w:r>
      <w:proofErr w:type="spellStart"/>
      <w:r w:rsidRPr="006435E6">
        <w:rPr>
          <w:rFonts w:asciiTheme="minorHAnsi" w:hAnsiTheme="minorHAnsi" w:cstheme="minorHAnsi"/>
          <w:color w:val="000000" w:themeColor="text1"/>
        </w:rPr>
        <w:t>encounter_id</w:t>
      </w:r>
      <w:proofErr w:type="spellEnd"/>
      <w:r w:rsidRPr="006435E6">
        <w:rPr>
          <w:rFonts w:asciiTheme="minorHAnsi" w:hAnsiTheme="minorHAnsi" w:cstheme="minorHAnsi"/>
          <w:color w:val="000000" w:themeColor="text1"/>
        </w:rPr>
        <w:t>` and `</w:t>
      </w:r>
      <w:proofErr w:type="spellStart"/>
      <w:r w:rsidRPr="006435E6">
        <w:rPr>
          <w:rFonts w:asciiTheme="minorHAnsi" w:hAnsiTheme="minorHAnsi" w:cstheme="minorHAnsi"/>
          <w:color w:val="000000" w:themeColor="text1"/>
        </w:rPr>
        <w:t>patient_nbr</w:t>
      </w:r>
      <w:proofErr w:type="spellEnd"/>
      <w:r w:rsidRPr="006435E6">
        <w:rPr>
          <w:rFonts w:asciiTheme="minorHAnsi" w:hAnsiTheme="minorHAnsi" w:cstheme="minorHAnsi"/>
          <w:color w:val="000000" w:themeColor="text1"/>
        </w:rPr>
        <w:t xml:space="preserve">`; the latter is only included as the grouping variable. The pipeline verifies that the outcome and identifiers are excluded from X, row/index consistency is maintained, and that the patient groups are distinct among partitions. The test datasets have 14,729 observations; the transformed matrix and SHAP results from the </w:t>
      </w:r>
      <w:proofErr w:type="spellStart"/>
      <w:r w:rsidRPr="006435E6">
        <w:rPr>
          <w:rFonts w:asciiTheme="minorHAnsi" w:hAnsiTheme="minorHAnsi" w:cstheme="minorHAnsi"/>
          <w:color w:val="000000" w:themeColor="text1"/>
        </w:rPr>
        <w:t>XGBoost</w:t>
      </w:r>
      <w:proofErr w:type="spellEnd"/>
      <w:r w:rsidRPr="006435E6">
        <w:rPr>
          <w:rFonts w:asciiTheme="minorHAnsi" w:hAnsiTheme="minorHAnsi" w:cstheme="minorHAnsi"/>
          <w:color w:val="000000" w:themeColor="text1"/>
        </w:rPr>
        <w:t xml:space="preserve"> model each have 14,729 observations.</w:t>
      </w: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4ACB442F" w:rsidR="00216623" w:rsidRPr="00CB57DE" w:rsidRDefault="00C41E43" w:rsidP="000D1EBA">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Models and LACE benchmark</w:t>
      </w:r>
    </w:p>
    <w:p w14:paraId="3CA7F67F" w14:textId="705B1B78" w:rsidR="00216623" w:rsidRDefault="00784E00" w:rsidP="00784E00">
      <w:pPr>
        <w:pStyle w:val="BodyText"/>
        <w:jc w:val="both"/>
        <w:rPr>
          <w:rFonts w:asciiTheme="minorHAnsi" w:hAnsiTheme="minorHAnsi" w:cstheme="minorHAnsi"/>
          <w:color w:val="000000" w:themeColor="text1"/>
        </w:rPr>
      </w:pPr>
      <w:r w:rsidRPr="00784E00">
        <w:rPr>
          <w:rFonts w:asciiTheme="minorHAnsi" w:hAnsiTheme="minorHAnsi" w:cstheme="minorHAnsi"/>
          <w:color w:val="000000" w:themeColor="text1"/>
        </w:rPr>
        <w:t xml:space="preserve">The model set is selected not with the goal of searching the entire algorithmic space, but rather comparing various types of complexity and interpretability. Penalty logistic regression represents a standard parametric approach with the simpler decision-making process. EBM model demonstrates nonlinear feature functions as well as selected interactions but with inspectable functions. </w:t>
      </w:r>
      <w:proofErr w:type="spellStart"/>
      <w:r w:rsidRPr="00784E00">
        <w:rPr>
          <w:rFonts w:asciiTheme="minorHAnsi" w:hAnsiTheme="minorHAnsi" w:cstheme="minorHAnsi"/>
          <w:color w:val="000000" w:themeColor="text1"/>
        </w:rPr>
        <w:t>XGBoost</w:t>
      </w:r>
      <w:proofErr w:type="spellEnd"/>
      <w:r w:rsidRPr="00784E00">
        <w:rPr>
          <w:rFonts w:asciiTheme="minorHAnsi" w:hAnsiTheme="minorHAnsi" w:cstheme="minorHAnsi"/>
          <w:color w:val="000000" w:themeColor="text1"/>
        </w:rPr>
        <w:t xml:space="preserve"> model demonstrates how the boosted tree learning algorithm works with interaction and threshold capturing that is done automatically. Adapted LACE score is added to the list of models as an example of a concise clinical score rather than a machine learning model.</w:t>
      </w:r>
    </w:p>
    <w:p w14:paraId="0E70969C" w14:textId="77777777" w:rsidR="001C09AF" w:rsidRDefault="001C09AF" w:rsidP="001C09AF">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Penalised logistic regression model is chosen using five-fold </w:t>
      </w:r>
      <w:proofErr w:type="spellStart"/>
      <w:r w:rsidRPr="001C09AF">
        <w:rPr>
          <w:rFonts w:asciiTheme="minorHAnsi" w:hAnsiTheme="minorHAnsi" w:cstheme="minorHAnsi"/>
          <w:color w:val="000000" w:themeColor="text1"/>
        </w:rPr>
        <w:t>StratifiedGroupKFold</w:t>
      </w:r>
      <w:proofErr w:type="spellEnd"/>
      <w:r w:rsidRPr="001C09AF">
        <w:rPr>
          <w:rFonts w:asciiTheme="minorHAnsi" w:hAnsiTheme="minorHAnsi" w:cstheme="minorHAnsi"/>
          <w:color w:val="000000" w:themeColor="text1"/>
        </w:rPr>
        <w:t xml:space="preserve"> cross-validation on the training split. Chosen C=0.01 and grouped cross-validation ROC-AUC is 0.6625. EBM is tuned to use 10 interactions, 256 max bins, learning rate of 0.05 and 1000 rounds. </w:t>
      </w:r>
      <w:proofErr w:type="spellStart"/>
      <w:r w:rsidRPr="001C09AF">
        <w:rPr>
          <w:rFonts w:asciiTheme="minorHAnsi" w:hAnsiTheme="minorHAnsi" w:cstheme="minorHAnsi"/>
          <w:color w:val="000000" w:themeColor="text1"/>
        </w:rPr>
        <w:t>XGBoost</w:t>
      </w:r>
      <w:proofErr w:type="spellEnd"/>
      <w:r w:rsidRPr="001C09AF">
        <w:rPr>
          <w:rFonts w:asciiTheme="minorHAnsi" w:hAnsiTheme="minorHAnsi" w:cstheme="minorHAnsi"/>
          <w:color w:val="000000" w:themeColor="text1"/>
        </w:rPr>
        <w:t xml:space="preserve"> employs 300 estimators, depth 5, learning rate 0.05, subsampling of 0.8 and 0.8 columns, positive class weighing based on the prevalence in the training set. These settings are the final configurations of the tree-based models and shouldn’t be called exhaustive tuning if no further hyperparameter search was performed. Adapted LACE score is used as a benchmark for ranking performance.</w:t>
      </w:r>
    </w:p>
    <w:p w14:paraId="7A2436B4" w14:textId="4BCE6EBC" w:rsidR="00FD3D66" w:rsidRDefault="00F15F3E" w:rsidP="001C09AF">
      <w:pPr>
        <w:pStyle w:val="BodyText"/>
        <w:jc w:val="both"/>
        <w:rPr>
          <w:rFonts w:asciiTheme="minorHAnsi" w:hAnsiTheme="minorHAnsi" w:cstheme="minorHAnsi"/>
          <w:color w:val="000000" w:themeColor="text1"/>
        </w:rPr>
      </w:pPr>
      <w:r>
        <w:rPr>
          <w:noProof/>
        </w:rPr>
        <w:lastRenderedPageBreak/>
        <w:drawing>
          <wp:inline distT="0" distB="0" distL="0" distR="0" wp14:anchorId="0DC11674" wp14:editId="73B397AB">
            <wp:extent cx="4267200" cy="4362450"/>
            <wp:effectExtent l="0" t="0" r="0" b="0"/>
            <wp:docPr id="15415380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7200" cy="4362450"/>
                    </a:xfrm>
                    <a:prstGeom prst="rect">
                      <a:avLst/>
                    </a:prstGeom>
                    <a:noFill/>
                    <a:ln>
                      <a:noFill/>
                    </a:ln>
                  </pic:spPr>
                </pic:pic>
              </a:graphicData>
            </a:graphic>
          </wp:inline>
        </w:drawing>
      </w:r>
    </w:p>
    <w:p w14:paraId="5E99E3C0" w14:textId="74891EE9" w:rsidR="00F15F3E" w:rsidRPr="00F15F3E" w:rsidRDefault="00F15F3E" w:rsidP="00E8361F">
      <w:pPr>
        <w:pStyle w:val="Caption"/>
      </w:pPr>
      <w:r>
        <w:t xml:space="preserve">Figure </w:t>
      </w:r>
      <w:r>
        <w:fldChar w:fldCharType="begin"/>
      </w:r>
      <w:r>
        <w:instrText xml:space="preserve"> SEQ Figure \* ARABIC </w:instrText>
      </w:r>
      <w:r>
        <w:fldChar w:fldCharType="separate"/>
      </w:r>
      <w:r w:rsidR="005A061A">
        <w:t>4</w:t>
      </w:r>
      <w:r>
        <w:fldChar w:fldCharType="end"/>
      </w:r>
      <w:r>
        <w:t xml:space="preserve">: </w:t>
      </w:r>
      <w:r w:rsidRPr="000B5DD9">
        <w:t>StratifiedGroupKFold cross-validation</w:t>
      </w:r>
    </w:p>
    <w:p w14:paraId="2EC00D72" w14:textId="61E0E0D8" w:rsidR="00954D22" w:rsidRPr="00CB57DE" w:rsidRDefault="001C09AF" w:rsidP="008E0BF2">
      <w:pPr>
        <w:pStyle w:val="BodyText"/>
        <w:jc w:val="both"/>
        <w:rPr>
          <w:rFonts w:asciiTheme="minorHAnsi" w:hAnsiTheme="minorHAnsi" w:cstheme="minorHAnsi"/>
          <w:color w:val="000000" w:themeColor="text1"/>
        </w:rPr>
      </w:pPr>
      <w:r w:rsidRPr="001C09AF">
        <w:rPr>
          <w:rFonts w:asciiTheme="minorHAnsi" w:hAnsiTheme="minorHAnsi" w:cstheme="minorHAnsi"/>
          <w:color w:val="000000" w:themeColor="text1"/>
        </w:rPr>
        <w:t xml:space="preserve">Adapted LACE score is based on the length of stay, admission acuity, Charlson comorbidity score adapted from up to three diagnosis codes and number of emergencies. The score is calculated as a single scalar which is then used as a ranking score in ROC-AUC and average precision calculations. The experiment is exploratory and shouldn’t be considered a </w:t>
      </w:r>
      <w:r w:rsidRPr="001C09AF">
        <w:rPr>
          <w:rFonts w:asciiTheme="minorHAnsi" w:hAnsiTheme="minorHAnsi" w:cstheme="minorHAnsi"/>
          <w:color w:val="000000" w:themeColor="text1"/>
        </w:rPr>
        <w:t>faithful</w:t>
      </w:r>
      <w:r w:rsidRPr="001C09AF">
        <w:rPr>
          <w:rFonts w:asciiTheme="minorHAnsi" w:hAnsiTheme="minorHAnsi" w:cstheme="minorHAnsi"/>
          <w:color w:val="000000" w:themeColor="text1"/>
        </w:rPr>
        <w:t xml:space="preserve"> implementation of the LACE tool.</w:t>
      </w:r>
    </w:p>
    <w:p w14:paraId="67E71E19" w14:textId="377256AC" w:rsidR="00216623" w:rsidRDefault="00216623" w:rsidP="000D1EBA">
      <w:pPr>
        <w:pStyle w:val="Heading2"/>
        <w:ind w:left="851" w:hanging="851"/>
        <w:jc w:val="both"/>
        <w:rPr>
          <w:rFonts w:asciiTheme="minorHAnsi" w:hAnsiTheme="minorHAnsi" w:cstheme="minorHAnsi"/>
          <w:noProof w:val="0"/>
          <w:color w:val="000000" w:themeColor="text1"/>
        </w:rPr>
      </w:pPr>
      <w:bookmarkStart w:id="45" w:name="_Toc44992077"/>
      <w:bookmarkStart w:id="46" w:name="_Toc177043278"/>
      <w:r w:rsidRPr="00CB57DE">
        <w:rPr>
          <w:rFonts w:asciiTheme="minorHAnsi" w:hAnsiTheme="minorHAnsi" w:cstheme="minorHAnsi"/>
          <w:noProof w:val="0"/>
          <w:color w:val="000000" w:themeColor="text1"/>
        </w:rPr>
        <w:t>E</w:t>
      </w:r>
      <w:bookmarkEnd w:id="45"/>
      <w:bookmarkEnd w:id="46"/>
      <w:r w:rsidR="0040580C">
        <w:rPr>
          <w:rFonts w:asciiTheme="minorHAnsi" w:hAnsiTheme="minorHAnsi" w:cstheme="minorHAnsi"/>
          <w:noProof w:val="0"/>
          <w:color w:val="000000" w:themeColor="text1"/>
        </w:rPr>
        <w:t>valuation Measures</w:t>
      </w:r>
    </w:p>
    <w:p w14:paraId="5138DB68" w14:textId="2498E52F" w:rsidR="0040580C" w:rsidRDefault="0040580C" w:rsidP="0040580C">
      <w:pPr>
        <w:pStyle w:val="BodyText"/>
      </w:pPr>
      <w:r w:rsidRPr="0040580C">
        <w:t>The test set is withheld from fitting, model selection, calibration and threshold selection procedures. This is crucial since the same patient can appear multiple times in the data set. The random split on the encounter level will enable the model to be trained using one patient’s encounter and tested on another one belonging to that patient, leading to an overestimation of its performance in relation to the defined objective of testing the model on unseen patients. The GroupShuffleSplit split procedure mitigates this problem by allocating all the rows pertaining to a particular patient to the same partition.</w:t>
      </w:r>
    </w:p>
    <w:p w14:paraId="13322268" w14:textId="14EEC852" w:rsidR="0040580C" w:rsidRDefault="00985197" w:rsidP="0040580C">
      <w:pPr>
        <w:pStyle w:val="BodyText"/>
      </w:pPr>
      <w:r w:rsidRPr="00985197">
        <w:t xml:space="preserve">ROC-AUC and Average Precision assess ranking. For a certain threshold, Sensitivity (TPR), Specificity, Positive Predictive Value, and Negative Predictive Value measure classification accuracy. The Brier </w:t>
      </w:r>
      <w:r w:rsidRPr="00985197">
        <w:lastRenderedPageBreak/>
        <w:t>Score measures probability errors. The calibration intercept and slope are calculated through regression of observed labels against the logit of predicted probabilities, ideally 0 and 1, respectively. Reliability plots use quantiles of bins. Thresholds are evaluated at a default of 0.5 threshold and, where possible, a validated global threshold.</w:t>
      </w:r>
    </w:p>
    <w:p w14:paraId="037F4BCB" w14:textId="555FA632" w:rsidR="0044511E" w:rsidRPr="0040580C" w:rsidRDefault="0044511E" w:rsidP="0040580C">
      <w:pPr>
        <w:pStyle w:val="BodyText"/>
      </w:pPr>
      <w:r w:rsidRPr="0044511E">
        <w:t xml:space="preserve">Uncertainty associated with the true-positive rate of subgroups is quantified using the patient-cluster bootstrap where the sample chooses the patient along with all their encounters. The report includes the confidence interval of subgroup TPRs and a minimum support rule of 20 positive cases to calculate race equal-opportunity difference. Smaller subgroups are retained for descriptive purposes. The interval is an indicator of sampling variability in the testing data set and does not consider any data source shift or </w:t>
      </w:r>
      <w:r w:rsidRPr="0044511E">
        <w:t>modelling</w:t>
      </w:r>
      <w:r w:rsidRPr="0044511E">
        <w:t xml:space="preserve"> uncertainty.</w:t>
      </w:r>
    </w:p>
    <w:p w14:paraId="534C399F" w14:textId="523CC5A3" w:rsidR="009B7487" w:rsidRPr="00CB57DE" w:rsidRDefault="00732ABC" w:rsidP="009B7487">
      <w:pPr>
        <w:pStyle w:val="BodyText"/>
        <w:rPr>
          <w:rFonts w:asciiTheme="minorHAnsi" w:hAnsiTheme="minorHAnsi" w:cstheme="minorHAnsi"/>
        </w:rPr>
      </w:pPr>
      <w:r w:rsidRPr="00732ABC">
        <w:rPr>
          <w:rFonts w:asciiTheme="minorHAnsi" w:hAnsiTheme="minorHAnsi" w:cstheme="minorHAnsi"/>
        </w:rPr>
        <w:t>Average Precision is used because the target event is relatively rare and because this measure pays closer attention to precision-recall behaviour compared to the ROC-AUC measure alone. Baseline of this measure is approximately equal to the event rate, which means that value around 0.24 is meaningfully higher than 0.1145 of test prevalence and at the same time not a sufficient indicator to predict the readmission of a particular patient. Although ROC provides a threshold-free visualization of ranking based on false-positive rates, a very good ROC-AUC may be accompanied by very poor precision if negatives significantly outnumber positives. Finally, Brier Score serves as a complementary measure that penalizes probabilistic prediction errors. Intercept, Slope and Reliability Plots are used for visualization of calibration. This set of measures is deliberately redundant since it provides multiple perspectives on the behaviour of the model. In addition, those measures cannot be interchanged with each other. The research avoids the use of accuracy as the main selection criterion because a classifier with a majority class could have a seemingly high accuracy without predicting readmissions.</w:t>
      </w:r>
    </w:p>
    <w:p w14:paraId="26BDE09F" w14:textId="3889176E" w:rsidR="002D54A2" w:rsidRDefault="002D54A2" w:rsidP="002D54A2">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t>Fairness and Mitigation Analysis</w:t>
      </w:r>
    </w:p>
    <w:p w14:paraId="2360227C" w14:textId="2369E9D0" w:rsidR="002D54A2" w:rsidRDefault="00783122" w:rsidP="002D54A2">
      <w:pPr>
        <w:pStyle w:val="BodyText"/>
      </w:pPr>
      <w:r w:rsidRPr="00783122">
        <w:t>The threshold variants are employed in diagnostic experiments. Group-specific threshold would result in shifting the decision threshold with a fixed score distribution and could help one group-level metric through changing the operating point for one group. However, this approach complicates the process of implementation, depends on sensitive attribute at the inference stage and leads to different decisions being made based on equal scores. The latter do not affect probability estimation. Reweighting operates through another mechanism. This technique affects the loss contributions for training samples and could change the resulting score, discrimination, calibration, and sensitivity. Comparison of both techniques makes clear that mitigation is not an algorithmic procedure.</w:t>
      </w:r>
    </w:p>
    <w:p w14:paraId="3A4B20DD" w14:textId="4A307080" w:rsidR="00783122" w:rsidRPr="002D54A2" w:rsidRDefault="00783122" w:rsidP="002D54A2">
      <w:pPr>
        <w:pStyle w:val="BodyText"/>
      </w:pPr>
      <w:r w:rsidRPr="00783122">
        <w:lastRenderedPageBreak/>
        <w:t>The equal opportunity gap is measured by the formula of maximum (TPR) – minimum (TPR). The study will also measure group false positive, false negative rate, and specificity. These measurements will always include the number of observations within each group and the number of positives within each group. Race is the primary protected class; age and gender will also be considered. Missing values in demographics need to be retained in explicit categories or excluded by a valid policy.</w:t>
      </w:r>
    </w:p>
    <w:p w14:paraId="1EF569E5" w14:textId="1F8211D0" w:rsidR="009B7487" w:rsidRDefault="001D075A" w:rsidP="009B7487">
      <w:pPr>
        <w:pStyle w:val="BodyText"/>
        <w:rPr>
          <w:rFonts w:asciiTheme="minorHAnsi" w:hAnsiTheme="minorHAnsi" w:cstheme="minorHAnsi"/>
        </w:rPr>
      </w:pPr>
      <w:r w:rsidRPr="001D075A">
        <w:rPr>
          <w:rFonts w:asciiTheme="minorHAnsi" w:hAnsiTheme="minorHAnsi" w:cstheme="minorHAnsi"/>
        </w:rPr>
        <w:t>The final experiment tests a global threshold chosen via validation against three threshold variants customized for race, gender, and age subgroups, along with training-time reweighting. The global threshold is chosen from the threshold-validation partition with the goal of obtaining a specific level of sensitivity around 0.67, resulting in a threshold of 0.1067. Custom thresholds for subgroups are chosen during validation and then used only once on the test partition. Reweighting is done based on race and target class during training time. All interventions are tested on the same set of test encounters based on accuracy, sensitivity, specificity, PPV, ROC-AUC, average precision, Brier score, and three equal opportunity differences.</w:t>
      </w:r>
    </w:p>
    <w:p w14:paraId="143CAEDC" w14:textId="60728810" w:rsidR="001D075A" w:rsidRDefault="005A061A" w:rsidP="009B7487">
      <w:pPr>
        <w:pStyle w:val="BodyText"/>
        <w:rPr>
          <w:rFonts w:asciiTheme="minorHAnsi" w:hAnsiTheme="minorHAnsi" w:cstheme="minorHAnsi"/>
        </w:rPr>
      </w:pPr>
      <w:r>
        <w:rPr>
          <w:noProof/>
        </w:rPr>
        <w:drawing>
          <wp:anchor distT="0" distB="0" distL="114300" distR="114300" simplePos="0" relativeHeight="251660288" behindDoc="1" locked="0" layoutInCell="1" allowOverlap="1" wp14:anchorId="456AE803" wp14:editId="3D94E748">
            <wp:simplePos x="0" y="0"/>
            <wp:positionH relativeFrom="page">
              <wp:posOffset>1979930</wp:posOffset>
            </wp:positionH>
            <wp:positionV relativeFrom="paragraph">
              <wp:posOffset>88265</wp:posOffset>
            </wp:positionV>
            <wp:extent cx="3924300" cy="4038600"/>
            <wp:effectExtent l="0" t="0" r="0" b="0"/>
            <wp:wrapTight wrapText="bothSides">
              <wp:wrapPolygon edited="0">
                <wp:start x="0" y="0"/>
                <wp:lineTo x="0" y="21498"/>
                <wp:lineTo x="21495" y="21498"/>
                <wp:lineTo x="21495" y="0"/>
                <wp:lineTo x="0" y="0"/>
              </wp:wrapPolygon>
            </wp:wrapTight>
            <wp:docPr id="1134839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24300" cy="4038600"/>
                    </a:xfrm>
                    <a:prstGeom prst="rect">
                      <a:avLst/>
                    </a:prstGeom>
                    <a:noFill/>
                    <a:ln>
                      <a:noFill/>
                    </a:ln>
                  </pic:spPr>
                </pic:pic>
              </a:graphicData>
            </a:graphic>
          </wp:anchor>
        </w:drawing>
      </w:r>
    </w:p>
    <w:p w14:paraId="40B90ED8" w14:textId="77777777" w:rsidR="005A061A" w:rsidRDefault="005A061A" w:rsidP="005A061A">
      <w:pPr>
        <w:pStyle w:val="Caption"/>
      </w:pPr>
    </w:p>
    <w:p w14:paraId="12B4872B" w14:textId="77777777" w:rsidR="005A061A" w:rsidRDefault="005A061A" w:rsidP="005A061A">
      <w:pPr>
        <w:pStyle w:val="Caption"/>
      </w:pPr>
    </w:p>
    <w:p w14:paraId="7A9B2D5A" w14:textId="77777777" w:rsidR="005A061A" w:rsidRDefault="005A061A" w:rsidP="005A061A">
      <w:pPr>
        <w:pStyle w:val="Caption"/>
      </w:pPr>
    </w:p>
    <w:p w14:paraId="488DB294" w14:textId="77777777" w:rsidR="005A061A" w:rsidRDefault="005A061A" w:rsidP="005A061A">
      <w:pPr>
        <w:pStyle w:val="Caption"/>
      </w:pPr>
    </w:p>
    <w:p w14:paraId="0BD47602" w14:textId="77777777" w:rsidR="005A061A" w:rsidRDefault="005A061A" w:rsidP="005A061A">
      <w:pPr>
        <w:pStyle w:val="Caption"/>
      </w:pPr>
    </w:p>
    <w:p w14:paraId="0EB8E02A" w14:textId="77777777" w:rsidR="005A061A" w:rsidRDefault="005A061A" w:rsidP="005A061A">
      <w:pPr>
        <w:pStyle w:val="Caption"/>
      </w:pPr>
    </w:p>
    <w:p w14:paraId="71AC888D" w14:textId="77777777" w:rsidR="005A061A" w:rsidRDefault="005A061A" w:rsidP="005A061A">
      <w:pPr>
        <w:pStyle w:val="Caption"/>
      </w:pPr>
    </w:p>
    <w:p w14:paraId="1BC46056" w14:textId="77777777" w:rsidR="005A061A" w:rsidRDefault="005A061A" w:rsidP="005A061A">
      <w:pPr>
        <w:pStyle w:val="Caption"/>
      </w:pPr>
    </w:p>
    <w:p w14:paraId="29CFA21D" w14:textId="77777777" w:rsidR="005A061A" w:rsidRDefault="005A061A" w:rsidP="005A061A">
      <w:pPr>
        <w:pStyle w:val="Caption"/>
      </w:pPr>
    </w:p>
    <w:p w14:paraId="766CFE53" w14:textId="77777777" w:rsidR="005A061A" w:rsidRDefault="005A061A" w:rsidP="005A061A">
      <w:pPr>
        <w:pStyle w:val="Caption"/>
      </w:pPr>
    </w:p>
    <w:p w14:paraId="2F2891C6" w14:textId="77777777" w:rsidR="005A061A" w:rsidRDefault="005A061A" w:rsidP="005A061A">
      <w:pPr>
        <w:pStyle w:val="Caption"/>
      </w:pPr>
    </w:p>
    <w:p w14:paraId="6E4ACEE3" w14:textId="77777777" w:rsidR="005A061A" w:rsidRDefault="005A061A" w:rsidP="005A061A">
      <w:pPr>
        <w:pStyle w:val="Caption"/>
      </w:pPr>
    </w:p>
    <w:p w14:paraId="73FC9C39" w14:textId="426D1852" w:rsidR="005A061A" w:rsidRDefault="005A061A" w:rsidP="005A061A">
      <w:pPr>
        <w:pStyle w:val="Caption"/>
      </w:pPr>
      <w:r>
        <w:t xml:space="preserve">Figure </w:t>
      </w:r>
      <w:r>
        <w:fldChar w:fldCharType="begin"/>
      </w:r>
      <w:r>
        <w:instrText xml:space="preserve"> SEQ Figure \* ARABIC </w:instrText>
      </w:r>
      <w:r>
        <w:fldChar w:fldCharType="separate"/>
      </w:r>
      <w:r>
        <w:t>5</w:t>
      </w:r>
      <w:r>
        <w:fldChar w:fldCharType="end"/>
      </w:r>
      <w:r>
        <w:t>: Global threshold seelction</w:t>
      </w:r>
    </w:p>
    <w:p w14:paraId="3D401A03" w14:textId="77777777" w:rsidR="005A061A" w:rsidRDefault="005A061A" w:rsidP="005A061A">
      <w:pPr>
        <w:pStyle w:val="BodyText"/>
        <w:rPr>
          <w:lang w:val="en-MY"/>
        </w:rPr>
      </w:pPr>
    </w:p>
    <w:p w14:paraId="37B7272F" w14:textId="1494DA40" w:rsidR="00981819" w:rsidRDefault="00981819" w:rsidP="00981819">
      <w:pPr>
        <w:pStyle w:val="Heading2"/>
        <w:ind w:left="851" w:hanging="851"/>
        <w:jc w:val="both"/>
        <w:rPr>
          <w:rFonts w:asciiTheme="minorHAnsi" w:hAnsiTheme="minorHAnsi" w:cstheme="minorHAnsi"/>
          <w:noProof w:val="0"/>
          <w:color w:val="000000" w:themeColor="text1"/>
        </w:rPr>
      </w:pPr>
      <w:r>
        <w:rPr>
          <w:rFonts w:asciiTheme="minorHAnsi" w:hAnsiTheme="minorHAnsi" w:cstheme="minorHAnsi"/>
          <w:noProof w:val="0"/>
          <w:color w:val="000000" w:themeColor="text1"/>
        </w:rPr>
        <w:lastRenderedPageBreak/>
        <w:t>Explanation</w:t>
      </w:r>
      <w:r>
        <w:rPr>
          <w:rFonts w:asciiTheme="minorHAnsi" w:hAnsiTheme="minorHAnsi" w:cstheme="minorHAnsi"/>
          <w:noProof w:val="0"/>
          <w:color w:val="000000" w:themeColor="text1"/>
        </w:rPr>
        <w:t xml:space="preserve"> Analysi</w:t>
      </w:r>
      <w:r>
        <w:rPr>
          <w:rFonts w:asciiTheme="minorHAnsi" w:hAnsiTheme="minorHAnsi" w:cstheme="minorHAnsi"/>
          <w:noProof w:val="0"/>
          <w:color w:val="000000" w:themeColor="text1"/>
        </w:rPr>
        <w:t>s</w:t>
      </w:r>
      <w:r w:rsidR="00F95A47">
        <w:rPr>
          <w:rFonts w:asciiTheme="minorHAnsi" w:hAnsiTheme="minorHAnsi" w:cstheme="minorHAnsi"/>
          <w:noProof w:val="0"/>
          <w:color w:val="000000" w:themeColor="text1"/>
        </w:rPr>
        <w:t xml:space="preserve"> </w:t>
      </w:r>
    </w:p>
    <w:p w14:paraId="275D0C8C" w14:textId="77777777" w:rsidR="00981819" w:rsidRPr="005A061A" w:rsidRDefault="00981819" w:rsidP="005A061A">
      <w:pPr>
        <w:pStyle w:val="BodyText"/>
        <w:rPr>
          <w:lang w:val="en-MY"/>
        </w:rPr>
      </w:pPr>
    </w:p>
    <w:p w14:paraId="49B11AAC" w14:textId="77777777" w:rsidR="009B7487" w:rsidRPr="00CB57DE" w:rsidRDefault="009B7487" w:rsidP="009B7487">
      <w:pPr>
        <w:pStyle w:val="BodyText"/>
        <w:rPr>
          <w:rFonts w:asciiTheme="minorHAnsi" w:hAnsiTheme="minorHAnsi" w:cstheme="minorHAnsi"/>
        </w:rPr>
      </w:pPr>
    </w:p>
    <w:p w14:paraId="74199A07" w14:textId="77777777" w:rsidR="0003337F" w:rsidRDefault="0003337F" w:rsidP="00520F4B">
      <w:pPr>
        <w:pStyle w:val="BodyText"/>
        <w:rPr>
          <w:rFonts w:asciiTheme="minorHAnsi" w:hAnsiTheme="minorHAnsi" w:cstheme="minorHAnsi"/>
        </w:rPr>
      </w:pPr>
    </w:p>
    <w:p w14:paraId="13BEF1E7" w14:textId="77777777" w:rsidR="00520F4B" w:rsidRDefault="00520F4B" w:rsidP="00520F4B">
      <w:pPr>
        <w:pStyle w:val="BodyText"/>
        <w:rPr>
          <w:rFonts w:asciiTheme="minorHAnsi" w:hAnsiTheme="minorHAnsi" w:cstheme="minorHAnsi"/>
        </w:rPr>
      </w:pPr>
    </w:p>
    <w:p w14:paraId="49C2F382" w14:textId="77777777" w:rsidR="00520F4B" w:rsidRDefault="00520F4B" w:rsidP="00520F4B">
      <w:pPr>
        <w:pStyle w:val="BodyText"/>
        <w:rPr>
          <w:rFonts w:asciiTheme="minorHAnsi" w:hAnsiTheme="minorHAnsi" w:cstheme="minorHAnsi"/>
        </w:rPr>
      </w:pPr>
    </w:p>
    <w:p w14:paraId="68961651" w14:textId="77777777" w:rsidR="00520F4B" w:rsidRDefault="00520F4B" w:rsidP="00520F4B">
      <w:pPr>
        <w:pStyle w:val="BodyText"/>
        <w:rPr>
          <w:rFonts w:asciiTheme="minorHAnsi" w:hAnsiTheme="minorHAnsi" w:cstheme="minorHAnsi"/>
        </w:rPr>
      </w:pPr>
    </w:p>
    <w:p w14:paraId="0337DE8E" w14:textId="77777777" w:rsidR="00520F4B" w:rsidRDefault="00520F4B" w:rsidP="00520F4B">
      <w:pPr>
        <w:pStyle w:val="BodyText"/>
        <w:rPr>
          <w:rFonts w:asciiTheme="minorHAnsi" w:hAnsiTheme="minorHAnsi" w:cstheme="minorHAnsi"/>
        </w:rPr>
      </w:pPr>
    </w:p>
    <w:p w14:paraId="681C639E" w14:textId="77777777" w:rsidR="00520F4B" w:rsidRDefault="00520F4B" w:rsidP="00520F4B">
      <w:pPr>
        <w:pStyle w:val="BodyText"/>
        <w:rPr>
          <w:rFonts w:asciiTheme="minorHAnsi" w:hAnsiTheme="minorHAnsi" w:cstheme="minorHAnsi"/>
        </w:rPr>
      </w:pPr>
    </w:p>
    <w:p w14:paraId="74ABB17C" w14:textId="77777777" w:rsidR="00520F4B" w:rsidRDefault="00520F4B" w:rsidP="00520F4B">
      <w:pPr>
        <w:pStyle w:val="BodyText"/>
        <w:rPr>
          <w:rFonts w:asciiTheme="minorHAnsi" w:hAnsiTheme="minorHAnsi" w:cstheme="minorHAnsi"/>
        </w:rPr>
      </w:pPr>
    </w:p>
    <w:p w14:paraId="0DAD6B17" w14:textId="77777777" w:rsidR="00520F4B" w:rsidRDefault="00520F4B" w:rsidP="00520F4B">
      <w:pPr>
        <w:pStyle w:val="BodyText"/>
        <w:rPr>
          <w:rFonts w:asciiTheme="minorHAnsi" w:hAnsiTheme="minorHAnsi" w:cstheme="minorHAnsi"/>
        </w:rPr>
      </w:pPr>
    </w:p>
    <w:p w14:paraId="7267D1C0" w14:textId="77777777" w:rsidR="00520F4B" w:rsidRPr="00CB57DE" w:rsidRDefault="00520F4B" w:rsidP="00520F4B">
      <w:pPr>
        <w:pStyle w:val="BodyText"/>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lastRenderedPageBreak/>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47" w:name="_Toc44992078"/>
      <w:bookmarkStart w:id="48" w:name="_Toc177043279"/>
      <w:r w:rsidRPr="00CB57DE">
        <w:rPr>
          <w:rFonts w:asciiTheme="minorHAnsi" w:hAnsiTheme="minorHAnsi" w:cstheme="minorHAnsi"/>
          <w:color w:val="000000" w:themeColor="text1"/>
        </w:rPr>
        <w:lastRenderedPageBreak/>
        <w:t>Data Analysis</w:t>
      </w:r>
      <w:bookmarkEnd w:id="47"/>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48"/>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49" w:name="_Toc44992112"/>
      <w:bookmarkStart w:id="50"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49"/>
      <w:bookmarkEnd w:id="50"/>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1" w:name="_Toc44992114"/>
      <w:bookmarkStart w:id="52"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1"/>
      <w:bookmarkEnd w:id="52"/>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3" w:name="_Toc177043282"/>
      <w:r w:rsidRPr="00CB57DE">
        <w:rPr>
          <w:rFonts w:asciiTheme="minorHAnsi" w:eastAsia="Calibri" w:hAnsiTheme="minorHAnsi" w:cstheme="minorHAnsi"/>
          <w:noProof w:val="0"/>
          <w:color w:val="000000" w:themeColor="text1"/>
        </w:rPr>
        <w:t>Comparison with previous studies</w:t>
      </w:r>
      <w:bookmarkEnd w:id="53"/>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4"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4"/>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5" w:name="_Toc177043284"/>
      <w:bookmarkStart w:id="56"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5"/>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7" w:name="_Toc177043285"/>
      <w:r w:rsidRPr="00CB57DE">
        <w:rPr>
          <w:rFonts w:asciiTheme="minorHAnsi" w:eastAsia="Calibri" w:hAnsiTheme="minorHAnsi" w:cstheme="minorHAnsi"/>
          <w:noProof w:val="0"/>
          <w:color w:val="000000" w:themeColor="text1"/>
        </w:rPr>
        <w:t>Answer Objective 3</w:t>
      </w:r>
      <w:bookmarkEnd w:id="57"/>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58" w:name="_Toc177043286"/>
      <w:bookmarkEnd w:id="56"/>
      <w:r w:rsidRPr="00CB57DE">
        <w:rPr>
          <w:rFonts w:asciiTheme="minorHAnsi" w:hAnsiTheme="minorHAnsi" w:cstheme="minorHAnsi"/>
          <w:color w:val="000000" w:themeColor="text1"/>
        </w:rPr>
        <w:t>Summary</w:t>
      </w:r>
      <w:bookmarkEnd w:id="58"/>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59" w:name="_Toc44992117"/>
      <w:bookmarkStart w:id="60" w:name="_Toc177043287"/>
      <w:r w:rsidRPr="00CB57DE">
        <w:rPr>
          <w:rFonts w:asciiTheme="minorHAnsi" w:eastAsia="Calibri" w:hAnsiTheme="minorHAnsi" w:cstheme="minorHAnsi"/>
          <w:color w:val="000000" w:themeColor="text1"/>
        </w:rPr>
        <w:lastRenderedPageBreak/>
        <w:t>Conclusion</w:t>
      </w:r>
      <w:bookmarkEnd w:id="59"/>
      <w:bookmarkEnd w:id="60"/>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1" w:name="_Toc44992119"/>
      <w:bookmarkStart w:id="62"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1"/>
      <w:r w:rsidR="00E30F69" w:rsidRPr="00CB57DE">
        <w:rPr>
          <w:rFonts w:asciiTheme="minorHAnsi" w:eastAsia="Calibri" w:hAnsiTheme="minorHAnsi" w:cstheme="minorHAnsi"/>
          <w:noProof w:val="0"/>
          <w:color w:val="000000" w:themeColor="text1"/>
        </w:rPr>
        <w:t>s</w:t>
      </w:r>
      <w:bookmarkEnd w:id="62"/>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3" w:name="_Toc44992120"/>
      <w:bookmarkStart w:id="64" w:name="_Toc177043289"/>
      <w:r w:rsidRPr="00CB57DE">
        <w:rPr>
          <w:rFonts w:asciiTheme="minorHAnsi" w:eastAsia="Calibri" w:hAnsiTheme="minorHAnsi" w:cstheme="minorHAnsi"/>
          <w:noProof w:val="0"/>
          <w:color w:val="000000" w:themeColor="text1"/>
        </w:rPr>
        <w:t>Contribution</w:t>
      </w:r>
      <w:bookmarkEnd w:id="63"/>
      <w:bookmarkEnd w:id="64"/>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5" w:name="_Toc44992121"/>
      <w:bookmarkStart w:id="66" w:name="_Toc177043290"/>
      <w:r w:rsidRPr="00CB57DE">
        <w:rPr>
          <w:rFonts w:asciiTheme="minorHAnsi" w:eastAsia="Calibri" w:hAnsiTheme="minorHAnsi" w:cstheme="minorHAnsi"/>
          <w:noProof w:val="0"/>
          <w:color w:val="000000" w:themeColor="text1"/>
        </w:rPr>
        <w:t xml:space="preserve">Future </w:t>
      </w:r>
      <w:bookmarkEnd w:id="65"/>
      <w:r w:rsidR="009A7346" w:rsidRPr="00CB57DE">
        <w:rPr>
          <w:rFonts w:asciiTheme="minorHAnsi" w:eastAsia="Calibri" w:hAnsiTheme="minorHAnsi" w:cstheme="minorHAnsi"/>
          <w:noProof w:val="0"/>
          <w:color w:val="000000" w:themeColor="text1"/>
        </w:rPr>
        <w:t>work</w:t>
      </w:r>
      <w:bookmarkEnd w:id="66"/>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7" w:name="_Toc44992122"/>
      <w:bookmarkStart w:id="68" w:name="_Toc177043291"/>
      <w:r w:rsidRPr="00CB57DE">
        <w:rPr>
          <w:rFonts w:asciiTheme="minorHAnsi" w:eastAsia="Calibri" w:hAnsiTheme="minorHAnsi" w:cstheme="minorHAnsi"/>
          <w:color w:val="000000" w:themeColor="text1"/>
        </w:rPr>
        <w:lastRenderedPageBreak/>
        <w:t>References</w:t>
      </w:r>
      <w:bookmarkEnd w:id="67"/>
      <w:bookmarkEnd w:id="68"/>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69" w:name="_Toc44992123"/>
      <w:bookmarkStart w:id="70" w:name="_Toc177043292"/>
      <w:bookmarkEnd w:id="69"/>
      <w:r w:rsidRPr="00CB57DE">
        <w:rPr>
          <w:rFonts w:asciiTheme="minorHAnsi" w:eastAsia="Calibri" w:hAnsiTheme="minorHAnsi" w:cstheme="minorHAnsi"/>
          <w:color w:val="000000" w:themeColor="text1"/>
        </w:rPr>
        <w:lastRenderedPageBreak/>
        <w:t>Appendix A</w:t>
      </w:r>
      <w:bookmarkEnd w:id="70"/>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1" w:name="_Toc44992124"/>
      <w:bookmarkStart w:id="72"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1"/>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2"/>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3" w:name="_Toc44992125"/>
      <w:bookmarkStart w:id="74"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3"/>
      <w:r w:rsidR="0066193F" w:rsidRPr="00CB57DE">
        <w:rPr>
          <w:rFonts w:asciiTheme="minorHAnsi" w:hAnsiTheme="minorHAnsi" w:cstheme="minorHAnsi"/>
          <w:color w:val="000000" w:themeColor="text1"/>
        </w:rPr>
        <w:t xml:space="preserve"> (if applicable)</w:t>
      </w:r>
      <w:bookmarkEnd w:id="74"/>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5" w:name="_Toc44992126"/>
      <w:bookmarkStart w:id="76" w:name="_Toc177043295"/>
      <w:r w:rsidRPr="00CB57DE">
        <w:rPr>
          <w:rFonts w:asciiTheme="minorHAnsi" w:hAnsiTheme="minorHAnsi" w:cstheme="minorHAnsi"/>
          <w:color w:val="000000" w:themeColor="text1"/>
        </w:rPr>
        <w:t>Questionnaire</w:t>
      </w:r>
      <w:bookmarkEnd w:id="75"/>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6"/>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7" w:name="_Toc44992128"/>
      <w:bookmarkStart w:id="78"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7"/>
      <w:r w:rsidRPr="00CB57DE">
        <w:rPr>
          <w:rFonts w:asciiTheme="minorHAnsi" w:hAnsiTheme="minorHAnsi" w:cstheme="minorHAnsi"/>
          <w:color w:val="000000" w:themeColor="text1"/>
        </w:rPr>
        <w:t xml:space="preserve"> (If Applicable)</w:t>
      </w:r>
      <w:bookmarkEnd w:id="78"/>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79"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79"/>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8"/>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992A0" w14:textId="77777777" w:rsidR="009A127F" w:rsidRDefault="009A127F">
      <w:r>
        <w:separator/>
      </w:r>
    </w:p>
  </w:endnote>
  <w:endnote w:type="continuationSeparator" w:id="0">
    <w:p w14:paraId="29A6B9E1" w14:textId="77777777" w:rsidR="009A127F" w:rsidRDefault="009A127F">
      <w:r>
        <w:continuationSeparator/>
      </w:r>
    </w:p>
  </w:endnote>
  <w:endnote w:type="continuationNotice" w:id="1">
    <w:p w14:paraId="31A08086" w14:textId="77777777" w:rsidR="009A127F" w:rsidRDefault="009A12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D068E" w14:textId="77777777" w:rsidR="009A127F" w:rsidRDefault="009A127F">
      <w:r>
        <w:separator/>
      </w:r>
    </w:p>
  </w:footnote>
  <w:footnote w:type="continuationSeparator" w:id="0">
    <w:p w14:paraId="39F66A40" w14:textId="77777777" w:rsidR="009A127F" w:rsidRDefault="009A127F">
      <w:r>
        <w:continuationSeparator/>
      </w:r>
    </w:p>
  </w:footnote>
  <w:footnote w:type="continuationNotice" w:id="1">
    <w:p w14:paraId="4ACFB581" w14:textId="77777777" w:rsidR="009A127F" w:rsidRDefault="009A127F"/>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2"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727"/>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9AF"/>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D1"/>
    <w:rsid w:val="001C62E7"/>
    <w:rsid w:val="001C661B"/>
    <w:rsid w:val="001C6799"/>
    <w:rsid w:val="001C6ACA"/>
    <w:rsid w:val="001C72FB"/>
    <w:rsid w:val="001C7383"/>
    <w:rsid w:val="001CFCFF"/>
    <w:rsid w:val="001D0025"/>
    <w:rsid w:val="001D016E"/>
    <w:rsid w:val="001D038A"/>
    <w:rsid w:val="001D05FE"/>
    <w:rsid w:val="001D075A"/>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446"/>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4A2"/>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30E7"/>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6C0F"/>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0D"/>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80C"/>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11E"/>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3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77421"/>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0F4B"/>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61A"/>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AEB"/>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5E6"/>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ABC"/>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D20"/>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0B7B"/>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122"/>
    <w:rsid w:val="007835D9"/>
    <w:rsid w:val="0078375B"/>
    <w:rsid w:val="00783BD2"/>
    <w:rsid w:val="00783C61"/>
    <w:rsid w:val="0078470A"/>
    <w:rsid w:val="0078496E"/>
    <w:rsid w:val="00784E00"/>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DA6"/>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847"/>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562"/>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44B"/>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D22"/>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819"/>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97"/>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27F"/>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6E2E"/>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CBA"/>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834"/>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9C5"/>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588"/>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04C"/>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BCF"/>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1E43"/>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0DFF"/>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99B"/>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1B7F"/>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D1A"/>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371"/>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61F"/>
    <w:rsid w:val="00E83933"/>
    <w:rsid w:val="00E83EA7"/>
    <w:rsid w:val="00E83EBF"/>
    <w:rsid w:val="00E841A1"/>
    <w:rsid w:val="00E84484"/>
    <w:rsid w:val="00E84955"/>
    <w:rsid w:val="00E849C9"/>
    <w:rsid w:val="00E84B57"/>
    <w:rsid w:val="00E85036"/>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93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3ED"/>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5F3E"/>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4"/>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A47"/>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3D66"/>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ind w:left="1991"/>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E8361F"/>
    <w:pPr>
      <w:keepNext/>
      <w:spacing w:before="240" w:after="240"/>
      <w:jc w:val="center"/>
    </w:pPr>
    <w:rPr>
      <w:rFonts w:eastAsia="Calibri" w:cstheme="minorHAnsi"/>
      <w:i/>
      <w:iCs/>
      <w:noProof/>
      <w:color w:val="000000"/>
      <w:szCs w:val="22"/>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pPr>
    <w:rPr>
      <w:rFonts w:asciiTheme="majorBidi" w:eastAsiaTheme="minorHAnsi" w:hAnsiTheme="majorBidi" w:cstheme="majorBidi"/>
      <w:iCs w:val="0"/>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194661096">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718631856">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263995340">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335455806">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2181203">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684281913">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18047863">
      <w:bodyDiv w:val="1"/>
      <w:marLeft w:val="0"/>
      <w:marRight w:val="0"/>
      <w:marTop w:val="0"/>
      <w:marBottom w:val="0"/>
      <w:divBdr>
        <w:top w:val="none" w:sz="0" w:space="0" w:color="auto"/>
        <w:left w:val="none" w:sz="0" w:space="0" w:color="auto"/>
        <w:bottom w:val="none" w:sz="0" w:space="0" w:color="auto"/>
        <w:right w:val="none" w:sz="0" w:space="0" w:color="auto"/>
      </w:divBdr>
    </w:div>
    <w:div w:id="1745057990">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874223057">
      <w:bodyDiv w:val="1"/>
      <w:marLeft w:val="0"/>
      <w:marRight w:val="0"/>
      <w:marTop w:val="0"/>
      <w:marBottom w:val="0"/>
      <w:divBdr>
        <w:top w:val="none" w:sz="0" w:space="0" w:color="auto"/>
        <w:left w:val="none" w:sz="0" w:space="0" w:color="auto"/>
        <w:bottom w:val="none" w:sz="0" w:space="0" w:color="auto"/>
        <w:right w:val="none" w:sz="0" w:space="0" w:color="auto"/>
      </w:divBdr>
    </w:div>
    <w:div w:id="1887373700">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footer" Target="footer3.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Version="0">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5</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6</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7</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8</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9</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10</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11</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12</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13</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14</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15</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16</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17</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18</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19</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20</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21</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22</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23</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24</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25</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26</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27</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28</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29</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30</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31</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32</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33</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34</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35</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3</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4</b:RefOrder>
  </b:Source>
  <b:Source>
    <b:Tag>Emi252</b:Tag>
    <b:SourceType>JournalArticle</b:SourceType>
    <b:Guid>{81A4FEB3-0681-4FD2-B76B-6696521DC98B}</b:Guid>
    <b:Author>
      <b:Author>
        <b:NameList>
          <b:Person>
            <b:Last>Emi-Johnson OG</b:Last>
            <b:First>Nkrumah</b:First>
            <b:Middle>KJ</b:Middle>
          </b:Person>
        </b:NameList>
      </b:Author>
    </b:Author>
    <b:Title>Predicting 30-day hospital readmission in patients with diabetes using machine learning on electronic health record data</b:Title>
    <b:Year>2025</b:Year>
    <b:JournalName>Cureus</b:JournalName>
    <b:RefOrder>36</b:RefOrder>
  </b:Source>
  <b:Source>
    <b:Tag>Liu241</b:Tag>
    <b:SourceType>JournalArticle</b:SourceType>
    <b:Guid>{17418924-A07F-46E9-8AA9-1D0186B176C8}</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E6D9D975-5972-450E-9F55-2924CF5011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10810</TotalTime>
  <Pages>43</Pages>
  <Words>7184</Words>
  <Characters>40954</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48042</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96</cp:revision>
  <cp:lastPrinted>2023-01-09T21:56:00Z</cp:lastPrinted>
  <dcterms:created xsi:type="dcterms:W3CDTF">2026-01-04T09:15:00Z</dcterms:created>
  <dcterms:modified xsi:type="dcterms:W3CDTF">2026-10-26T20:45:00Z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