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5C579A">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Prediction models can influence access to limited resources, the scheduling of follow-ups, and how much attention is paid. An ethical assessment will have to address the issues of data reduction, secure handling, clear limitations, subgroup testing, human involvement, and post-deployment 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lastRenderedPageBreak/>
        <w:t>Research Gap</w:t>
      </w:r>
    </w:p>
    <w:p w14:paraId="79D60C48" w14:textId="77777777" w:rsidR="00C62554" w:rsidRPr="002A1670" w:rsidRDefault="00C62554" w:rsidP="002A1670">
      <w:pPr>
        <w:pStyle w:val="BodyText"/>
      </w:pP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2BF2ADFB" w14:textId="45FE668F" w:rsidR="007659E0" w:rsidRPr="00CB57DE" w:rsidRDefault="00477421" w:rsidP="00AB729D">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0067CB24">
            <wp:extent cx="5760085" cy="1059326"/>
            <wp:effectExtent l="0" t="0" r="0" b="762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5760085" cy="1059326"/>
                    </a:xfrm>
                    <a:prstGeom prst="rect">
                      <a:avLst/>
                    </a:prstGeom>
                    <a:noFill/>
                    <a:ln>
                      <a:noFill/>
                    </a:ln>
                    <a:extLst>
                      <a:ext uri="{53640926-AAD7-44D8-BBD7-CCE9431645EC}">
                        <a14:shadowObscured xmlns:a14="http://schemas.microsoft.com/office/drawing/2010/main"/>
                      </a:ext>
                    </a:extLst>
                  </pic:spPr>
                </pic:pic>
              </a:graphicData>
            </a:graphic>
          </wp:inline>
        </w:drawing>
      </w:r>
    </w:p>
    <w:p w14:paraId="0E22837D" w14:textId="667C0C35" w:rsidR="00AB729D" w:rsidRPr="00CB57DE" w:rsidRDefault="00760B7B" w:rsidP="00760B7B">
      <w:pPr>
        <w:pStyle w:val="Caption"/>
        <w:rPr>
          <w:color w:val="000000" w:themeColor="text1"/>
        </w:rPr>
      </w:pPr>
      <w:r>
        <w:lastRenderedPageBreak/>
        <w:t xml:space="preserve">Figure </w:t>
      </w:r>
      <w:r>
        <w:fldChar w:fldCharType="begin"/>
      </w:r>
      <w:r>
        <w:instrText xml:space="preserve"> SEQ Figure \* ARABIC </w:instrText>
      </w:r>
      <w:r>
        <w:fldChar w:fldCharType="separate"/>
      </w:r>
      <w:r>
        <w:t>1</w:t>
      </w:r>
      <w:r>
        <w:fldChar w:fldCharType="end"/>
      </w:r>
      <w:r>
        <w:t>: Cohort and evaluation workflow</w:t>
      </w:r>
    </w:p>
    <w:p w14:paraId="7DECB240" w14:textId="7A22E7D2"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t>Data collection</w:t>
      </w:r>
      <w:bookmarkEnd w:id="44"/>
      <w:r w:rsidR="00460133">
        <w:rPr>
          <w:rFonts w:asciiTheme="minorHAnsi" w:hAnsiTheme="minorHAnsi" w:cstheme="minorHAnsi"/>
          <w:color w:val="000000" w:themeColor="text1"/>
        </w:rPr>
        <w:t xml:space="preserve"> and Cohort Construction</w:t>
      </w:r>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07188C3D" w:rsidR="00867847" w:rsidRDefault="00E9693B" w:rsidP="00E9693B">
      <w:pPr>
        <w:pStyle w:val="Caption"/>
      </w:pPr>
      <w:r>
        <w:t xml:space="preserve">Table </w:t>
      </w:r>
      <w:r>
        <w:fldChar w:fldCharType="begin"/>
      </w:r>
      <w:r>
        <w:instrText xml:space="preserve"> SEQ Table \* ARABIC </w:instrText>
      </w:r>
      <w:r>
        <w:fldChar w:fldCharType="separate"/>
      </w:r>
      <w:r>
        <w:t>1</w:t>
      </w:r>
      <w:r>
        <w:fldChar w:fldCharType="end"/>
      </w:r>
      <w:r>
        <w:t>: Cohort explanation</w:t>
      </w:r>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w:t>
      </w:r>
      <w:proofErr w:type="spellStart"/>
      <w:r>
        <w:t>patient_nbr</w:t>
      </w:r>
      <w:proofErr w:type="spellEnd"/>
      <w:r>
        <w:t xml:space="preserve"> was kept solely as a grouping variable, while </w:t>
      </w:r>
      <w:proofErr w:type="spellStart"/>
      <w:r>
        <w:t>encounter_id</w:t>
      </w:r>
      <w:proofErr w:type="spellEnd"/>
      <w:r>
        <w:t xml:space="preserve"> and </w:t>
      </w:r>
      <w:proofErr w:type="spellStart"/>
      <w:r>
        <w:t>patient_nbr</w:t>
      </w:r>
      <w:proofErr w:type="spellEnd"/>
      <w:r>
        <w:t xml:space="preserve">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w:t>
      </w:r>
      <w:r>
        <w:lastRenderedPageBreak/>
        <w:t>large categories [0-10) and [10-20). By excluding [10-20), both 18- and 19-years-old will be excluded, while keeping that category in the data implies also retaining children. The chosen criterion can be considered a fair approximation of the intended criterion. The research then uses "age 20 years and over" exclusively.</w:t>
      </w:r>
    </w:p>
    <w:p w14:paraId="18709C72" w14:textId="011F9614"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r>
        <w:t>Data Preparation and Leakage Control</w:t>
      </w:r>
    </w:p>
    <w:p w14:paraId="6906C716" w14:textId="3B041788" w:rsidR="001E460C" w:rsidRDefault="00D3599B" w:rsidP="00216623">
      <w:pPr>
        <w:pStyle w:val="BodyText"/>
        <w:jc w:val="both"/>
        <w:rPr>
          <w:rFonts w:asciiTheme="minorHAnsi" w:hAnsiTheme="minorHAnsi" w:cstheme="minorHAnsi"/>
          <w:color w:val="000000" w:themeColor="text1"/>
        </w:rPr>
      </w:pPr>
      <w:r w:rsidRPr="00D3599B">
        <w:rPr>
          <w:rFonts w:asciiTheme="minorHAnsi" w:hAnsiTheme="minorHAnsi" w:cstheme="minorHAnsi"/>
          <w:color w:val="000000" w:themeColor="text1"/>
        </w:rPr>
        <w:t>Columns `</w:t>
      </w:r>
      <w:proofErr w:type="spellStart"/>
      <w:r w:rsidRPr="00D3599B">
        <w:rPr>
          <w:rFonts w:asciiTheme="minorHAnsi" w:hAnsiTheme="minorHAnsi" w:cstheme="minorHAnsi"/>
          <w:color w:val="000000" w:themeColor="text1"/>
        </w:rPr>
        <w:t>encounter_id</w:t>
      </w:r>
      <w:proofErr w:type="spellEnd"/>
      <w:r w:rsidRPr="00D3599B">
        <w:rPr>
          <w:rFonts w:asciiTheme="minorHAnsi" w:hAnsiTheme="minorHAnsi" w:cstheme="minorHAnsi"/>
          <w:color w:val="000000" w:themeColor="text1"/>
        </w:rPr>
        <w:t>` and `</w:t>
      </w:r>
      <w:proofErr w:type="spellStart"/>
      <w:r w:rsidRPr="00D3599B">
        <w:rPr>
          <w:rFonts w:asciiTheme="minorHAnsi" w:hAnsiTheme="minorHAnsi" w:cstheme="minorHAnsi"/>
          <w:color w:val="000000" w:themeColor="text1"/>
        </w:rPr>
        <w:t>patient_nbr</w:t>
      </w:r>
      <w:proofErr w:type="spellEnd"/>
      <w:r w:rsidRPr="00D3599B">
        <w:rPr>
          <w:rFonts w:asciiTheme="minorHAnsi" w:hAnsiTheme="minorHAnsi" w:cstheme="minorHAnsi"/>
          <w:color w:val="000000" w:themeColor="text1"/>
        </w:rPr>
        <w:t xml:space="preserve">` are deleted from predictors. Patient number is stored independently as a grouping variable. All missing symbols `?` are turned into NULL, while `weight` is excluded since there are 98,569 missing values out of 101,766 observations in the source dataset. Missing rates stay very high for </w:t>
      </w:r>
      <w:proofErr w:type="spellStart"/>
      <w:r w:rsidRPr="00D3599B">
        <w:rPr>
          <w:rFonts w:asciiTheme="minorHAnsi" w:hAnsiTheme="minorHAnsi" w:cstheme="minorHAnsi"/>
          <w:color w:val="000000" w:themeColor="text1"/>
        </w:rPr>
        <w:t>max_glu_serum</w:t>
      </w:r>
      <w:proofErr w:type="spellEnd"/>
      <w:r w:rsidRPr="00D3599B">
        <w:rPr>
          <w:rFonts w:asciiTheme="minorHAnsi" w:hAnsiTheme="minorHAnsi" w:cstheme="minorHAnsi"/>
          <w:color w:val="000000" w:themeColor="text1"/>
        </w:rPr>
        <w:t xml:space="preserve"> 96,420 (94.75% of the initial sample), A1Cresult 84,748 (83.28%), </w:t>
      </w:r>
      <w:proofErr w:type="spellStart"/>
      <w:r w:rsidRPr="00D3599B">
        <w:rPr>
          <w:rFonts w:asciiTheme="minorHAnsi" w:hAnsiTheme="minorHAnsi" w:cstheme="minorHAnsi"/>
          <w:color w:val="000000" w:themeColor="text1"/>
        </w:rPr>
        <w:t>medical_specialty</w:t>
      </w:r>
      <w:proofErr w:type="spellEnd"/>
      <w:r w:rsidRPr="00D3599B">
        <w:rPr>
          <w:rFonts w:asciiTheme="minorHAnsi" w:hAnsiTheme="minorHAnsi" w:cstheme="minorHAnsi"/>
          <w:color w:val="000000" w:themeColor="text1"/>
        </w:rPr>
        <w:t xml:space="preserve"> 49,949 (49.08%) and </w:t>
      </w:r>
      <w:proofErr w:type="spellStart"/>
      <w:r w:rsidRPr="00D3599B">
        <w:rPr>
          <w:rFonts w:asciiTheme="minorHAnsi" w:hAnsiTheme="minorHAnsi" w:cstheme="minorHAnsi"/>
          <w:color w:val="000000" w:themeColor="text1"/>
        </w:rPr>
        <w:t>payer_code</w:t>
      </w:r>
      <w:proofErr w:type="spellEnd"/>
      <w:r w:rsidRPr="00D3599B">
        <w:rPr>
          <w:rFonts w:asciiTheme="minorHAnsi" w:hAnsiTheme="minorHAnsi" w:cstheme="minorHAnsi"/>
          <w:color w:val="000000" w:themeColor="text1"/>
        </w:rPr>
        <w:t xml:space="preserve"> 40,256 (39.56%). For the final dataset, it detects 93,356 missing values of </w:t>
      </w:r>
      <w:proofErr w:type="spellStart"/>
      <w:r w:rsidRPr="00D3599B">
        <w:rPr>
          <w:rFonts w:asciiTheme="minorHAnsi" w:hAnsiTheme="minorHAnsi" w:cstheme="minorHAnsi"/>
          <w:color w:val="000000" w:themeColor="text1"/>
        </w:rPr>
        <w:t>max_glu_serum</w:t>
      </w:r>
      <w:proofErr w:type="spellEnd"/>
      <w:r w:rsidRPr="00D3599B">
        <w:rPr>
          <w:rFonts w:asciiTheme="minorHAnsi" w:hAnsiTheme="minorHAnsi" w:cstheme="minorHAnsi"/>
          <w:color w:val="000000" w:themeColor="text1"/>
        </w:rPr>
        <w:t xml:space="preserve">, 82,102 missing A1Cresult, 48,362 missing </w:t>
      </w:r>
      <w:proofErr w:type="spellStart"/>
      <w:r w:rsidRPr="00D3599B">
        <w:rPr>
          <w:rFonts w:asciiTheme="minorHAnsi" w:hAnsiTheme="minorHAnsi" w:cstheme="minorHAnsi"/>
          <w:color w:val="000000" w:themeColor="text1"/>
        </w:rPr>
        <w:t>medical_specialty</w:t>
      </w:r>
      <w:proofErr w:type="spellEnd"/>
      <w:r w:rsidRPr="00D3599B">
        <w:rPr>
          <w:rFonts w:asciiTheme="minorHAnsi" w:hAnsiTheme="minorHAnsi" w:cstheme="minorHAnsi"/>
          <w:color w:val="000000" w:themeColor="text1"/>
        </w:rPr>
        <w:t xml:space="preserve">, and 38,789 missing </w:t>
      </w:r>
      <w:proofErr w:type="spellStart"/>
      <w:r w:rsidRPr="00D3599B">
        <w:rPr>
          <w:rFonts w:asciiTheme="minorHAnsi" w:hAnsiTheme="minorHAnsi" w:cstheme="minorHAnsi"/>
          <w:color w:val="000000" w:themeColor="text1"/>
        </w:rPr>
        <w:t>payer_code</w:t>
      </w:r>
      <w:proofErr w:type="spellEnd"/>
      <w:r w:rsidRPr="00D3599B">
        <w:rPr>
          <w:rFonts w:asciiTheme="minorHAnsi" w:hAnsiTheme="minorHAnsi" w:cstheme="minorHAnsi"/>
          <w:color w:val="000000" w:themeColor="text1"/>
        </w:rPr>
        <w:t xml:space="preserve">. Numerical variables are median imputed and standardized in the framework of logistic regression, categorical are median imputed based on the most common value and one-hot encoded with unknown categories ignored. A special pipeline is developed for </w:t>
      </w:r>
      <w:proofErr w:type="spellStart"/>
      <w:r w:rsidRPr="00D3599B">
        <w:rPr>
          <w:rFonts w:asciiTheme="minorHAnsi" w:hAnsiTheme="minorHAnsi" w:cstheme="minorHAnsi"/>
          <w:color w:val="000000" w:themeColor="text1"/>
        </w:rPr>
        <w:t>XGBoost</w:t>
      </w:r>
      <w:proofErr w:type="spellEnd"/>
      <w:r w:rsidRPr="00D3599B">
        <w:rPr>
          <w:rFonts w:asciiTheme="minorHAnsi" w:hAnsiTheme="minorHAnsi" w:cstheme="minorHAnsi"/>
          <w:color w:val="000000" w:themeColor="text1"/>
        </w:rPr>
        <w:t xml:space="preserve"> without numerical scaling. EBM uses string categories and median numerical imputation.</w:t>
      </w:r>
    </w:p>
    <w:p w14:paraId="71BC3FC7" w14:textId="77777777"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pipeline. The logistic regression uses scaling for the numeric variables while tree models do not need such scaling. EBM uses the relevant categorical/numerical preprocessing. A leakage test ensures that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are removed.</w:t>
      </w:r>
    </w:p>
    <w:p w14:paraId="773B7AD2" w14:textId="5DE7B4BF"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proofErr w:type="spellStart"/>
      <w:r w:rsidRPr="006435E6">
        <w:rPr>
          <w:rFonts w:asciiTheme="minorHAnsi" w:hAnsiTheme="minorHAnsi" w:cstheme="minorHAnsi"/>
          <w:color w:val="000000" w:themeColor="text1"/>
        </w:rPr>
        <w:t>dataframe</w:t>
      </w:r>
      <w:proofErr w:type="spellEnd"/>
      <w:r w:rsidRPr="006435E6">
        <w:rPr>
          <w:rFonts w:asciiTheme="minorHAnsi" w:hAnsiTheme="minorHAnsi" w:cstheme="minorHAnsi"/>
          <w:color w:val="000000" w:themeColor="text1"/>
        </w:rPr>
        <w:t xml:space="preserve"> and creates X, y and groups based on that </w:t>
      </w:r>
      <w:proofErr w:type="spellStart"/>
      <w:r w:rsidRPr="006435E6">
        <w:rPr>
          <w:rFonts w:asciiTheme="minorHAnsi" w:hAnsiTheme="minorHAnsi" w:cstheme="minorHAnsi"/>
          <w:color w:val="000000" w:themeColor="text1"/>
        </w:rPr>
        <w:t>dataframe</w:t>
      </w:r>
      <w:proofErr w:type="spellEnd"/>
      <w:r w:rsidRPr="006435E6">
        <w:rPr>
          <w:rFonts w:asciiTheme="minorHAnsi" w:hAnsiTheme="minorHAnsi" w:cstheme="minorHAnsi"/>
          <w:color w:val="000000" w:themeColor="text1"/>
        </w:rPr>
        <w:t xml:space="preserve"> and checks the lengths and indexes before splitting. The final modelling dataset has 98,493 </w:t>
      </w:r>
      <w:r w:rsidRPr="006435E6">
        <w:rPr>
          <w:rFonts w:asciiTheme="minorHAnsi" w:hAnsiTheme="minorHAnsi" w:cstheme="minorHAnsi"/>
          <w:color w:val="000000" w:themeColor="text1"/>
        </w:rPr>
        <w:lastRenderedPageBreak/>
        <w:t>observations with 46 predictors excluding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xml:space="preserve">`;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4ACB442F" w:rsidR="00216623" w:rsidRPr="00CB57DE" w:rsidRDefault="00C41E43" w:rsidP="000D1EBA">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Models and LACE benchmark</w:t>
      </w:r>
    </w:p>
    <w:p w14:paraId="3CA7F67F" w14:textId="705B1B78" w:rsidR="00216623" w:rsidRDefault="00784E00" w:rsidP="00784E00">
      <w:pPr>
        <w:pStyle w:val="BodyText"/>
        <w:jc w:val="both"/>
        <w:rPr>
          <w:rFonts w:asciiTheme="minorHAnsi" w:hAnsiTheme="minorHAnsi" w:cstheme="minorHAnsi"/>
          <w:color w:val="000000" w:themeColor="text1"/>
        </w:rPr>
      </w:pPr>
      <w:r w:rsidRPr="00784E00">
        <w:rPr>
          <w:rFonts w:asciiTheme="minorHAnsi" w:hAnsiTheme="minorHAnsi" w:cstheme="minorHAnsi"/>
          <w:color w:val="000000" w:themeColor="text1"/>
        </w:rPr>
        <w:t xml:space="preserve">The model set is selected not with the goal of searching the entire algorithmic space, but rather comparing various types of complexity and interpretability. Penalty logistic regression represents a standard parametric approach with the simpler decision-making process. EBM model demonstrates nonlinear feature functions as well as selected interactions but with inspectable functions. </w:t>
      </w:r>
      <w:proofErr w:type="spellStart"/>
      <w:r w:rsidRPr="00784E00">
        <w:rPr>
          <w:rFonts w:asciiTheme="minorHAnsi" w:hAnsiTheme="minorHAnsi" w:cstheme="minorHAnsi"/>
          <w:color w:val="000000" w:themeColor="text1"/>
        </w:rPr>
        <w:t>XGBoost</w:t>
      </w:r>
      <w:proofErr w:type="spellEnd"/>
      <w:r w:rsidRPr="00784E00">
        <w:rPr>
          <w:rFonts w:asciiTheme="minorHAnsi" w:hAnsiTheme="minorHAnsi" w:cstheme="minorHAnsi"/>
          <w:color w:val="000000" w:themeColor="text1"/>
        </w:rPr>
        <w:t xml:space="preserve"> model demonstrates how the boosted tree learning algorithm works with interaction and threshold capturing that is done automatically. Adapted LACE score is added to the list of models as an example of a concise clinical score rather than a machine learning model.</w:t>
      </w:r>
    </w:p>
    <w:p w14:paraId="0E70969C" w14:textId="77777777" w:rsidR="001C09AF" w:rsidRPr="001C09AF"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Penalised logistic regression model is chosen using five-fold </w:t>
      </w:r>
      <w:proofErr w:type="spellStart"/>
      <w:r w:rsidRPr="001C09AF">
        <w:rPr>
          <w:rFonts w:asciiTheme="minorHAnsi" w:hAnsiTheme="minorHAnsi" w:cstheme="minorHAnsi"/>
          <w:color w:val="000000" w:themeColor="text1"/>
        </w:rPr>
        <w:t>StratifiedGroupKFold</w:t>
      </w:r>
      <w:proofErr w:type="spellEnd"/>
      <w:r w:rsidRPr="001C09AF">
        <w:rPr>
          <w:rFonts w:asciiTheme="minorHAnsi" w:hAnsiTheme="minorHAnsi" w:cstheme="minorHAnsi"/>
          <w:color w:val="000000" w:themeColor="text1"/>
        </w:rPr>
        <w:t xml:space="preserve"> cross-validation on the training split. Chosen C=0.01 and grouped cross-validation ROC-AUC is 0.6625. EBM is tuned to use 10 interactions, 256 max bins, learning rate of 0.05 and 1000 rounds. </w:t>
      </w:r>
      <w:proofErr w:type="spellStart"/>
      <w:r w:rsidRPr="001C09AF">
        <w:rPr>
          <w:rFonts w:asciiTheme="minorHAnsi" w:hAnsiTheme="minorHAnsi" w:cstheme="minorHAnsi"/>
          <w:color w:val="000000" w:themeColor="text1"/>
        </w:rPr>
        <w:t>XGBoost</w:t>
      </w:r>
      <w:proofErr w:type="spellEnd"/>
      <w:r w:rsidRPr="001C09AF">
        <w:rPr>
          <w:rFonts w:asciiTheme="minorHAnsi" w:hAnsiTheme="minorHAnsi" w:cstheme="minorHAnsi"/>
          <w:color w:val="000000" w:themeColor="text1"/>
        </w:rPr>
        <w:t xml:space="preserve"> employs 300 estimators, depth 5, learning rate 0.05, subsampling of 0.8 and 0.8 columns, positive class weighing based on the prevalence in the training set. These settings are the final configurations of the tree-based models and shouldn’t be called exhaustive tuning if no further hyperparameter search was performed. Adapted LACE score is used as a benchmark for ranking performance.</w:t>
      </w:r>
    </w:p>
    <w:p w14:paraId="1B4C7B2E" w14:textId="672ABE69" w:rsidR="001C09AF" w:rsidRPr="00CB57DE"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Adapted LACE score is based on the length of stay, admission acuity, Charlson comorbidity score adapted from up to three diagnosis codes and number of emergencies. The score is calculated as a single scalar which is then used as a ranking score in ROC-AUC and average precision calculations. The experiment is exploratory and shouldn’t be considered a </w:t>
      </w:r>
      <w:r w:rsidRPr="001C09AF">
        <w:rPr>
          <w:rFonts w:asciiTheme="minorHAnsi" w:hAnsiTheme="minorHAnsi" w:cstheme="minorHAnsi"/>
          <w:color w:val="000000" w:themeColor="text1"/>
        </w:rPr>
        <w:t>faithful</w:t>
      </w:r>
      <w:r w:rsidRPr="001C09AF">
        <w:rPr>
          <w:rFonts w:asciiTheme="minorHAnsi" w:hAnsiTheme="minorHAnsi" w:cstheme="minorHAnsi"/>
          <w:color w:val="000000" w:themeColor="text1"/>
        </w:rPr>
        <w:t xml:space="preserve"> implementation of the LACE tool.</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45" w:name="_Toc44992077"/>
      <w:bookmarkStart w:id="46" w:name="_Toc177043278"/>
      <w:r w:rsidRPr="00CB57DE">
        <w:rPr>
          <w:rFonts w:asciiTheme="minorHAnsi" w:hAnsiTheme="minorHAnsi" w:cstheme="minorHAnsi"/>
          <w:noProof w:val="0"/>
          <w:color w:val="000000" w:themeColor="text1"/>
        </w:rPr>
        <w:t xml:space="preserve">Ethical </w:t>
      </w:r>
      <w:bookmarkEnd w:id="45"/>
      <w:r w:rsidR="00EF59A1" w:rsidRPr="00CB57DE">
        <w:rPr>
          <w:rFonts w:asciiTheme="minorHAnsi" w:hAnsiTheme="minorHAnsi" w:cstheme="minorHAnsi"/>
          <w:noProof w:val="0"/>
          <w:color w:val="000000" w:themeColor="text1"/>
        </w:rPr>
        <w:t>Considerations</w:t>
      </w:r>
      <w:bookmarkEnd w:id="46"/>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7" w:name="_Toc44992078"/>
      <w:bookmarkStart w:id="48" w:name="_Toc177043279"/>
      <w:r w:rsidRPr="00CB57DE">
        <w:rPr>
          <w:rFonts w:asciiTheme="minorHAnsi" w:hAnsiTheme="minorHAnsi" w:cstheme="minorHAnsi"/>
          <w:color w:val="000000" w:themeColor="text1"/>
        </w:rPr>
        <w:lastRenderedPageBreak/>
        <w:t>Data Analysis</w:t>
      </w:r>
      <w:bookmarkEnd w:id="47"/>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48"/>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49" w:name="_Toc44992112"/>
      <w:bookmarkStart w:id="50"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49"/>
      <w:bookmarkEnd w:id="5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1" w:name="_Toc44992114"/>
      <w:bookmarkStart w:id="52"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1"/>
      <w:bookmarkEnd w:id="52"/>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3" w:name="_Toc177043282"/>
      <w:r w:rsidRPr="00CB57DE">
        <w:rPr>
          <w:rFonts w:asciiTheme="minorHAnsi" w:eastAsia="Calibri" w:hAnsiTheme="minorHAnsi" w:cstheme="minorHAnsi"/>
          <w:noProof w:val="0"/>
          <w:color w:val="000000" w:themeColor="text1"/>
        </w:rPr>
        <w:t>Comparison with previous studies</w:t>
      </w:r>
      <w:bookmarkEnd w:id="53"/>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4"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4"/>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5" w:name="_Toc177043284"/>
      <w:bookmarkStart w:id="56"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5"/>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7" w:name="_Toc177043285"/>
      <w:r w:rsidRPr="00CB57DE">
        <w:rPr>
          <w:rFonts w:asciiTheme="minorHAnsi" w:eastAsia="Calibri" w:hAnsiTheme="minorHAnsi" w:cstheme="minorHAnsi"/>
          <w:noProof w:val="0"/>
          <w:color w:val="000000" w:themeColor="text1"/>
        </w:rPr>
        <w:t>Answer Objective 3</w:t>
      </w:r>
      <w:bookmarkEnd w:id="57"/>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58" w:name="_Toc177043286"/>
      <w:bookmarkEnd w:id="56"/>
      <w:r w:rsidRPr="00CB57DE">
        <w:rPr>
          <w:rFonts w:asciiTheme="minorHAnsi" w:hAnsiTheme="minorHAnsi" w:cstheme="minorHAnsi"/>
          <w:color w:val="000000" w:themeColor="text1"/>
        </w:rPr>
        <w:t>Summary</w:t>
      </w:r>
      <w:bookmarkEnd w:id="58"/>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59" w:name="_Toc44992117"/>
      <w:bookmarkStart w:id="60" w:name="_Toc177043287"/>
      <w:r w:rsidRPr="00CB57DE">
        <w:rPr>
          <w:rFonts w:asciiTheme="minorHAnsi" w:eastAsia="Calibri" w:hAnsiTheme="minorHAnsi" w:cstheme="minorHAnsi"/>
          <w:color w:val="000000" w:themeColor="text1"/>
        </w:rPr>
        <w:lastRenderedPageBreak/>
        <w:t>Conclusion</w:t>
      </w:r>
      <w:bookmarkEnd w:id="59"/>
      <w:bookmarkEnd w:id="60"/>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1" w:name="_Toc44992119"/>
      <w:bookmarkStart w:id="62"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1"/>
      <w:r w:rsidR="00E30F69" w:rsidRPr="00CB57DE">
        <w:rPr>
          <w:rFonts w:asciiTheme="minorHAnsi" w:eastAsia="Calibri" w:hAnsiTheme="minorHAnsi" w:cstheme="minorHAnsi"/>
          <w:noProof w:val="0"/>
          <w:color w:val="000000" w:themeColor="text1"/>
        </w:rPr>
        <w:t>s</w:t>
      </w:r>
      <w:bookmarkEnd w:id="62"/>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3" w:name="_Toc44992120"/>
      <w:bookmarkStart w:id="64" w:name="_Toc177043289"/>
      <w:r w:rsidRPr="00CB57DE">
        <w:rPr>
          <w:rFonts w:asciiTheme="minorHAnsi" w:eastAsia="Calibri" w:hAnsiTheme="minorHAnsi" w:cstheme="minorHAnsi"/>
          <w:noProof w:val="0"/>
          <w:color w:val="000000" w:themeColor="text1"/>
        </w:rPr>
        <w:t>Contribution</w:t>
      </w:r>
      <w:bookmarkEnd w:id="63"/>
      <w:bookmarkEnd w:id="64"/>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5" w:name="_Toc44992121"/>
      <w:bookmarkStart w:id="66" w:name="_Toc177043290"/>
      <w:r w:rsidRPr="00CB57DE">
        <w:rPr>
          <w:rFonts w:asciiTheme="minorHAnsi" w:eastAsia="Calibri" w:hAnsiTheme="minorHAnsi" w:cstheme="minorHAnsi"/>
          <w:noProof w:val="0"/>
          <w:color w:val="000000" w:themeColor="text1"/>
        </w:rPr>
        <w:t xml:space="preserve">Future </w:t>
      </w:r>
      <w:bookmarkEnd w:id="65"/>
      <w:r w:rsidR="009A7346" w:rsidRPr="00CB57DE">
        <w:rPr>
          <w:rFonts w:asciiTheme="minorHAnsi" w:eastAsia="Calibri" w:hAnsiTheme="minorHAnsi" w:cstheme="minorHAnsi"/>
          <w:noProof w:val="0"/>
          <w:color w:val="000000" w:themeColor="text1"/>
        </w:rPr>
        <w:t>work</w:t>
      </w:r>
      <w:bookmarkEnd w:id="6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7" w:name="_Toc44992122"/>
      <w:bookmarkStart w:id="68" w:name="_Toc177043291"/>
      <w:r w:rsidRPr="00CB57DE">
        <w:rPr>
          <w:rFonts w:asciiTheme="minorHAnsi" w:eastAsia="Calibri" w:hAnsiTheme="minorHAnsi" w:cstheme="minorHAnsi"/>
          <w:color w:val="000000" w:themeColor="text1"/>
        </w:rPr>
        <w:lastRenderedPageBreak/>
        <w:t>References</w:t>
      </w:r>
      <w:bookmarkEnd w:id="67"/>
      <w:bookmarkEnd w:id="68"/>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69" w:name="_Toc44992123"/>
      <w:bookmarkStart w:id="70" w:name="_Toc177043292"/>
      <w:bookmarkEnd w:id="69"/>
      <w:r w:rsidRPr="00CB57DE">
        <w:rPr>
          <w:rFonts w:asciiTheme="minorHAnsi" w:eastAsia="Calibri" w:hAnsiTheme="minorHAnsi" w:cstheme="minorHAnsi"/>
          <w:color w:val="000000" w:themeColor="text1"/>
        </w:rPr>
        <w:lastRenderedPageBreak/>
        <w:t>Appendix A</w:t>
      </w:r>
      <w:bookmarkEnd w:id="70"/>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1" w:name="_Toc44992124"/>
      <w:bookmarkStart w:id="72"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1"/>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2"/>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3" w:name="_Toc44992125"/>
      <w:bookmarkStart w:id="74"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3"/>
      <w:r w:rsidR="0066193F" w:rsidRPr="00CB57DE">
        <w:rPr>
          <w:rFonts w:asciiTheme="minorHAnsi" w:hAnsiTheme="minorHAnsi" w:cstheme="minorHAnsi"/>
          <w:color w:val="000000" w:themeColor="text1"/>
        </w:rPr>
        <w:t xml:space="preserve"> (if applicable)</w:t>
      </w:r>
      <w:bookmarkEnd w:id="74"/>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5" w:name="_Toc44992126"/>
      <w:bookmarkStart w:id="76" w:name="_Toc177043295"/>
      <w:r w:rsidRPr="00CB57DE">
        <w:rPr>
          <w:rFonts w:asciiTheme="minorHAnsi" w:hAnsiTheme="minorHAnsi" w:cstheme="minorHAnsi"/>
          <w:color w:val="000000" w:themeColor="text1"/>
        </w:rPr>
        <w:t>Questionnaire</w:t>
      </w:r>
      <w:bookmarkEnd w:id="75"/>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6"/>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7" w:name="_Toc44992128"/>
      <w:bookmarkStart w:id="78"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7"/>
      <w:r w:rsidRPr="00CB57DE">
        <w:rPr>
          <w:rFonts w:asciiTheme="minorHAnsi" w:hAnsiTheme="minorHAnsi" w:cstheme="minorHAnsi"/>
          <w:color w:val="000000" w:themeColor="text1"/>
        </w:rPr>
        <w:t xml:space="preserve"> (If Applicable)</w:t>
      </w:r>
      <w:bookmarkEnd w:id="78"/>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79"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79"/>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4"/>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52219" w14:textId="77777777" w:rsidR="005C579A" w:rsidRDefault="005C579A">
      <w:r>
        <w:separator/>
      </w:r>
    </w:p>
  </w:endnote>
  <w:endnote w:type="continuationSeparator" w:id="0">
    <w:p w14:paraId="2A2A888B" w14:textId="77777777" w:rsidR="005C579A" w:rsidRDefault="005C579A">
      <w:r>
        <w:continuationSeparator/>
      </w:r>
    </w:p>
  </w:endnote>
  <w:endnote w:type="continuationNotice" w:id="1">
    <w:p w14:paraId="6DE2EAD6" w14:textId="77777777" w:rsidR="005C579A" w:rsidRDefault="005C57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82453" w14:textId="77777777" w:rsidR="005C579A" w:rsidRDefault="005C579A">
      <w:r>
        <w:separator/>
      </w:r>
    </w:p>
  </w:footnote>
  <w:footnote w:type="continuationSeparator" w:id="0">
    <w:p w14:paraId="77DB4052" w14:textId="77777777" w:rsidR="005C579A" w:rsidRDefault="005C579A">
      <w:r>
        <w:continuationSeparator/>
      </w:r>
    </w:p>
  </w:footnote>
  <w:footnote w:type="continuationNotice" w:id="1">
    <w:p w14:paraId="6DA646B4" w14:textId="77777777" w:rsidR="005C579A" w:rsidRDefault="005C579A"/>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9AF"/>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79A"/>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00"/>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1E43"/>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760B7B"/>
    <w:pPr>
      <w:keepNext/>
      <w:spacing w:before="240" w:after="240"/>
      <w:ind w:left="851" w:hanging="851"/>
      <w:jc w:val="center"/>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4</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5</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6</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7</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9</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10</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11</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12</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13</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14</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15</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16</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17</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18</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19</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20</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21</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22</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24</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25</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26</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27</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28</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29</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30</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31</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32</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33</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34</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3</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22B34F66-46C8-4D12-8DC8-30B125856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7309</TotalTime>
  <Pages>39</Pages>
  <Words>5921</Words>
  <Characters>33752</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39594</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64</cp:revision>
  <cp:lastPrinted>2023-01-09T21:56:00Z</cp:lastPrinted>
  <dcterms:created xsi:type="dcterms:W3CDTF">2026-01-04T09:15:00Z</dcterms:created>
  <dcterms:modified xsi:type="dcterms:W3CDTF">2026-10-23T23:53:00Z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