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60" w:before="0"/>
        <w:jc w:val="center"/>
      </w:pPr>
      <w:r>
        <w:rPr>
          <w:rFonts w:ascii="Arial" w:cs="Arial" w:eastAsia="Arial" w:hAnsi="Arial"/>
          <w:b/>
          <w:bCs/>
          <w:color w:val="2E75B6"/>
          <w:sz w:val="22"/>
          <w:szCs w:val="22"/>
        </w:rPr>
        <w:t xml:space="preserve">DATA ANALYTICS PORTFOLIO PROJECT</w:t>
      </w:r>
    </w:p>
    <w:p>
      <w:pPr>
        <w:spacing w:after="200" w:before="0"/>
        <w:jc w:val="center"/>
      </w:pPr>
      <w:r>
        <w:rPr>
          <w:rFonts w:ascii="Arial" w:cs="Arial" w:eastAsia="Arial" w:hAnsi="Arial"/>
          <w:b/>
          <w:bCs/>
          <w:color w:val="1B3A6B"/>
          <w:sz w:val="52"/>
          <w:szCs w:val="52"/>
        </w:rPr>
        <w:t xml:space="preserve">Global E-Commerce Sales Dashboard</w:t>
      </w:r>
    </w:p>
    <w:p>
      <w:pPr>
        <w:spacing w:after="240" w:before="0"/>
        <w:jc w:val="center"/>
      </w:pPr>
      <w:r>
        <w:rPr>
          <w:rFonts w:ascii="Arial" w:cs="Arial" w:eastAsia="Arial" w:hAnsi="Arial"/>
          <w:color w:val="4A4A6A"/>
          <w:sz w:val="26"/>
          <w:szCs w:val="26"/>
        </w:rPr>
        <w:t xml:space="preserve">Interactive Business Intelligence Dashboard using Power BI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pPr>
              <w:jc w:val="center"/>
            </w:pPr>
            <w:r>
              <w:rPr>
                <w:rFonts w:ascii="Arial" w:cs="Arial" w:eastAsia="Arial" w:hAnsi="Arial"/>
                <w:color w:val="D6E4F0"/>
                <w:sz w:val="20"/>
                <w:szCs w:val="20"/>
              </w:rPr>
              <w:t xml:space="preserve">Prepared by  </w:t>
            </w:r>
            <w:r>
              <w:rPr>
                <w:rFonts w:ascii="Arial" w:cs="Arial" w:eastAsia="Arial" w:hAnsi="Arial"/>
                <w:b/>
                <w:bCs/>
                <w:color w:val="FFFFFF"/>
                <w:sz w:val="28"/>
                <w:szCs w:val="28"/>
              </w:rPr>
              <w:t xml:space="preserve">Umayema Bazila Khan</w:t>
            </w:r>
          </w:p>
        </w:tc>
      </w:tr>
    </w:tbl>
    <w:p>
      <w:pPr>
        <w:spacing w:after="0" w:before="5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tcPr>
          <w:p>
            <w:pPr>
              <w:jc w:val="center"/>
            </w:pPr>
            <w:r>
              <w:rPr>
                <w:rFonts w:ascii="Arial" w:cs="Arial" w:eastAsia="Arial" w:hAnsi="Arial"/>
                <w:b/>
                <w:bCs/>
                <w:color w:val="C9A227"/>
                <w:sz w:val="52"/>
                <w:szCs w:val="52"/>
              </w:rPr>
              <w:t xml:space="preserve">3</w:t>
            </w:r>
          </w:p>
          <w:p>
            <w:pPr>
              <w:jc w:val="center"/>
            </w:pPr>
            <w:r>
              <w:rPr>
                <w:rFonts w:ascii="Arial" w:cs="Arial" w:eastAsia="Arial" w:hAnsi="Arial"/>
                <w:color w:val="FFFFFF"/>
                <w:sz w:val="20"/>
                <w:szCs w:val="20"/>
              </w:rPr>
              <w:t xml:space="preserve">Dashboard Pages</w:t>
            </w:r>
          </w:p>
        </w:tc>
        <w:tc>
          <w:tcPr>
            <w:tcW w:type="dxa" w:w="3120"/>
            <w:tcBorders>
              <w:top w:val="none" w:color="FFFFFF" w:sz="0"/>
              <w:left w:val="none" w:color="FFFFFF" w:sz="0"/>
              <w:bottom w:val="none" w:color="FFFFFF" w:sz="0"/>
              <w:right w:val="none" w:color="FFFFFF" w:sz="0"/>
            </w:tcBorders>
            <w:shd w:fill="2E75B6" w:val="clear"/>
            <w:tcMar>
              <w:top w:type="dxa" w:w="160"/>
              <w:left w:type="dxa" w:w="160"/>
              <w:bottom w:type="dxa" w:w="160"/>
              <w:right w:type="dxa" w:w="160"/>
            </w:tcMar>
          </w:tcPr>
          <w:p>
            <w:pPr>
              <w:jc w:val="center"/>
            </w:pPr>
            <w:r>
              <w:rPr>
                <w:rFonts w:ascii="Arial" w:cs="Arial" w:eastAsia="Arial" w:hAnsi="Arial"/>
                <w:b/>
                <w:bCs/>
                <w:color w:val="FFFFFF"/>
                <w:sz w:val="52"/>
                <w:szCs w:val="52"/>
              </w:rPr>
              <w:t xml:space="preserve">12+</w:t>
            </w:r>
          </w:p>
          <w:p>
            <w:pPr>
              <w:jc w:val="center"/>
            </w:pPr>
            <w:r>
              <w:rPr>
                <w:rFonts w:ascii="Arial" w:cs="Arial" w:eastAsia="Arial" w:hAnsi="Arial"/>
                <w:color w:val="FFFFFF"/>
                <w:sz w:val="20"/>
                <w:szCs w:val="20"/>
              </w:rPr>
              <w:t xml:space="preserve">DAX Measures</w:t>
            </w:r>
          </w:p>
        </w:tc>
        <w:tc>
          <w:tcPr>
            <w:tcW w:type="dxa" w:w="312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tcPr>
          <w:p>
            <w:pPr>
              <w:jc w:val="center"/>
            </w:pPr>
            <w:r>
              <w:rPr>
                <w:rFonts w:ascii="Arial" w:cs="Arial" w:eastAsia="Arial" w:hAnsi="Arial"/>
                <w:b/>
                <w:bCs/>
                <w:color w:val="C9A227"/>
                <w:sz w:val="52"/>
                <w:szCs w:val="52"/>
              </w:rPr>
              <w:t xml:space="preserve">4</w:t>
            </w:r>
          </w:p>
          <w:p>
            <w:pPr>
              <w:jc w:val="center"/>
            </w:pPr>
            <w:r>
              <w:rPr>
                <w:rFonts w:ascii="Arial" w:cs="Arial" w:eastAsia="Arial" w:hAnsi="Arial"/>
                <w:color w:val="FFFFFF"/>
                <w:sz w:val="20"/>
                <w:szCs w:val="20"/>
              </w:rPr>
              <w:t xml:space="preserve">Core Tools Used</w:t>
            </w:r>
          </w:p>
        </w:tc>
      </w:tr>
    </w:tbl>
    <w:p>
      <w:pPr>
        <w:spacing w:after="0" w:before="640"/>
      </w:pPr>
      <w:r>
        <w:t xml:space="preserve"/>
      </w:r>
    </w:p>
    <w:p>
      <w:pPr>
        <w:pBdr>
          <w:bottom w:val="single" w:color="D0D7E2" w:sz="2" w:space="1"/>
        </w:pBdr>
        <w:spacing w:after="160" w:before="8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80"/>
            </w:tcMar>
          </w:tcPr>
          <w:p>
            <w:pPr>
              <w:spacing w:after="60" w:before="60"/>
            </w:pPr>
            <w:r>
              <w:rPr>
                <w:rFonts w:ascii="Arial" w:cs="Arial" w:eastAsia="Arial" w:hAnsi="Arial"/>
                <w:b/>
                <w:bCs/>
                <w:color w:val="1B3A6B"/>
                <w:sz w:val="22"/>
                <w:szCs w:val="22"/>
              </w:rPr>
              <w:t xml:space="preserve">Student Name: </w:t>
            </w:r>
            <w:r>
              <w:rPr>
                <w:rFonts w:ascii="Arial" w:cs="Arial" w:eastAsia="Arial" w:hAnsi="Arial"/>
                <w:color w:val="1A1A2E"/>
                <w:sz w:val="22"/>
                <w:szCs w:val="22"/>
              </w:rPr>
              <w:t xml:space="preserve">Umayema Bazila Khan</w:t>
            </w:r>
          </w:p>
        </w:tc>
        <w:tc>
          <w:tcPr>
            <w:tcW w:type="dxa" w:w="4680"/>
            <w:tcBorders>
              <w:top w:val="none" w:color="FFFFFF" w:sz="0"/>
              <w:left w:val="none" w:color="FFFFFF" w:sz="0"/>
              <w:bottom w:val="none" w:color="FFFFFF" w:sz="0"/>
              <w:right w:val="none" w:color="FFFFFF" w:sz="0"/>
            </w:tcBorders>
            <w:tcMar>
              <w:top w:type="dxa" w:w="80"/>
              <w:left w:type="dxa" w:w="80"/>
              <w:bottom w:type="dxa" w:w="80"/>
              <w:right w:type="dxa" w:w="0"/>
            </w:tcMar>
          </w:tcPr>
          <w:p>
            <w:pPr>
              <w:spacing w:after="60" w:before="60"/>
            </w:pPr>
            <w:r>
              <w:rPr>
                <w:rFonts w:ascii="Arial" w:cs="Arial" w:eastAsia="Arial" w:hAnsi="Arial"/>
                <w:b/>
                <w:bCs/>
                <w:color w:val="1B3A6B"/>
                <w:sz w:val="22"/>
                <w:szCs w:val="22"/>
              </w:rPr>
              <w:t xml:space="preserve">Domain: </w:t>
            </w:r>
            <w:r>
              <w:rPr>
                <w:rFonts w:ascii="Arial" w:cs="Arial" w:eastAsia="Arial" w:hAnsi="Arial"/>
                <w:color w:val="1A1A2E"/>
                <w:sz w:val="22"/>
                <w:szCs w:val="22"/>
              </w:rPr>
              <w:t xml:space="preserve">E-Commerce / Retail Analytics</w:t>
            </w:r>
          </w:p>
        </w:tc>
      </w:tr>
      <w:tr>
        <w:tc>
          <w:tcPr>
            <w:tcW w:type="dxa" w:w="4680"/>
            <w:tcBorders>
              <w:top w:val="none" w:color="FFFFFF" w:sz="0"/>
              <w:left w:val="none" w:color="FFFFFF" w:sz="0"/>
              <w:bottom w:val="none" w:color="FFFFFF" w:sz="0"/>
              <w:right w:val="none" w:color="FFFFFF" w:sz="0"/>
            </w:tcBorders>
            <w:tcMar>
              <w:top w:type="dxa" w:w="80"/>
              <w:left w:type="dxa" w:w="0"/>
              <w:bottom w:type="dxa" w:w="80"/>
              <w:right w:type="dxa" w:w="80"/>
            </w:tcMar>
          </w:tcPr>
          <w:p>
            <w:pPr>
              <w:spacing w:after="60" w:before="60"/>
            </w:pPr>
            <w:r>
              <w:rPr>
                <w:rFonts w:ascii="Arial" w:cs="Arial" w:eastAsia="Arial" w:hAnsi="Arial"/>
                <w:b/>
                <w:bCs/>
                <w:color w:val="1B3A6B"/>
                <w:sz w:val="22"/>
                <w:szCs w:val="22"/>
              </w:rPr>
              <w:t xml:space="preserve">Project Type: </w:t>
            </w:r>
            <w:r>
              <w:rPr>
                <w:rFonts w:ascii="Arial" w:cs="Arial" w:eastAsia="Arial" w:hAnsi="Arial"/>
                <w:color w:val="1A1A2E"/>
                <w:sz w:val="22"/>
                <w:szCs w:val="22"/>
              </w:rPr>
              <w:t xml:space="preserve">Business Intelligence Dashboard</w:t>
            </w:r>
          </w:p>
        </w:tc>
        <w:tc>
          <w:tcPr>
            <w:tcW w:type="dxa" w:w="4680"/>
            <w:tcBorders>
              <w:top w:val="none" w:color="FFFFFF" w:sz="0"/>
              <w:left w:val="none" w:color="FFFFFF" w:sz="0"/>
              <w:bottom w:val="none" w:color="FFFFFF" w:sz="0"/>
              <w:right w:val="none" w:color="FFFFFF" w:sz="0"/>
            </w:tcBorders>
            <w:tcMar>
              <w:top w:type="dxa" w:w="80"/>
              <w:left w:type="dxa" w:w="80"/>
              <w:bottom w:type="dxa" w:w="80"/>
              <w:right w:type="dxa" w:w="0"/>
            </w:tcMar>
          </w:tcPr>
          <w:p>
            <w:pPr>
              <w:spacing w:after="60" w:before="60"/>
            </w:pPr>
            <w:r>
              <w:rPr>
                <w:rFonts w:ascii="Arial" w:cs="Arial" w:eastAsia="Arial" w:hAnsi="Arial"/>
                <w:b/>
                <w:bCs/>
                <w:color w:val="1B3A6B"/>
                <w:sz w:val="22"/>
                <w:szCs w:val="22"/>
              </w:rPr>
              <w:t xml:space="preserve">Domain: </w:t>
            </w:r>
            <w:r>
              <w:rPr>
                <w:rFonts w:ascii="Arial" w:cs="Arial" w:eastAsia="Arial" w:hAnsi="Arial"/>
                <w:color w:val="1A1A2E"/>
                <w:sz w:val="22"/>
                <w:szCs w:val="22"/>
              </w:rPr>
              <w:t xml:space="preserve">E-Commerce / Retail Analytics</w:t>
            </w:r>
          </w:p>
        </w:tc>
      </w:tr>
      <w:tr>
        <w:tc>
          <w:tcPr>
            <w:tcW w:type="dxa" w:w="4680"/>
            <w:tcBorders>
              <w:top w:val="none" w:color="FFFFFF" w:sz="0"/>
              <w:left w:val="none" w:color="FFFFFF" w:sz="0"/>
              <w:bottom w:val="none" w:color="FFFFFF" w:sz="0"/>
              <w:right w:val="none" w:color="FFFFFF" w:sz="0"/>
            </w:tcBorders>
            <w:tcMar>
              <w:top w:type="dxa" w:w="80"/>
              <w:left w:type="dxa" w:w="0"/>
              <w:bottom w:type="dxa" w:w="80"/>
              <w:right w:type="dxa" w:w="80"/>
            </w:tcMar>
          </w:tcPr>
          <w:p>
            <w:pPr>
              <w:spacing w:after="60" w:before="60"/>
            </w:pPr>
            <w:r>
              <w:rPr>
                <w:rFonts w:ascii="Arial" w:cs="Arial" w:eastAsia="Arial" w:hAnsi="Arial"/>
                <w:b/>
                <w:bCs/>
                <w:color w:val="1B3A6B"/>
                <w:sz w:val="22"/>
                <w:szCs w:val="22"/>
              </w:rPr>
              <w:t xml:space="preserve">Primary Tool: </w:t>
            </w:r>
            <w:r>
              <w:rPr>
                <w:rFonts w:ascii="Arial" w:cs="Arial" w:eastAsia="Arial" w:hAnsi="Arial"/>
                <w:color w:val="1A1A2E"/>
                <w:sz w:val="22"/>
                <w:szCs w:val="22"/>
              </w:rPr>
              <w:t xml:space="preserve">Power BI Desktop</w:t>
            </w:r>
          </w:p>
        </w:tc>
        <w:tc>
          <w:tcPr>
            <w:tcW w:type="dxa" w:w="4680"/>
            <w:tcBorders>
              <w:top w:val="none" w:color="FFFFFF" w:sz="0"/>
              <w:left w:val="none" w:color="FFFFFF" w:sz="0"/>
              <w:bottom w:val="none" w:color="FFFFFF" w:sz="0"/>
              <w:right w:val="none" w:color="FFFFFF" w:sz="0"/>
            </w:tcBorders>
            <w:tcMar>
              <w:top w:type="dxa" w:w="80"/>
              <w:left w:type="dxa" w:w="80"/>
              <w:bottom w:type="dxa" w:w="80"/>
              <w:right w:type="dxa" w:w="0"/>
            </w:tcMar>
          </w:tcPr>
          <w:p>
            <w:pPr>
              <w:spacing w:after="60" w:before="60"/>
            </w:pPr>
            <w:r>
              <w:rPr>
                <w:rFonts w:ascii="Arial" w:cs="Arial" w:eastAsia="Arial" w:hAnsi="Arial"/>
                <w:b/>
                <w:bCs/>
                <w:color w:val="1B3A6B"/>
                <w:sz w:val="22"/>
                <w:szCs w:val="22"/>
              </w:rPr>
              <w:t xml:space="preserve">Supporting Tools: </w:t>
            </w:r>
            <w:r>
              <w:rPr>
                <w:rFonts w:ascii="Arial" w:cs="Arial" w:eastAsia="Arial" w:hAnsi="Arial"/>
                <w:color w:val="1A1A2E"/>
                <w:sz w:val="22"/>
                <w:szCs w:val="22"/>
              </w:rPr>
              <w:t xml:space="preserve">Excel, Power Query, DAX</w:t>
            </w:r>
          </w:p>
        </w:tc>
      </w:tr>
      <w:tr>
        <w:tc>
          <w:tcPr>
            <w:tcW w:type="dxa" w:w="4680"/>
            <w:tcBorders>
              <w:top w:val="none" w:color="FFFFFF" w:sz="0"/>
              <w:left w:val="none" w:color="FFFFFF" w:sz="0"/>
              <w:bottom w:val="none" w:color="FFFFFF" w:sz="0"/>
              <w:right w:val="none" w:color="FFFFFF" w:sz="0"/>
            </w:tcBorders>
            <w:tcMar>
              <w:top w:type="dxa" w:w="80"/>
              <w:left w:type="dxa" w:w="0"/>
              <w:bottom w:type="dxa" w:w="80"/>
              <w:right w:type="dxa" w:w="80"/>
            </w:tcMar>
          </w:tcPr>
          <w:p>
            <w:pPr>
              <w:spacing w:after="60" w:before="60"/>
            </w:pPr>
            <w:r>
              <w:rPr>
                <w:rFonts w:ascii="Arial" w:cs="Arial" w:eastAsia="Arial" w:hAnsi="Arial"/>
                <w:b/>
                <w:bCs/>
                <w:color w:val="1B3A6B"/>
                <w:sz w:val="22"/>
                <w:szCs w:val="22"/>
              </w:rPr>
              <w:t xml:space="preserve">Dataset Source: </w:t>
            </w:r>
            <w:r>
              <w:rPr>
                <w:rFonts w:ascii="Arial" w:cs="Arial" w:eastAsia="Arial" w:hAnsi="Arial"/>
                <w:color w:val="1A1A2E"/>
                <w:sz w:val="22"/>
                <w:szCs w:val="22"/>
              </w:rPr>
              <w:t xml:space="preserve">Excel (Structured Flat File)</w:t>
            </w:r>
          </w:p>
        </w:tc>
        <w:tc>
          <w:tcPr>
            <w:tcW w:type="dxa" w:w="4680"/>
            <w:tcBorders>
              <w:top w:val="none" w:color="FFFFFF" w:sz="0"/>
              <w:left w:val="none" w:color="FFFFFF" w:sz="0"/>
              <w:bottom w:val="none" w:color="FFFFFF" w:sz="0"/>
              <w:right w:val="none" w:color="FFFFFF" w:sz="0"/>
            </w:tcBorders>
            <w:tcMar>
              <w:top w:type="dxa" w:w="80"/>
              <w:left w:type="dxa" w:w="80"/>
              <w:bottom w:type="dxa" w:w="80"/>
              <w:right w:type="dxa" w:w="0"/>
            </w:tcMar>
          </w:tcPr>
          <w:p>
            <w:pPr>
              <w:spacing w:after="60" w:before="60"/>
            </w:pPr>
            <w:r>
              <w:rPr>
                <w:rFonts w:ascii="Arial" w:cs="Arial" w:eastAsia="Arial" w:hAnsi="Arial"/>
                <w:b/>
                <w:bCs/>
                <w:color w:val="1B3A6B"/>
                <w:sz w:val="22"/>
                <w:szCs w:val="22"/>
              </w:rPr>
              <w:t xml:space="preserve">Report Status: </w:t>
            </w:r>
            <w:r>
              <w:rPr>
                <w:rFonts w:ascii="Arial" w:cs="Arial" w:eastAsia="Arial" w:hAnsi="Arial"/>
                <w:color w:val="1A1A2E"/>
                <w:sz w:val="22"/>
                <w:szCs w:val="22"/>
              </w:rPr>
              <w:t xml:space="preserve">Completed — Portfolio Ready</w:t>
            </w:r>
          </w:p>
        </w:tc>
      </w:tr>
    </w:tbl>
    <w:p>
      <w:pPr>
        <w:spacing w:after="0" w:before="1200"/>
      </w:pPr>
      <w:r>
        <w:t xml:space="preserve"/>
      </w:r>
    </w:p>
    <w:p>
      <w:r>
        <w:br w:type="page"/>
      </w:r>
    </w:p>
    <w:p>
      <w:pPr>
        <w:pBdr>
          <w:bottom w:val="single" w:color="C9A227" w:sz="6" w:space="4"/>
        </w:pBdr>
        <w:spacing w:after="120" w:before="340"/>
      </w:pPr>
      <w:r>
        <w:rPr>
          <w:rFonts w:ascii="Arial" w:cs="Arial" w:eastAsia="Arial" w:hAnsi="Arial"/>
          <w:b/>
          <w:bCs/>
          <w:color w:val="1B3A6B"/>
          <w:sz w:val="26"/>
          <w:szCs w:val="26"/>
        </w:rPr>
        <w:t xml:space="preserve">01  |  EXECUTIVE SUMMARY</w:t>
      </w:r>
    </w:p>
    <w:p>
      <w:pPr>
        <w:pBdr>
          <w:bottom w:val="single" w:color="2E75B6" w:sz="8" w:space="1"/>
        </w:pBdr>
        <w:spacing w:after="200" w:before="80"/>
      </w:pPr>
      <w:r>
        <w:t xml:space="preserve"/>
      </w:r>
    </w:p>
    <w:p>
      <w:pPr>
        <w:spacing w:after="60" w:before="60"/>
        <w:jc w:val="both"/>
      </w:pPr>
      <w:r>
        <w:rPr>
          <w:rFonts w:ascii="Arial" w:cs="Arial" w:eastAsia="Arial" w:hAnsi="Arial"/>
          <w:color w:val="1A1A2E"/>
          <w:sz w:val="22"/>
          <w:szCs w:val="22"/>
        </w:rPr>
        <w:t xml:space="preserve">This project presents a comprehensive, three-page interactive business intelligence dashboard developed in Microsoft Power BI to analyze global e-commerce sales performance. The dashboard transforms raw transactional data — spanning orders, products, geographies, and payment records — into clear, actionable visual insights that empower decision-makers to identify trends, optimize product strategy, and monitor payment health in real time.</w:t>
      </w:r>
    </w:p>
    <w:p>
      <w:pPr>
        <w:spacing w:after="0" w:before="160"/>
      </w:pPr>
      <w:r>
        <w:t xml:space="preserve"/>
      </w:r>
    </w:p>
    <w:p>
      <w:pPr>
        <w:spacing w:after="60" w:before="60"/>
        <w:jc w:val="both"/>
      </w:pPr>
      <w:r>
        <w:rPr>
          <w:rFonts w:ascii="Arial" w:cs="Arial" w:eastAsia="Arial" w:hAnsi="Arial"/>
          <w:color w:val="1A1A2E"/>
          <w:sz w:val="22"/>
          <w:szCs w:val="22"/>
        </w:rPr>
        <w:t xml:space="preserve">Leveraging Excel as the data source, Power Query for data transformation, and DAX for calculated business metrics, this solution addresses a critical organizational gap: the absence of a unified performance monitoring system. The resulting dashboard consolidates KPIs across sales, profitability, product performance, and regional analysis into a single, intuitive reporting environment.</w:t>
      </w:r>
    </w:p>
    <w:p>
      <w:pPr>
        <w:spacing w:after="0" w:before="160"/>
      </w:pPr>
      <w:r>
        <w:t xml:space="preserve"/>
      </w:r>
    </w:p>
    <w:p>
      <w:pPr>
        <w:spacing w:after="60" w:before="60"/>
        <w:jc w:val="both"/>
      </w:pPr>
      <w:r>
        <w:rPr>
          <w:rFonts w:ascii="Arial" w:cs="Arial" w:eastAsia="Arial" w:hAnsi="Arial"/>
          <w:color w:val="1A1A2E"/>
          <w:sz w:val="22"/>
          <w:szCs w:val="22"/>
        </w:rPr>
        <w:t xml:space="preserve">Designed with both analytical depth and user accessibility in mind, this dashboard serves as a decision-support tool for executives, sales managers, and regional leads — enabling faster, data-driven responses to shifting market conditions.</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none" w:color="FFFFFF" w:sz="0"/>
              <w:left w:val="none" w:color="FFFFFF" w:sz="0"/>
              <w:bottom w:val="none" w:color="FFFFFF" w:sz="0"/>
              <w:right w:val="none" w:color="FFFFFF" w:sz="0"/>
            </w:tcBorders>
            <w:shd w:fill="D6E4F0" w:val="clear"/>
            <w:tcMar>
              <w:top w:type="dxa" w:w="100"/>
              <w:left w:type="dxa" w:w="160"/>
              <w:bottom w:type="dxa" w:w="60"/>
              <w:right w:type="dxa" w:w="160"/>
            </w:tcMar>
          </w:tcPr>
          <w:p>
            <w:r>
              <w:rPr>
                <w:rFonts w:ascii="Arial" w:cs="Arial" w:eastAsia="Arial" w:hAnsi="Arial"/>
                <w:b/>
                <w:bCs/>
                <w:color w:val="1B3A6B"/>
                <w:sz w:val="22"/>
                <w:szCs w:val="22"/>
              </w:rPr>
              <w:t xml:space="preserve">Project Highlights</w:t>
            </w:r>
          </w:p>
        </w:tc>
      </w:tr>
      <w:tr>
        <w:tc>
          <w:tcPr>
            <w:tcW w:type="dxa" w:w="4680"/>
            <w:tcBorders>
              <w:top w:val="none" w:color="FFFFFF" w:sz="0"/>
              <w:left w:val="none" w:color="FFFFFF" w:sz="0"/>
              <w:bottom w:val="none" w:color="FFFFFF" w:sz="0"/>
              <w:right w:val="none" w:color="FFFFFF" w:sz="0"/>
            </w:tcBorders>
            <w:shd w:fill="D6E4F0" w:val="clear"/>
            <w:tcMar>
              <w:top w:type="dxa" w:w="40"/>
              <w:left w:type="dxa" w:w="160"/>
              <w:bottom w:type="dxa" w:w="40"/>
              <w:right w:type="dxa" w:w="80"/>
            </w:tcMar>
          </w:tcPr>
          <w:p>
            <w:pPr>
              <w:pStyle w:val="ListParagraph"/>
              <w:numPr>
                <w:ilvl w:val="0"/>
                <w:numId w:val="2"/>
              </w:numPr>
            </w:pPr>
            <w:r>
              <w:rPr>
                <w:rFonts w:ascii="Arial" w:cs="Arial" w:eastAsia="Arial" w:hAnsi="Arial"/>
                <w:color w:val="1A1A2E"/>
                <w:sz w:val="21"/>
                <w:szCs w:val="21"/>
              </w:rPr>
              <w:t xml:space="preserve">Multi-page interactive Power BI dashboard</w:t>
            </w:r>
          </w:p>
        </w:tc>
        <w:tc>
          <w:tcPr>
            <w:tcW w:type="dxa" w:w="4680"/>
            <w:tcBorders>
              <w:top w:val="none" w:color="FFFFFF" w:sz="0"/>
              <w:left w:val="none" w:color="FFFFFF" w:sz="0"/>
              <w:bottom w:val="none" w:color="FFFFFF" w:sz="0"/>
              <w:right w:val="none" w:color="FFFFFF" w:sz="0"/>
            </w:tcBorders>
            <w:shd w:fill="D6E4F0" w:val="clear"/>
            <w:tcMar>
              <w:top w:type="dxa" w:w="40"/>
              <w:left w:type="dxa" w:w="80"/>
              <w:bottom w:type="dxa" w:w="40"/>
              <w:right w:type="dxa" w:w="160"/>
            </w:tcMar>
          </w:tcPr>
          <w:p>
            <w:pPr>
              <w:pStyle w:val="ListParagraph"/>
              <w:numPr>
                <w:ilvl w:val="0"/>
                <w:numId w:val="2"/>
              </w:numPr>
            </w:pPr>
            <w:r>
              <w:rPr>
                <w:rFonts w:ascii="Arial" w:cs="Arial" w:eastAsia="Arial" w:hAnsi="Arial"/>
                <w:color w:val="1A1A2E"/>
                <w:sz w:val="21"/>
                <w:szCs w:val="21"/>
              </w:rPr>
              <w:t xml:space="preserve">Advanced DAX measures for key business metrics</w:t>
            </w:r>
          </w:p>
        </w:tc>
      </w:tr>
      <w:tr>
        <w:tc>
          <w:tcPr>
            <w:tcW w:type="dxa" w:w="4680"/>
            <w:tcBorders>
              <w:top w:val="none" w:color="FFFFFF" w:sz="0"/>
              <w:left w:val="none" w:color="FFFFFF" w:sz="0"/>
              <w:bottom w:val="none" w:color="FFFFFF" w:sz="0"/>
              <w:right w:val="none" w:color="FFFFFF" w:sz="0"/>
            </w:tcBorders>
            <w:shd w:fill="D6E4F0" w:val="clear"/>
            <w:tcMar>
              <w:top w:type="dxa" w:w="40"/>
              <w:left w:type="dxa" w:w="160"/>
              <w:bottom w:type="dxa" w:w="40"/>
              <w:right w:type="dxa" w:w="80"/>
            </w:tcMar>
          </w:tcPr>
          <w:p>
            <w:pPr>
              <w:pStyle w:val="ListParagraph"/>
              <w:numPr>
                <w:ilvl w:val="0"/>
                <w:numId w:val="2"/>
              </w:numPr>
            </w:pPr>
            <w:r>
              <w:rPr>
                <w:rFonts w:ascii="Arial" w:cs="Arial" w:eastAsia="Arial" w:hAnsi="Arial"/>
                <w:color w:val="1A1A2E"/>
                <w:sz w:val="21"/>
                <w:szCs w:val="21"/>
              </w:rPr>
              <w:t xml:space="preserve">End-to-end data pipeline (Excel → Power Query → Power BI)</w:t>
            </w:r>
          </w:p>
        </w:tc>
        <w:tc>
          <w:tcPr>
            <w:tcW w:type="dxa" w:w="4680"/>
            <w:tcBorders>
              <w:top w:val="none" w:color="FFFFFF" w:sz="0"/>
              <w:left w:val="none" w:color="FFFFFF" w:sz="0"/>
              <w:bottom w:val="none" w:color="FFFFFF" w:sz="0"/>
              <w:right w:val="none" w:color="FFFFFF" w:sz="0"/>
            </w:tcBorders>
            <w:shd w:fill="D6E4F0" w:val="clear"/>
            <w:tcMar>
              <w:top w:type="dxa" w:w="40"/>
              <w:left w:type="dxa" w:w="80"/>
              <w:bottom w:type="dxa" w:w="40"/>
              <w:right w:type="dxa" w:w="160"/>
            </w:tcMar>
          </w:tcPr>
          <w:p>
            <w:pPr>
              <w:pStyle w:val="ListParagraph"/>
              <w:numPr>
                <w:ilvl w:val="0"/>
                <w:numId w:val="2"/>
              </w:numPr>
            </w:pPr>
            <w:r>
              <w:rPr>
                <w:rFonts w:ascii="Arial" w:cs="Arial" w:eastAsia="Arial" w:hAnsi="Arial"/>
                <w:color w:val="1A1A2E"/>
                <w:sz w:val="21"/>
                <w:szCs w:val="21"/>
              </w:rPr>
              <w:t xml:space="preserve">Global geographic sales visualization</w:t>
            </w:r>
          </w:p>
        </w:tc>
      </w:tr>
      <w:tr>
        <w:tc>
          <w:tcPr>
            <w:tcW w:type="dxa" w:w="4680"/>
            <w:tcBorders>
              <w:top w:val="none" w:color="FFFFFF" w:sz="0"/>
              <w:left w:val="none" w:color="FFFFFF" w:sz="0"/>
              <w:bottom w:val="none" w:color="FFFFFF" w:sz="0"/>
              <w:right w:val="none" w:color="FFFFFF" w:sz="0"/>
            </w:tcBorders>
            <w:shd w:fill="D6E4F0" w:val="clear"/>
            <w:tcMar>
              <w:top w:type="dxa" w:w="40"/>
              <w:left w:type="dxa" w:w="160"/>
              <w:bottom w:type="dxa" w:w="40"/>
              <w:right w:type="dxa" w:w="80"/>
            </w:tcMar>
          </w:tcPr>
          <w:p>
            <w:pPr>
              <w:pStyle w:val="ListParagraph"/>
              <w:numPr>
                <w:ilvl w:val="0"/>
                <w:numId w:val="2"/>
              </w:numPr>
            </w:pPr>
            <w:r>
              <w:rPr>
                <w:rFonts w:ascii="Arial" w:cs="Arial" w:eastAsia="Arial" w:hAnsi="Arial"/>
                <w:color w:val="1A1A2E"/>
                <w:sz w:val="21"/>
                <w:szCs w:val="21"/>
              </w:rPr>
              <w:t xml:space="preserve">Product performance ranking and trend analysis</w:t>
            </w:r>
          </w:p>
        </w:tc>
        <w:tc>
          <w:tcPr>
            <w:tcW w:type="dxa" w:w="4680"/>
            <w:tcBorders>
              <w:top w:val="none" w:color="FFFFFF" w:sz="0"/>
              <w:left w:val="none" w:color="FFFFFF" w:sz="0"/>
              <w:bottom w:val="none" w:color="FFFFFF" w:sz="0"/>
              <w:right w:val="none" w:color="FFFFFF" w:sz="0"/>
            </w:tcBorders>
            <w:shd w:fill="D6E4F0" w:val="clear"/>
            <w:tcMar>
              <w:top w:type="dxa" w:w="40"/>
              <w:left w:type="dxa" w:w="80"/>
              <w:bottom w:type="dxa" w:w="40"/>
              <w:right w:type="dxa" w:w="160"/>
            </w:tcMar>
          </w:tcPr>
          <w:p>
            <w:pPr>
              <w:pStyle w:val="ListParagraph"/>
              <w:numPr>
                <w:ilvl w:val="0"/>
                <w:numId w:val="2"/>
              </w:numPr>
            </w:pPr>
            <w:r>
              <w:rPr>
                <w:rFonts w:ascii="Arial" w:cs="Arial" w:eastAsia="Arial" w:hAnsi="Arial"/>
                <w:color w:val="1A1A2E"/>
                <w:sz w:val="21"/>
                <w:szCs w:val="21"/>
              </w:rPr>
              <w:t xml:space="preserve">Payment method &amp; status monitoring system</w:t>
            </w:r>
          </w:p>
        </w:tc>
      </w:tr>
      <w:tr>
        <w:tc>
          <w:tcPr>
            <w:gridSpan w:val="2"/>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r>
              <w:t xml:space="preserve"/>
            </w:r>
          </w:p>
        </w:tc>
      </w:tr>
    </w:tbl>
    <w:p>
      <w:pPr>
        <w:spacing w:after="0" w:before="320"/>
      </w:pPr>
      <w:r>
        <w:t xml:space="preserve"/>
      </w:r>
    </w:p>
    <w:p>
      <w:pPr>
        <w:pBdr>
          <w:bottom w:val="single" w:color="C9A227" w:sz="6" w:space="4"/>
        </w:pBdr>
        <w:spacing w:after="120" w:before="340"/>
      </w:pPr>
      <w:r>
        <w:rPr>
          <w:rFonts w:ascii="Arial" w:cs="Arial" w:eastAsia="Arial" w:hAnsi="Arial"/>
          <w:b/>
          <w:bCs/>
          <w:color w:val="1B3A6B"/>
          <w:sz w:val="26"/>
          <w:szCs w:val="26"/>
        </w:rPr>
        <w:t xml:space="preserve">02  |  BUSINESS PROBLEM STATEMENT</w:t>
      </w:r>
    </w:p>
    <w:p>
      <w:pPr>
        <w:pBdr>
          <w:bottom w:val="single" w:color="2E75B6" w:sz="8" w:space="1"/>
        </w:pBdr>
        <w:spacing w:after="200" w:before="80"/>
      </w:pPr>
      <w:r>
        <w:t xml:space="preserve"/>
      </w:r>
    </w:p>
    <w:p>
      <w:pPr>
        <w:spacing w:after="60" w:before="60"/>
        <w:jc w:val="both"/>
      </w:pPr>
      <w:r>
        <w:rPr>
          <w:rFonts w:ascii="Arial" w:cs="Arial" w:eastAsia="Arial" w:hAnsi="Arial"/>
          <w:color w:val="1A1A2E"/>
          <w:sz w:val="22"/>
          <w:szCs w:val="22"/>
        </w:rPr>
        <w:t xml:space="preserve">A growing e-commerce organization faced critical challenges in consolidating and interpreting its operational data. Despite generating significant sales volume across multiple regions and product categories, the business lacked a centralized reporting system — forcing stakeholders to rely on fragmented spreadsheets and manual analysis that were both time-consuming and prone to error.</w:t>
      </w:r>
    </w:p>
    <w:p>
      <w:pPr>
        <w:spacing w:after="0" w:before="160"/>
      </w:pPr>
      <w:r>
        <w:t xml:space="preserve"/>
      </w:r>
    </w:p>
    <w:p>
      <w:pPr>
        <w:spacing w:after="80" w:before="220"/>
      </w:pPr>
      <w:r>
        <w:rPr>
          <w:rFonts w:ascii="Arial" w:cs="Arial" w:eastAsia="Arial" w:hAnsi="Arial"/>
          <w:b/>
          <w:bCs/>
          <w:color w:val="2E75B6"/>
          <w:sz w:val="24"/>
          <w:szCs w:val="24"/>
        </w:rPr>
        <w:t xml:space="preserve">Core Pain Points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2" w:sz="1"/>
              <w:left w:val="single" w:color="D0D7E2" w:sz="1"/>
              <w:bottom w:val="single" w:color="D0D7E2" w:sz="1"/>
              <w:right w:val="single" w:color="D0D7E2" w:sz="1"/>
            </w:tcBorders>
            <w:shd w:fill="F5F7FA" w:val="clear"/>
            <w:tcMar>
              <w:top w:type="dxa" w:w="120"/>
              <w:left w:type="dxa" w:w="160"/>
              <w:bottom w:type="dxa" w:w="120"/>
              <w:right w:type="dxa" w:w="160"/>
            </w:tcMar>
          </w:tcPr>
          <w:p>
            <w:r>
              <w:rPr>
                <w:rFonts w:ascii="Arial" w:cs="Arial" w:eastAsia="Arial" w:hAnsi="Arial"/>
                <w:b/>
                <w:bCs/>
                <w:color w:val="1B3A6B"/>
                <w:sz w:val="22"/>
                <w:szCs w:val="22"/>
              </w:rPr>
              <w:t xml:space="preserve">Sales Performance Visibility</w:t>
            </w:r>
          </w:p>
          <w:p>
            <w:pPr>
              <w:spacing w:before="60"/>
            </w:pPr>
            <w:r>
              <w:rPr>
                <w:rFonts w:ascii="Arial" w:cs="Arial" w:eastAsia="Arial" w:hAnsi="Arial"/>
                <w:color w:val="1A1A2E"/>
                <w:sz w:val="21"/>
                <w:szCs w:val="21"/>
              </w:rPr>
              <w:t xml:space="preserve">No consolidated view of total revenue, profit margins, or order volumes across time periods.</w:t>
            </w:r>
          </w:p>
        </w:tc>
        <w:tc>
          <w:tcPr>
            <w:tcW w:type="dxa" w:w="4680"/>
            <w:tcBorders>
              <w:top w:val="single" w:color="D0D7E2" w:sz="1"/>
              <w:left w:val="single" w:color="D0D7E2" w:sz="1"/>
              <w:bottom w:val="single" w:color="D0D7E2" w:sz="1"/>
              <w:right w:val="single" w:color="D0D7E2" w:sz="1"/>
            </w:tcBorders>
            <w:shd w:fill="F5F7FA" w:val="clear"/>
            <w:tcMar>
              <w:top w:type="dxa" w:w="120"/>
              <w:left w:type="dxa" w:w="160"/>
              <w:bottom w:type="dxa" w:w="120"/>
              <w:right w:type="dxa" w:w="160"/>
            </w:tcMar>
          </w:tcPr>
          <w:p>
            <w:r>
              <w:rPr>
                <w:rFonts w:ascii="Arial" w:cs="Arial" w:eastAsia="Arial" w:hAnsi="Arial"/>
                <w:b/>
                <w:bCs/>
                <w:color w:val="1B3A6B"/>
                <w:sz w:val="22"/>
                <w:szCs w:val="22"/>
              </w:rPr>
              <w:t xml:space="preserve">Product Portfolio Intelligence</w:t>
            </w:r>
          </w:p>
          <w:p>
            <w:pPr>
              <w:spacing w:before="60"/>
            </w:pPr>
            <w:r>
              <w:rPr>
                <w:rFonts w:ascii="Arial" w:cs="Arial" w:eastAsia="Arial" w:hAnsi="Arial"/>
                <w:color w:val="1A1A2E"/>
                <w:sz w:val="21"/>
                <w:szCs w:val="21"/>
              </w:rPr>
              <w:t xml:space="preserve">Inability to identify top and bottom performing products, categories, or subcategories at a glance.</w:t>
            </w:r>
          </w:p>
        </w:tc>
      </w:tr>
      <w:tr>
        <w:tc>
          <w:tcPr>
            <w:tcW w:type="dxa" w:w="4680"/>
            <w:tcBorders>
              <w:top w:val="single" w:color="D0D7E2" w:sz="1"/>
              <w:left w:val="single" w:color="D0D7E2" w:sz="1"/>
              <w:bottom w:val="single" w:color="D0D7E2" w:sz="1"/>
              <w:right w:val="single" w:color="D0D7E2" w:sz="1"/>
            </w:tcBorders>
            <w:shd w:fill="FFFFFF" w:val="clear"/>
            <w:tcMar>
              <w:top w:type="dxa" w:w="120"/>
              <w:left w:type="dxa" w:w="160"/>
              <w:bottom w:type="dxa" w:w="120"/>
              <w:right w:type="dxa" w:w="160"/>
            </w:tcMar>
          </w:tcPr>
          <w:p>
            <w:r>
              <w:rPr>
                <w:rFonts w:ascii="Arial" w:cs="Arial" w:eastAsia="Arial" w:hAnsi="Arial"/>
                <w:b/>
                <w:bCs/>
                <w:color w:val="1B3A6B"/>
                <w:sz w:val="22"/>
                <w:szCs w:val="22"/>
              </w:rPr>
              <w:t xml:space="preserve">Regional Sales Gaps</w:t>
            </w:r>
          </w:p>
          <w:p>
            <w:pPr>
              <w:spacing w:before="60"/>
            </w:pPr>
            <w:r>
              <w:rPr>
                <w:rFonts w:ascii="Arial" w:cs="Arial" w:eastAsia="Arial" w:hAnsi="Arial"/>
                <w:color w:val="1A1A2E"/>
                <w:sz w:val="21"/>
                <w:szCs w:val="21"/>
              </w:rPr>
              <w:t xml:space="preserve">Lack of geographic breakdown made it impossible to identify high-potential and underperforming regions.</w:t>
            </w:r>
          </w:p>
        </w:tc>
        <w:tc>
          <w:tcPr>
            <w:tcW w:type="dxa" w:w="4680"/>
            <w:tcBorders>
              <w:top w:val="single" w:color="D0D7E2" w:sz="1"/>
              <w:left w:val="single" w:color="D0D7E2" w:sz="1"/>
              <w:bottom w:val="single" w:color="D0D7E2" w:sz="1"/>
              <w:right w:val="single" w:color="D0D7E2" w:sz="1"/>
            </w:tcBorders>
            <w:shd w:fill="FFFFFF" w:val="clear"/>
            <w:tcMar>
              <w:top w:type="dxa" w:w="120"/>
              <w:left w:type="dxa" w:w="160"/>
              <w:bottom w:type="dxa" w:w="120"/>
              <w:right w:type="dxa" w:w="160"/>
            </w:tcMar>
          </w:tcPr>
          <w:p>
            <w:r>
              <w:rPr>
                <w:rFonts w:ascii="Arial" w:cs="Arial" w:eastAsia="Arial" w:hAnsi="Arial"/>
                <w:b/>
                <w:bCs/>
                <w:color w:val="1B3A6B"/>
                <w:sz w:val="22"/>
                <w:szCs w:val="22"/>
              </w:rPr>
              <w:t xml:space="preserve">Payment Monitoring Failure</w:t>
            </w:r>
          </w:p>
          <w:p>
            <w:pPr>
              <w:spacing w:before="60"/>
            </w:pPr>
            <w:r>
              <w:rPr>
                <w:rFonts w:ascii="Arial" w:cs="Arial" w:eastAsia="Arial" w:hAnsi="Arial"/>
                <w:color w:val="1A1A2E"/>
                <w:sz w:val="21"/>
                <w:szCs w:val="21"/>
              </w:rPr>
              <w:t xml:space="preserve">Failed payment transactions went untracked, leading to unquantified revenue loss and poor checkout experience visibility.</w:t>
            </w:r>
          </w:p>
        </w:tc>
      </w:tr>
    </w:tbl>
    <w:p>
      <w:pPr>
        <w:spacing w:after="0" w:before="320"/>
      </w:pPr>
      <w:r>
        <w:t xml:space="preserve"/>
      </w:r>
    </w:p>
    <w:p>
      <w:pPr>
        <w:pBdr>
          <w:bottom w:val="single" w:color="C9A227" w:sz="6" w:space="4"/>
        </w:pBdr>
        <w:spacing w:after="120" w:before="340"/>
      </w:pPr>
      <w:r>
        <w:rPr>
          <w:rFonts w:ascii="Arial" w:cs="Arial" w:eastAsia="Arial" w:hAnsi="Arial"/>
          <w:b/>
          <w:bCs/>
          <w:color w:val="1B3A6B"/>
          <w:sz w:val="26"/>
          <w:szCs w:val="26"/>
        </w:rPr>
        <w:t xml:space="preserve">03  |  PROJECT OBJECTIVES</w:t>
      </w:r>
    </w:p>
    <w:p>
      <w:pPr>
        <w:pBdr>
          <w:bottom w:val="single" w:color="2E75B6" w:sz="8" w:space="1"/>
        </w:pBdr>
        <w:spacing w:after="200" w:before="80"/>
      </w:pPr>
      <w:r>
        <w:t xml:space="preserve"/>
      </w:r>
    </w:p>
    <w:p>
      <w:pPr>
        <w:spacing w:after="60" w:before="60"/>
        <w:jc w:val="both"/>
      </w:pPr>
      <w:r>
        <w:rPr>
          <w:rFonts w:ascii="Arial" w:cs="Arial" w:eastAsia="Arial" w:hAnsi="Arial"/>
          <w:color w:val="1A1A2E"/>
          <w:sz w:val="22"/>
          <w:szCs w:val="22"/>
        </w:rPr>
        <w:t xml:space="preserve">This project was designed to directly resolve the identified business challenges through a structured analytics solution. The following objectives guided the design and development of the dashboard:</w:t>
      </w:r>
    </w:p>
    <w:p>
      <w:pPr>
        <w:spacing w:after="0" w:before="160"/>
      </w:pPr>
      <w:r>
        <w:t xml:space="preserve"/>
      </w:r>
    </w:p>
    <w:p>
      <w:pPr>
        <w:pStyle w:val="ListParagraph"/>
        <w:numPr>
          <w:ilvl w:val="0"/>
          <w:numId w:val="3"/>
        </w:numPr>
        <w:spacing w:after="50" w:before="50"/>
      </w:pPr>
      <w:r>
        <w:rPr>
          <w:rFonts w:ascii="Arial" w:cs="Arial" w:eastAsia="Arial" w:hAnsi="Arial"/>
          <w:color w:val="1A1A2E"/>
          <w:sz w:val="22"/>
          <w:szCs w:val="22"/>
        </w:rPr>
        <w:t xml:space="preserve">Build a centralized, executive-ready dashboard that presents overall sales performance — including total revenue, profit, order count, and average order value — in a single view.</w:t>
      </w:r>
    </w:p>
    <w:p>
      <w:pPr>
        <w:pStyle w:val="ListParagraph"/>
        <w:numPr>
          <w:ilvl w:val="0"/>
          <w:numId w:val="3"/>
        </w:numPr>
        <w:spacing w:after="50" w:before="50"/>
      </w:pPr>
      <w:r>
        <w:rPr>
          <w:rFonts w:ascii="Arial" w:cs="Arial" w:eastAsia="Arial" w:hAnsi="Arial"/>
          <w:color w:val="1A1A2E"/>
          <w:sz w:val="22"/>
          <w:szCs w:val="22"/>
        </w:rPr>
        <w:t xml:space="preserve">Enable product-level intelligence by ranking top and bottom performing products, analyzing sales by category and subcategory, and comparing quantity sold vs. revenue contribution.</w:t>
      </w:r>
    </w:p>
    <w:p>
      <w:pPr>
        <w:pStyle w:val="ListParagraph"/>
        <w:numPr>
          <w:ilvl w:val="0"/>
          <w:numId w:val="3"/>
        </w:numPr>
        <w:spacing w:after="50" w:before="50"/>
      </w:pPr>
      <w:r>
        <w:rPr>
          <w:rFonts w:ascii="Arial" w:cs="Arial" w:eastAsia="Arial" w:hAnsi="Arial"/>
          <w:color w:val="1A1A2E"/>
          <w:sz w:val="22"/>
          <w:szCs w:val="22"/>
        </w:rPr>
        <w:t xml:space="preserve">Provide geographic insight by mapping sales distribution across countries and continents, enabling regional managers to prioritize market strategies.</w:t>
      </w:r>
    </w:p>
    <w:p>
      <w:pPr>
        <w:pStyle w:val="ListParagraph"/>
        <w:numPr>
          <w:ilvl w:val="0"/>
          <w:numId w:val="3"/>
        </w:numPr>
        <w:spacing w:after="50" w:before="50"/>
      </w:pPr>
      <w:r>
        <w:rPr>
          <w:rFonts w:ascii="Arial" w:cs="Arial" w:eastAsia="Arial" w:hAnsi="Arial"/>
          <w:color w:val="1A1A2E"/>
          <w:sz w:val="22"/>
          <w:szCs w:val="22"/>
        </w:rPr>
        <w:t xml:space="preserve">Implement payment analytics to track transaction success rates, failed payment volume, and payment method adoption — reducing undetected revenue leakage.</w:t>
      </w:r>
    </w:p>
    <w:p>
      <w:pPr>
        <w:pStyle w:val="ListParagraph"/>
        <w:numPr>
          <w:ilvl w:val="0"/>
          <w:numId w:val="3"/>
        </w:numPr>
        <w:spacing w:after="50" w:before="50"/>
      </w:pPr>
      <w:r>
        <w:rPr>
          <w:rFonts w:ascii="Arial" w:cs="Arial" w:eastAsia="Arial" w:hAnsi="Arial"/>
          <w:color w:val="1A1A2E"/>
          <w:sz w:val="22"/>
          <w:szCs w:val="22"/>
        </w:rPr>
        <w:t xml:space="preserve">Design for interactivity and usability — ensuring non-technical business users can self-serve insights through slicers, filters, and visual drill-downs.</w:t>
      </w:r>
    </w:p>
    <w:p>
      <w:pPr>
        <w:pStyle w:val="ListParagraph"/>
        <w:numPr>
          <w:ilvl w:val="0"/>
          <w:numId w:val="3"/>
        </w:numPr>
        <w:spacing w:after="50" w:before="50"/>
      </w:pPr>
      <w:r>
        <w:rPr>
          <w:rFonts w:ascii="Arial" w:cs="Arial" w:eastAsia="Arial" w:hAnsi="Arial"/>
          <w:color w:val="1A1A2E"/>
          <w:sz w:val="22"/>
          <w:szCs w:val="22"/>
        </w:rPr>
        <w:t xml:space="preserve">Apply DAX to calculate dynamic business metrics that update in response to user selections, providing context-aware analysis.</w:t>
      </w:r>
    </w:p>
    <w:p>
      <w:pPr>
        <w:spacing w:after="0" w:before="320"/>
      </w:pPr>
      <w:r>
        <w:t xml:space="preserve"/>
      </w:r>
    </w:p>
    <w:p>
      <w:pPr>
        <w:pBdr>
          <w:bottom w:val="single" w:color="C9A227" w:sz="6" w:space="4"/>
        </w:pBdr>
        <w:spacing w:after="120" w:before="340"/>
      </w:pPr>
      <w:r>
        <w:rPr>
          <w:rFonts w:ascii="Arial" w:cs="Arial" w:eastAsia="Arial" w:hAnsi="Arial"/>
          <w:b/>
          <w:bCs/>
          <w:color w:val="1B3A6B"/>
          <w:sz w:val="26"/>
          <w:szCs w:val="26"/>
        </w:rPr>
        <w:t xml:space="preserve">04  |  DATA CLEANING &amp; PREPARATION PROCESS</w:t>
      </w:r>
    </w:p>
    <w:p>
      <w:pPr>
        <w:pBdr>
          <w:bottom w:val="single" w:color="2E75B6" w:sz="8" w:space="1"/>
        </w:pBdr>
        <w:spacing w:after="200" w:before="80"/>
      </w:pPr>
      <w:r>
        <w:t xml:space="preserve"/>
      </w:r>
    </w:p>
    <w:p>
      <w:pPr>
        <w:spacing w:after="60" w:before="60"/>
        <w:jc w:val="both"/>
      </w:pPr>
      <w:r>
        <w:rPr>
          <w:rFonts w:ascii="Arial" w:cs="Arial" w:eastAsia="Arial" w:hAnsi="Arial"/>
          <w:color w:val="1A1A2E"/>
          <w:sz w:val="22"/>
          <w:szCs w:val="22"/>
        </w:rPr>
        <w:t xml:space="preserve">The raw dataset was sourced from Excel and loaded into Power Query within Power BI Desktop for transformation. A structured data preparation workflow was followed to ensure data integrity, consistency, and analytical readiness.</w:t>
      </w:r>
    </w:p>
    <w:p>
      <w:pPr>
        <w:spacing w:after="0" w:before="160"/>
      </w:pPr>
      <w:r>
        <w:t xml:space="preserve"/>
      </w:r>
    </w:p>
    <w:p>
      <w:pPr>
        <w:spacing w:after="80" w:before="220"/>
      </w:pPr>
      <w:r>
        <w:rPr>
          <w:rFonts w:ascii="Arial" w:cs="Arial" w:eastAsia="Arial" w:hAnsi="Arial"/>
          <w:b/>
          <w:bCs/>
          <w:color w:val="2E75B6"/>
          <w:sz w:val="24"/>
          <w:szCs w:val="24"/>
        </w:rPr>
        <w:t xml:space="preserve">Step 1 — Data Import &amp; Initial Profiling</w:t>
      </w:r>
    </w:p>
    <w:p>
      <w:pPr>
        <w:pStyle w:val="ListParagraph"/>
        <w:numPr>
          <w:ilvl w:val="0"/>
          <w:numId w:val="2"/>
        </w:numPr>
        <w:spacing w:after="50" w:before="50"/>
      </w:pPr>
      <w:r>
        <w:rPr>
          <w:rFonts w:ascii="Arial" w:cs="Arial" w:eastAsia="Arial" w:hAnsi="Arial"/>
          <w:color w:val="1A1A2E"/>
          <w:sz w:val="22"/>
          <w:szCs w:val="22"/>
        </w:rPr>
        <w:t xml:space="preserve">Connected Power BI to the Excel workbook using the native Excel connector.</w:t>
      </w:r>
    </w:p>
    <w:p>
      <w:pPr>
        <w:pStyle w:val="ListParagraph"/>
        <w:numPr>
          <w:ilvl w:val="0"/>
          <w:numId w:val="2"/>
        </w:numPr>
        <w:spacing w:after="50" w:before="50"/>
      </w:pPr>
      <w:r>
        <w:rPr>
          <w:rFonts w:ascii="Arial" w:cs="Arial" w:eastAsia="Arial" w:hAnsi="Arial"/>
          <w:color w:val="1A1A2E"/>
          <w:sz w:val="22"/>
          <w:szCs w:val="22"/>
        </w:rPr>
        <w:t xml:space="preserve">Enabled Column Quality, Column Distribution, and Column Profile in Power Query Editor to inspect data completeness.</w:t>
      </w:r>
    </w:p>
    <w:p>
      <w:pPr>
        <w:pStyle w:val="ListParagraph"/>
        <w:numPr>
          <w:ilvl w:val="0"/>
          <w:numId w:val="2"/>
        </w:numPr>
        <w:spacing w:after="50" w:before="50"/>
      </w:pPr>
      <w:r>
        <w:rPr>
          <w:rFonts w:ascii="Arial" w:cs="Arial" w:eastAsia="Arial" w:hAnsi="Arial"/>
          <w:color w:val="1A1A2E"/>
          <w:sz w:val="22"/>
          <w:szCs w:val="22"/>
        </w:rPr>
        <w:t xml:space="preserve">Identified column data types, null values, and anomalous entries before any transformation.</w:t>
      </w:r>
    </w:p>
    <w:p>
      <w:pPr>
        <w:spacing w:after="0" w:before="160"/>
      </w:pPr>
      <w:r>
        <w:t xml:space="preserve"/>
      </w:r>
    </w:p>
    <w:p>
      <w:pPr>
        <w:spacing w:after="80" w:before="220"/>
      </w:pPr>
      <w:r>
        <w:rPr>
          <w:rFonts w:ascii="Arial" w:cs="Arial" w:eastAsia="Arial" w:hAnsi="Arial"/>
          <w:b/>
          <w:bCs/>
          <w:color w:val="2E75B6"/>
          <w:sz w:val="24"/>
          <w:szCs w:val="24"/>
        </w:rPr>
        <w:t xml:space="preserve">Step 2 — Data Type Assignment &amp; Standardization</w:t>
      </w:r>
    </w:p>
    <w:p>
      <w:pPr>
        <w:pStyle w:val="ListParagraph"/>
        <w:numPr>
          <w:ilvl w:val="0"/>
          <w:numId w:val="2"/>
        </w:numPr>
        <w:spacing w:after="50" w:before="50"/>
      </w:pPr>
      <w:r>
        <w:rPr>
          <w:rFonts w:ascii="Arial" w:cs="Arial" w:eastAsia="Arial" w:hAnsi="Arial"/>
          <w:color w:val="1A1A2E"/>
          <w:sz w:val="22"/>
          <w:szCs w:val="22"/>
        </w:rPr>
        <w:t xml:space="preserve">Explicitly set data types: Date (Date), Quantity (Whole Number), Total Sales Amount and Profit (Fixed Decimal), all text fields (Text).</w:t>
      </w:r>
    </w:p>
    <w:p>
      <w:pPr>
        <w:pStyle w:val="ListParagraph"/>
        <w:numPr>
          <w:ilvl w:val="0"/>
          <w:numId w:val="2"/>
        </w:numPr>
        <w:spacing w:after="50" w:before="50"/>
      </w:pPr>
      <w:r>
        <w:rPr>
          <w:rFonts w:ascii="Arial" w:cs="Arial" w:eastAsia="Arial" w:hAnsi="Arial"/>
          <w:color w:val="1A1A2E"/>
          <w:sz w:val="22"/>
          <w:szCs w:val="22"/>
        </w:rPr>
        <w:t xml:space="preserve">Standardized date format to YYYY-MM-DD to ensure correct time-intelligence function behavior in DAX.</w:t>
      </w:r>
    </w:p>
    <w:p>
      <w:pPr>
        <w:pStyle w:val="ListParagraph"/>
        <w:numPr>
          <w:ilvl w:val="0"/>
          <w:numId w:val="2"/>
        </w:numPr>
        <w:spacing w:after="50" w:before="50"/>
      </w:pPr>
      <w:r>
        <w:rPr>
          <w:rFonts w:ascii="Arial" w:cs="Arial" w:eastAsia="Arial" w:hAnsi="Arial"/>
          <w:color w:val="1A1A2E"/>
          <w:sz w:val="22"/>
          <w:szCs w:val="22"/>
        </w:rPr>
        <w:t xml:space="preserve">Applied Trim and Clean transformations to all text columns to eliminate leading/trailing whitespace and non-printable characters.</w:t>
      </w:r>
    </w:p>
    <w:p>
      <w:pPr>
        <w:spacing w:after="0" w:before="160"/>
      </w:pPr>
      <w:r>
        <w:t xml:space="preserve"/>
      </w:r>
    </w:p>
    <w:p>
      <w:pPr>
        <w:spacing w:after="80" w:before="220"/>
      </w:pPr>
      <w:r>
        <w:rPr>
          <w:rFonts w:ascii="Arial" w:cs="Arial" w:eastAsia="Arial" w:hAnsi="Arial"/>
          <w:b/>
          <w:bCs/>
          <w:color w:val="2E75B6"/>
          <w:sz w:val="24"/>
          <w:szCs w:val="24"/>
        </w:rPr>
        <w:t xml:space="preserve">Step 3 — Null &amp; Duplicate Handling</w:t>
      </w:r>
    </w:p>
    <w:p>
      <w:pPr>
        <w:pStyle w:val="ListParagraph"/>
        <w:numPr>
          <w:ilvl w:val="0"/>
          <w:numId w:val="2"/>
        </w:numPr>
        <w:spacing w:after="50" w:before="50"/>
      </w:pPr>
      <w:r>
        <w:rPr>
          <w:rFonts w:ascii="Arial" w:cs="Arial" w:eastAsia="Arial" w:hAnsi="Arial"/>
          <w:color w:val="1A1A2E"/>
          <w:sz w:val="22"/>
          <w:szCs w:val="22"/>
        </w:rPr>
        <w:t xml:space="preserve">Filtered out rows with null values in critical fields: Order ID, Date, Product Name, Total Sales Amount.</w:t>
      </w:r>
    </w:p>
    <w:p>
      <w:pPr>
        <w:pStyle w:val="ListParagraph"/>
        <w:numPr>
          <w:ilvl w:val="0"/>
          <w:numId w:val="2"/>
        </w:numPr>
        <w:spacing w:after="50" w:before="50"/>
      </w:pPr>
      <w:r>
        <w:rPr>
          <w:rFonts w:ascii="Arial" w:cs="Arial" w:eastAsia="Arial" w:hAnsi="Arial"/>
          <w:color w:val="1A1A2E"/>
          <w:sz w:val="22"/>
          <w:szCs w:val="22"/>
        </w:rPr>
        <w:t xml:space="preserve">Used Remove Duplicates on Order ID to ensure row-level uniqueness across the transaction dataset.</w:t>
      </w:r>
    </w:p>
    <w:p>
      <w:pPr>
        <w:pStyle w:val="ListParagraph"/>
        <w:numPr>
          <w:ilvl w:val="0"/>
          <w:numId w:val="2"/>
        </w:numPr>
        <w:spacing w:after="50" w:before="50"/>
      </w:pPr>
      <w:r>
        <w:rPr>
          <w:rFonts w:ascii="Arial" w:cs="Arial" w:eastAsia="Arial" w:hAnsi="Arial"/>
          <w:color w:val="1A1A2E"/>
          <w:sz w:val="22"/>
          <w:szCs w:val="22"/>
        </w:rPr>
        <w:t xml:space="preserve">Validated that no payment record existed without a corresponding Order ID (referential integrity check).</w:t>
      </w:r>
    </w:p>
    <w:p>
      <w:pPr>
        <w:spacing w:after="0" w:before="160"/>
      </w:pPr>
      <w:r>
        <w:t xml:space="preserve"/>
      </w:r>
    </w:p>
    <w:p>
      <w:pPr>
        <w:spacing w:after="80" w:before="220"/>
      </w:pPr>
      <w:r>
        <w:rPr>
          <w:rFonts w:ascii="Arial" w:cs="Arial" w:eastAsia="Arial" w:hAnsi="Arial"/>
          <w:b/>
          <w:bCs/>
          <w:color w:val="2E75B6"/>
          <w:sz w:val="24"/>
          <w:szCs w:val="24"/>
        </w:rPr>
        <w:t xml:space="preserve">Step 4 — Column Derivation &amp; Enrichment</w:t>
      </w:r>
    </w:p>
    <w:p>
      <w:pPr>
        <w:pStyle w:val="ListParagraph"/>
        <w:numPr>
          <w:ilvl w:val="0"/>
          <w:numId w:val="2"/>
        </w:numPr>
        <w:spacing w:after="50" w:before="50"/>
      </w:pPr>
      <w:r>
        <w:rPr>
          <w:rFonts w:ascii="Arial" w:cs="Arial" w:eastAsia="Arial" w:hAnsi="Arial"/>
          <w:color w:val="1A1A2E"/>
          <w:sz w:val="22"/>
          <w:szCs w:val="22"/>
        </w:rPr>
        <w:t xml:space="preserve">Extracted Month Name and Year from the Date column using Power Query Date functions to support time-series analysis.</w:t>
      </w:r>
    </w:p>
    <w:p>
      <w:pPr>
        <w:pStyle w:val="ListParagraph"/>
        <w:numPr>
          <w:ilvl w:val="0"/>
          <w:numId w:val="2"/>
        </w:numPr>
        <w:spacing w:after="50" w:before="50"/>
      </w:pPr>
      <w:r>
        <w:rPr>
          <w:rFonts w:ascii="Arial" w:cs="Arial" w:eastAsia="Arial" w:hAnsi="Arial"/>
          <w:color w:val="1A1A2E"/>
          <w:sz w:val="22"/>
          <w:szCs w:val="22"/>
        </w:rPr>
        <w:t xml:space="preserve">Created a Month-Year column (e.g., Jan-2024) for chronological sorting in visuals using a custom index column.</w:t>
      </w:r>
    </w:p>
    <w:p>
      <w:pPr>
        <w:pStyle w:val="ListParagraph"/>
        <w:numPr>
          <w:ilvl w:val="0"/>
          <w:numId w:val="2"/>
        </w:numPr>
        <w:spacing w:after="50" w:before="50"/>
      </w:pPr>
      <w:r>
        <w:rPr>
          <w:rFonts w:ascii="Arial" w:cs="Arial" w:eastAsia="Arial" w:hAnsi="Arial"/>
          <w:color w:val="1A1A2E"/>
          <w:sz w:val="22"/>
          <w:szCs w:val="22"/>
        </w:rPr>
        <w:t xml:space="preserve">Validated consistency between Country and Continent columns, correcting any mismatches found.</w:t>
      </w:r>
    </w:p>
    <w:p>
      <w:pPr>
        <w:spacing w:after="0" w:before="160"/>
      </w:pPr>
      <w:r>
        <w:t xml:space="preserve"/>
      </w:r>
    </w:p>
    <w:p>
      <w:pPr>
        <w:spacing w:after="80" w:before="220"/>
      </w:pPr>
      <w:r>
        <w:rPr>
          <w:rFonts w:ascii="Arial" w:cs="Arial" w:eastAsia="Arial" w:hAnsi="Arial"/>
          <w:b/>
          <w:bCs/>
          <w:color w:val="2E75B6"/>
          <w:sz w:val="24"/>
          <w:szCs w:val="24"/>
        </w:rPr>
        <w:t xml:space="preserve">Step 5 — Data Model Structuring</w:t>
      </w:r>
    </w:p>
    <w:p>
      <w:pPr>
        <w:pStyle w:val="ListParagraph"/>
        <w:numPr>
          <w:ilvl w:val="0"/>
          <w:numId w:val="2"/>
        </w:numPr>
        <w:spacing w:after="50" w:before="50"/>
      </w:pPr>
      <w:r>
        <w:rPr>
          <w:rFonts w:ascii="Arial" w:cs="Arial" w:eastAsia="Arial" w:hAnsi="Arial"/>
          <w:color w:val="1A1A2E"/>
          <w:sz w:val="22"/>
          <w:szCs w:val="22"/>
        </w:rPr>
        <w:t xml:space="preserve">Confirmed the dataset followed a flat, denormalized structure suitable for a single-table model.</w:t>
      </w:r>
    </w:p>
    <w:p>
      <w:pPr>
        <w:pStyle w:val="ListParagraph"/>
        <w:numPr>
          <w:ilvl w:val="0"/>
          <w:numId w:val="2"/>
        </w:numPr>
        <w:spacing w:after="50" w:before="50"/>
      </w:pPr>
      <w:r>
        <w:rPr>
          <w:rFonts w:ascii="Arial" w:cs="Arial" w:eastAsia="Arial" w:hAnsi="Arial"/>
          <w:color w:val="1A1A2E"/>
          <w:sz w:val="22"/>
          <w:szCs w:val="22"/>
        </w:rPr>
        <w:t xml:space="preserve">Loaded the cleaned table into the Power BI data model and marked the Date column appropriately for DAX time-intelligence functions.</w:t>
      </w:r>
    </w:p>
    <w:p>
      <w:pPr>
        <w:pStyle w:val="ListParagraph"/>
        <w:numPr>
          <w:ilvl w:val="0"/>
          <w:numId w:val="2"/>
        </w:numPr>
        <w:spacing w:after="50" w:before="50"/>
      </w:pPr>
      <w:r>
        <w:rPr>
          <w:rFonts w:ascii="Arial" w:cs="Arial" w:eastAsia="Arial" w:hAnsi="Arial"/>
          <w:color w:val="1A1A2E"/>
          <w:sz w:val="22"/>
          <w:szCs w:val="22"/>
        </w:rPr>
        <w:t xml:space="preserve">Reviewed relationships in Model View to confirm no unintended cross-filter issues.</w:t>
      </w:r>
    </w:p>
    <w:p>
      <w:pPr>
        <w:spacing w:after="0" w:before="320"/>
      </w:pPr>
      <w:r>
        <w:t xml:space="preserve"/>
      </w:r>
    </w:p>
    <w:p>
      <w:pPr>
        <w:pBdr>
          <w:bottom w:val="single" w:color="C9A227" w:sz="6" w:space="4"/>
        </w:pBdr>
        <w:spacing w:after="120" w:before="340"/>
      </w:pPr>
      <w:r>
        <w:rPr>
          <w:rFonts w:ascii="Arial" w:cs="Arial" w:eastAsia="Arial" w:hAnsi="Arial"/>
          <w:b/>
          <w:bCs/>
          <w:color w:val="1B3A6B"/>
          <w:sz w:val="26"/>
          <w:szCs w:val="26"/>
        </w:rPr>
        <w:t xml:space="preserve">05  |  DAX MEASURES CREATED</w:t>
      </w:r>
    </w:p>
    <w:p>
      <w:pPr>
        <w:pBdr>
          <w:bottom w:val="single" w:color="2E75B6" w:sz="8" w:space="1"/>
        </w:pBdr>
        <w:spacing w:after="200" w:before="80"/>
      </w:pPr>
      <w:r>
        <w:t xml:space="preserve"/>
      </w:r>
    </w:p>
    <w:p>
      <w:pPr>
        <w:spacing w:after="60" w:before="60"/>
        <w:jc w:val="both"/>
      </w:pPr>
      <w:r>
        <w:rPr>
          <w:rFonts w:ascii="Arial" w:cs="Arial" w:eastAsia="Arial" w:hAnsi="Arial"/>
          <w:color w:val="1A1A2E"/>
          <w:sz w:val="22"/>
          <w:szCs w:val="22"/>
        </w:rPr>
        <w:t xml:space="preserve">All key performance indicators in this dashboard are powered by custom DAX (Data Analysis Expressions) measures. These dynamic calculations respond to slicer selections and visual filters, ensuring accurate, context-aware reporting across all pages.</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D0D7E2" w:sz="1"/>
              <w:left w:val="single" w:color="D0D7E2" w:sz="1"/>
              <w:bottom w:val="single" w:color="D0D7E2" w:sz="1"/>
              <w:right w:val="single" w:color="D0D7E2"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Measure Name</w:t>
            </w:r>
          </w:p>
        </w:tc>
        <w:tc>
          <w:tcPr>
            <w:tcW w:type="dxa" w:w="3800"/>
            <w:tcBorders>
              <w:top w:val="single" w:color="D0D7E2" w:sz="1"/>
              <w:left w:val="single" w:color="D0D7E2" w:sz="1"/>
              <w:bottom w:val="single" w:color="D0D7E2" w:sz="1"/>
              <w:right w:val="single" w:color="D0D7E2"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DAX Formula</w:t>
            </w:r>
          </w:p>
        </w:tc>
        <w:tc>
          <w:tcPr>
            <w:tcW w:type="dxa" w:w="2760"/>
            <w:tcBorders>
              <w:top w:val="single" w:color="D0D7E2" w:sz="1"/>
              <w:left w:val="single" w:color="D0D7E2" w:sz="1"/>
              <w:bottom w:val="single" w:color="D0D7E2" w:sz="1"/>
              <w:right w:val="single" w:color="D0D7E2"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8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Total Sales</w:t>
            </w:r>
          </w:p>
        </w:tc>
        <w:tc>
          <w:tcPr>
            <w:tcW w:type="dxa" w:w="38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ourier New" w:cs="Courier New" w:eastAsia="Courier New" w:hAnsi="Courier New"/>
                <w:color w:val="1D3557"/>
                <w:sz w:val="19"/>
                <w:szCs w:val="19"/>
              </w:rPr>
              <w:t xml:space="preserve">SUM([Total Sales Amount])</w:t>
            </w:r>
          </w:p>
        </w:tc>
        <w:tc>
          <w:tcPr>
            <w:tcW w:type="dxa" w:w="27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Aggregate revenue across all filtered transactions</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Total Profit</w:t>
            </w:r>
          </w:p>
        </w:tc>
        <w:tc>
          <w:tcPr>
            <w:tcW w:type="dxa" w:w="3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Courier New" w:cs="Courier New" w:eastAsia="Courier New" w:hAnsi="Courier New"/>
                <w:color w:val="1D3557"/>
                <w:sz w:val="19"/>
                <w:szCs w:val="19"/>
              </w:rPr>
              <w:t xml:space="preserve">SUM([Profit])</w:t>
            </w:r>
          </w:p>
        </w:tc>
        <w:tc>
          <w:tcPr>
            <w:tcW w:type="dxa" w:w="27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Sum of profit after costs across selected context</w:t>
            </w:r>
          </w:p>
        </w:tc>
      </w:tr>
      <w:tr>
        <w:tc>
          <w:tcPr>
            <w:tcW w:type="dxa" w:w="28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Total Orders</w:t>
            </w:r>
          </w:p>
        </w:tc>
        <w:tc>
          <w:tcPr>
            <w:tcW w:type="dxa" w:w="38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ourier New" w:cs="Courier New" w:eastAsia="Courier New" w:hAnsi="Courier New"/>
                <w:color w:val="1D3557"/>
                <w:sz w:val="19"/>
                <w:szCs w:val="19"/>
              </w:rPr>
              <w:t xml:space="preserve">DISTINCTCOUNT([Order ID])</w:t>
            </w:r>
          </w:p>
        </w:tc>
        <w:tc>
          <w:tcPr>
            <w:tcW w:type="dxa" w:w="27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Count of unique orders (not rows)</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Avg Order Value</w:t>
            </w:r>
          </w:p>
        </w:tc>
        <w:tc>
          <w:tcPr>
            <w:tcW w:type="dxa" w:w="3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Courier New" w:cs="Courier New" w:eastAsia="Courier New" w:hAnsi="Courier New"/>
                <w:color w:val="1D3557"/>
                <w:sz w:val="19"/>
                <w:szCs w:val="19"/>
              </w:rPr>
              <w:t xml:space="preserve">[Total Sales] / [Total Orders]</w:t>
            </w:r>
          </w:p>
        </w:tc>
        <w:tc>
          <w:tcPr>
            <w:tcW w:type="dxa" w:w="27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Revenue per transaction for basket analysis</w:t>
            </w:r>
          </w:p>
        </w:tc>
      </w:tr>
      <w:tr>
        <w:tc>
          <w:tcPr>
            <w:tcW w:type="dxa" w:w="28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Total Quantity</w:t>
            </w:r>
          </w:p>
        </w:tc>
        <w:tc>
          <w:tcPr>
            <w:tcW w:type="dxa" w:w="38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ourier New" w:cs="Courier New" w:eastAsia="Courier New" w:hAnsi="Courier New"/>
                <w:color w:val="1D3557"/>
                <w:sz w:val="19"/>
                <w:szCs w:val="19"/>
              </w:rPr>
              <w:t xml:space="preserve">SUM([Quantity])</w:t>
            </w:r>
          </w:p>
        </w:tc>
        <w:tc>
          <w:tcPr>
            <w:tcW w:type="dxa" w:w="27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Units sold across filtered selection</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Profit Margin %</w:t>
            </w:r>
          </w:p>
        </w:tc>
        <w:tc>
          <w:tcPr>
            <w:tcW w:type="dxa" w:w="3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Courier New" w:cs="Courier New" w:eastAsia="Courier New" w:hAnsi="Courier New"/>
                <w:color w:val="1D3557"/>
                <w:sz w:val="19"/>
                <w:szCs w:val="19"/>
              </w:rPr>
              <w:t xml:space="preserve">DIVIDE([Total Profit], [Total Sales], 0)</w:t>
            </w:r>
          </w:p>
        </w:tc>
        <w:tc>
          <w:tcPr>
            <w:tcW w:type="dxa" w:w="27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Profitability ratio with zero-division protection</w:t>
            </w:r>
          </w:p>
        </w:tc>
      </w:tr>
      <w:tr>
        <w:tc>
          <w:tcPr>
            <w:tcW w:type="dxa" w:w="28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Completed Payments</w:t>
            </w:r>
          </w:p>
        </w:tc>
        <w:tc>
          <w:tcPr>
            <w:tcW w:type="dxa" w:w="38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ourier New" w:cs="Courier New" w:eastAsia="Courier New" w:hAnsi="Courier New"/>
                <w:color w:val="1D3557"/>
                <w:sz w:val="19"/>
                <w:szCs w:val="19"/>
              </w:rPr>
              <w:t xml:space="preserve">CALCULATE([Total Orders], [Payment Status]="Completed")</w:t>
            </w:r>
          </w:p>
        </w:tc>
        <w:tc>
          <w:tcPr>
            <w:tcW w:type="dxa" w:w="27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Orders with successful payment completion</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Failed Payments</w:t>
            </w:r>
          </w:p>
        </w:tc>
        <w:tc>
          <w:tcPr>
            <w:tcW w:type="dxa" w:w="3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Courier New" w:cs="Courier New" w:eastAsia="Courier New" w:hAnsi="Courier New"/>
                <w:color w:val="1D3557"/>
                <w:sz w:val="19"/>
                <w:szCs w:val="19"/>
              </w:rPr>
              <w:t xml:space="preserve">CALCULATE([Total Orders], [Payment Status]="Failed")</w:t>
            </w:r>
          </w:p>
        </w:tc>
        <w:tc>
          <w:tcPr>
            <w:tcW w:type="dxa" w:w="27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Failed transaction count for risk monitoring</w:t>
            </w:r>
          </w:p>
        </w:tc>
      </w:tr>
      <w:tr>
        <w:tc>
          <w:tcPr>
            <w:tcW w:type="dxa" w:w="28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Failure Rate %</w:t>
            </w:r>
          </w:p>
        </w:tc>
        <w:tc>
          <w:tcPr>
            <w:tcW w:type="dxa" w:w="38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ourier New" w:cs="Courier New" w:eastAsia="Courier New" w:hAnsi="Courier New"/>
                <w:color w:val="1D3557"/>
                <w:sz w:val="19"/>
                <w:szCs w:val="19"/>
              </w:rPr>
              <w:t xml:space="preserve">DIVIDE([Failed Payments], [Total Orders], 0)</w:t>
            </w:r>
          </w:p>
        </w:tc>
        <w:tc>
          <w:tcPr>
            <w:tcW w:type="dxa" w:w="27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Proportion of failed payment transactions</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MoM Sales Growth</w:t>
            </w:r>
          </w:p>
        </w:tc>
        <w:tc>
          <w:tcPr>
            <w:tcW w:type="dxa" w:w="3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Courier New" w:cs="Courier New" w:eastAsia="Courier New" w:hAnsi="Courier New"/>
                <w:color w:val="1D3557"/>
                <w:sz w:val="19"/>
                <w:szCs w:val="19"/>
              </w:rPr>
              <w:t xml:space="preserve">([Total Sales] - [Prev Month Sales]) / [Prev Month Sales]</w:t>
            </w:r>
          </w:p>
        </w:tc>
        <w:tc>
          <w:tcPr>
            <w:tcW w:type="dxa" w:w="27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Month-over-month revenue change percentage</w:t>
            </w:r>
          </w:p>
        </w:tc>
      </w:tr>
      <w:tr>
        <w:tc>
          <w:tcPr>
            <w:tcW w:type="dxa" w:w="28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Top Product Rank</w:t>
            </w:r>
          </w:p>
        </w:tc>
        <w:tc>
          <w:tcPr>
            <w:tcW w:type="dxa" w:w="38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ourier New" w:cs="Courier New" w:eastAsia="Courier New" w:hAnsi="Courier New"/>
                <w:color w:val="1D3557"/>
                <w:sz w:val="19"/>
                <w:szCs w:val="19"/>
              </w:rPr>
              <w:t xml:space="preserve">RANKX(ALL([Product Name]), [Total Sales],,DESC)</w:t>
            </w:r>
          </w:p>
        </w:tc>
        <w:tc>
          <w:tcPr>
            <w:tcW w:type="dxa" w:w="27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Dynamic product ranking by revenue (all context)</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Sales Contribution %</w:t>
            </w:r>
          </w:p>
        </w:tc>
        <w:tc>
          <w:tcPr>
            <w:tcW w:type="dxa" w:w="3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Courier New" w:cs="Courier New" w:eastAsia="Courier New" w:hAnsi="Courier New"/>
                <w:color w:val="1D3557"/>
                <w:sz w:val="19"/>
                <w:szCs w:val="19"/>
              </w:rPr>
              <w:t xml:space="preserve">DIVIDE([Total Sales], CALCULATE([Total Sales], ALL([Product Name])))</w:t>
            </w:r>
          </w:p>
        </w:tc>
        <w:tc>
          <w:tcPr>
            <w:tcW w:type="dxa" w:w="27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Each product's share of total revenue</w:t>
            </w:r>
          </w:p>
        </w:tc>
      </w:tr>
    </w:tbl>
    <w:p>
      <w:pPr>
        <w:spacing w:after="0" w:before="160"/>
      </w:pPr>
      <w:r>
        <w:t xml:space="preserve"/>
      </w:r>
    </w:p>
    <w:p>
      <w:pPr>
        <w:spacing w:after="60" w:before="60"/>
        <w:jc w:val="both"/>
      </w:pPr>
      <w:r>
        <w:rPr>
          <w:rFonts w:ascii="Arial" w:cs="Arial" w:eastAsia="Arial" w:hAnsi="Arial"/>
          <w:color w:val="4A4A6A"/>
          <w:sz w:val="22"/>
          <w:szCs w:val="22"/>
        </w:rPr>
        <w:t xml:space="preserve">Note: DIVIDE() is used throughout in place of the / operator to handle zero denominators gracefully and prevent visual errors in the report canvas.</w:t>
      </w:r>
    </w:p>
    <w:p>
      <w:pPr>
        <w:spacing w:after="0" w:before="320"/>
      </w:pPr>
      <w:r>
        <w:t xml:space="preserve"/>
      </w:r>
    </w:p>
    <w:p>
      <w:pPr>
        <w:pBdr>
          <w:bottom w:val="single" w:color="C9A227" w:sz="6" w:space="4"/>
        </w:pBdr>
        <w:spacing w:after="120" w:before="340"/>
      </w:pPr>
      <w:r>
        <w:rPr>
          <w:rFonts w:ascii="Arial" w:cs="Arial" w:eastAsia="Arial" w:hAnsi="Arial"/>
          <w:b/>
          <w:bCs/>
          <w:color w:val="1B3A6B"/>
          <w:sz w:val="26"/>
          <w:szCs w:val="26"/>
        </w:rPr>
        <w:t xml:space="preserve">06  |  DASHBOARD DESIGN &amp; PAGES EXPLANATION</w:t>
      </w:r>
    </w:p>
    <w:p>
      <w:pPr>
        <w:pBdr>
          <w:bottom w:val="single" w:color="2E75B6" w:sz="8" w:space="1"/>
        </w:pBdr>
        <w:spacing w:after="200" w:before="80"/>
      </w:pPr>
      <w:r>
        <w:t xml:space="preserve"/>
      </w:r>
    </w:p>
    <w:p>
      <w:pPr>
        <w:spacing w:after="60" w:before="60"/>
        <w:jc w:val="both"/>
      </w:pPr>
      <w:r>
        <w:rPr>
          <w:rFonts w:ascii="Arial" w:cs="Arial" w:eastAsia="Arial" w:hAnsi="Arial"/>
          <w:color w:val="1A1A2E"/>
          <w:sz w:val="22"/>
          <w:szCs w:val="22"/>
        </w:rPr>
        <w:t xml:space="preserve">The dashboard is organized across three dedicated pages, each addressing a specific business domain. A consistent visual theme — including a unified color palette, navigation layout, and KPI card design — is applied throughout to ensure a professional and user-friendly experience.</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B3A6B" w:val="clear"/>
            <w:tcMar>
              <w:top w:type="dxa" w:w="0"/>
              <w:left w:type="dxa" w:w="0"/>
              <w:bottom w:type="dxa" w:w="0"/>
              <w:right w:type="dxa" w:w="0"/>
            </w:tcMar>
          </w:tcPr>
          <w:p>
            <w:r>
              <w:t xml:space="preserve"/>
            </w:r>
          </w:p>
        </w:tc>
        <w:tc>
          <w:tcPr>
            <w:tcW w:type="dxa" w:w="8880"/>
            <w:tcBorders>
              <w:top w:val="none" w:color="FFFFFF" w:sz="0"/>
              <w:left w:val="none" w:color="FFFFFF" w:sz="0"/>
              <w:bottom w:val="none" w:color="FFFFFF" w:sz="0"/>
              <w:right w:val="none" w:color="FFFFFF" w:sz="0"/>
            </w:tcBorders>
            <w:shd w:fill="F5F7FA" w:val="clear"/>
            <w:tcMar>
              <w:top w:type="dxa" w:w="140"/>
              <w:left w:type="dxa" w:w="200"/>
              <w:bottom w:type="dxa" w:w="140"/>
              <w:right w:type="dxa" w:w="200"/>
            </w:tcMar>
          </w:tcPr>
          <w:p>
            <w:r>
              <w:rPr>
                <w:rFonts w:ascii="Arial" w:cs="Arial" w:eastAsia="Arial" w:hAnsi="Arial"/>
                <w:b/>
                <w:bCs/>
                <w:color w:val="1B3A6B"/>
                <w:sz w:val="26"/>
                <w:szCs w:val="26"/>
              </w:rPr>
              <w:t xml:space="preserve">Page 1  —  Sales Overview</w:t>
            </w:r>
          </w:p>
          <w:p>
            <w:pPr>
              <w:spacing w:after="0" w:before="80"/>
            </w:pPr>
            <w:r>
              <w:t xml:space="preserve"/>
            </w:r>
          </w:p>
          <w:p>
            <w:pPr>
              <w:jc w:val="both"/>
            </w:pPr>
            <w:r>
              <w:rPr>
                <w:rFonts w:ascii="Arial" w:cs="Arial" w:eastAsia="Arial" w:hAnsi="Arial"/>
                <w:color w:val="1A1A2E"/>
                <w:sz w:val="21"/>
                <w:szCs w:val="21"/>
              </w:rPr>
              <w:t xml:space="preserve">This is the executive summary page of the dashboard, designed for C-level stakeholders and senior managers. It delivers an at-a-glance snapshot of the entire business performance. Four KPI cards (Total Sales, Total Profit, Total Orders, Average Order Value) sit at the top of the page, providing immediate context before users engage with the visual detail below.</w:t>
            </w:r>
          </w:p>
          <w:p>
            <w:pPr>
              <w:spacing w:after="0" w:before="80"/>
            </w:pPr>
            <w:r>
              <w:t xml:space="preserve"/>
            </w:r>
          </w:p>
          <w:p>
            <w:r>
              <w:rPr>
                <w:rFonts w:ascii="Arial" w:cs="Arial" w:eastAsia="Arial" w:hAnsi="Arial"/>
                <w:b/>
                <w:bCs/>
                <w:color w:val="2E75B6"/>
                <w:sz w:val="21"/>
                <w:szCs w:val="21"/>
              </w:rPr>
              <w:t xml:space="preserve">Key Visuals:</w:t>
            </w:r>
          </w:p>
          <w:p>
            <w:pPr>
              <w:pStyle w:val="ListParagraph"/>
              <w:numPr>
                <w:ilvl w:val="0"/>
                <w:numId w:val="2"/>
              </w:numPr>
            </w:pPr>
            <w:r>
              <w:rPr>
                <w:rFonts w:ascii="Arial" w:cs="Arial" w:eastAsia="Arial" w:hAnsi="Arial"/>
                <w:color w:val="1A1A2E"/>
                <w:sz w:val="21"/>
                <w:szCs w:val="21"/>
              </w:rPr>
              <w:t xml:space="preserve">Monthly Sales Trend (Line Chart) — highlights seasonality and growth momentum</w:t>
            </w:r>
          </w:p>
          <w:p>
            <w:pPr>
              <w:pStyle w:val="ListParagraph"/>
              <w:numPr>
                <w:ilvl w:val="0"/>
                <w:numId w:val="2"/>
              </w:numPr>
            </w:pPr>
            <w:r>
              <w:rPr>
                <w:rFonts w:ascii="Arial" w:cs="Arial" w:eastAsia="Arial" w:hAnsi="Arial"/>
                <w:color w:val="1A1A2E"/>
                <w:sz w:val="21"/>
                <w:szCs w:val="21"/>
              </w:rPr>
              <w:t xml:space="preserve">Sales by Category (Bar Chart) — reveals category-level revenue contributions</w:t>
            </w:r>
          </w:p>
          <w:p>
            <w:pPr>
              <w:pStyle w:val="ListParagraph"/>
              <w:numPr>
                <w:ilvl w:val="0"/>
                <w:numId w:val="2"/>
              </w:numPr>
            </w:pPr>
            <w:r>
              <w:rPr>
                <w:rFonts w:ascii="Arial" w:cs="Arial" w:eastAsia="Arial" w:hAnsi="Arial"/>
                <w:color w:val="1A1A2E"/>
                <w:sz w:val="21"/>
                <w:szCs w:val="21"/>
              </w:rPr>
              <w:t xml:space="preserve">Profit by Category (Column Chart) — identifies the most and least profitable product families</w:t>
            </w:r>
          </w:p>
          <w:p>
            <w:pPr>
              <w:pStyle w:val="ListParagraph"/>
              <w:numPr>
                <w:ilvl w:val="0"/>
                <w:numId w:val="2"/>
              </w:numPr>
            </w:pPr>
            <w:r>
              <w:rPr>
                <w:rFonts w:ascii="Arial" w:cs="Arial" w:eastAsia="Arial" w:hAnsi="Arial"/>
                <w:color w:val="1A1A2E"/>
                <w:sz w:val="21"/>
                <w:szCs w:val="21"/>
              </w:rPr>
              <w:t xml:space="preserve">Top 10 Products (Horizontal Bar Chart) — ranked by revenue for quick product intelligence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t xml:space="preserve"/>
            </w:r>
          </w:p>
        </w:tc>
        <w:tc>
          <w:tcPr>
            <w:tcW w:type="dxa" w:w="8880"/>
            <w:tcBorders>
              <w:top w:val="none" w:color="FFFFFF" w:sz="0"/>
              <w:left w:val="none" w:color="FFFFFF" w:sz="0"/>
              <w:bottom w:val="none" w:color="FFFFFF" w:sz="0"/>
              <w:right w:val="none" w:color="FFFFFF" w:sz="0"/>
            </w:tcBorders>
            <w:shd w:fill="F5F7FA" w:val="clear"/>
            <w:tcMar>
              <w:top w:type="dxa" w:w="140"/>
              <w:left w:type="dxa" w:w="200"/>
              <w:bottom w:type="dxa" w:w="140"/>
              <w:right w:type="dxa" w:w="200"/>
            </w:tcMar>
          </w:tcPr>
          <w:p>
            <w:r>
              <w:rPr>
                <w:rFonts w:ascii="Arial" w:cs="Arial" w:eastAsia="Arial" w:hAnsi="Arial"/>
                <w:b/>
                <w:bCs/>
                <w:color w:val="2E75B6"/>
                <w:sz w:val="26"/>
                <w:szCs w:val="26"/>
              </w:rPr>
              <w:t xml:space="preserve">Page 2  —  Product Insights</w:t>
            </w:r>
          </w:p>
          <w:p>
            <w:pPr>
              <w:spacing w:after="0" w:before="80"/>
            </w:pPr>
            <w:r>
              <w:t xml:space="preserve"/>
            </w:r>
          </w:p>
          <w:p>
            <w:pPr>
              <w:jc w:val="both"/>
            </w:pPr>
            <w:r>
              <w:rPr>
                <w:rFonts w:ascii="Arial" w:cs="Arial" w:eastAsia="Arial" w:hAnsi="Arial"/>
                <w:color w:val="1A1A2E"/>
                <w:sz w:val="21"/>
                <w:szCs w:val="21"/>
              </w:rPr>
              <w:t xml:space="preserve">This page is designed for product managers and category analysts. It provides deep-dive visibility into the product portfolio — enabling teams to make informed decisions about product promotion, discontinuation, and inventory planning based on sales, quantity, and profitability data.</w:t>
            </w:r>
          </w:p>
          <w:p>
            <w:pPr>
              <w:spacing w:after="0" w:before="80"/>
            </w:pPr>
            <w:r>
              <w:t xml:space="preserve"/>
            </w:r>
          </w:p>
          <w:p>
            <w:r>
              <w:rPr>
                <w:rFonts w:ascii="Arial" w:cs="Arial" w:eastAsia="Arial" w:hAnsi="Arial"/>
                <w:b/>
                <w:bCs/>
                <w:color w:val="2E75B6"/>
                <w:sz w:val="21"/>
                <w:szCs w:val="21"/>
              </w:rPr>
              <w:t xml:space="preserve">Key Visuals:</w:t>
            </w:r>
          </w:p>
          <w:p>
            <w:pPr>
              <w:pStyle w:val="ListParagraph"/>
              <w:numPr>
                <w:ilvl w:val="0"/>
                <w:numId w:val="4"/>
              </w:numPr>
            </w:pPr>
            <w:r>
              <w:rPr>
                <w:rFonts w:ascii="Arial" w:cs="Arial" w:eastAsia="Arial" w:hAnsi="Arial"/>
                <w:color w:val="1A1A2E"/>
                <w:sz w:val="21"/>
                <w:szCs w:val="21"/>
              </w:rPr>
              <w:t xml:space="preserve">Top Products by Profit (Bar Chart) — identifies high-margin items deserving greater promotion</w:t>
            </w:r>
          </w:p>
          <w:p>
            <w:pPr>
              <w:pStyle w:val="ListParagraph"/>
              <w:numPr>
                <w:ilvl w:val="0"/>
                <w:numId w:val="4"/>
              </w:numPr>
            </w:pPr>
            <w:r>
              <w:rPr>
                <w:rFonts w:ascii="Arial" w:cs="Arial" w:eastAsia="Arial" w:hAnsi="Arial"/>
                <w:color w:val="1A1A2E"/>
                <w:sz w:val="21"/>
                <w:szCs w:val="21"/>
              </w:rPr>
              <w:t xml:space="preserve">Quantity Sold by Product (Column Chart) — volume vs. revenue comparison for pricing strategy</w:t>
            </w:r>
          </w:p>
          <w:p>
            <w:pPr>
              <w:pStyle w:val="ListParagraph"/>
              <w:numPr>
                <w:ilvl w:val="0"/>
                <w:numId w:val="4"/>
              </w:numPr>
            </w:pPr>
            <w:r>
              <w:rPr>
                <w:rFonts w:ascii="Arial" w:cs="Arial" w:eastAsia="Arial" w:hAnsi="Arial"/>
                <w:color w:val="1A1A2E"/>
                <w:sz w:val="21"/>
                <w:szCs w:val="21"/>
              </w:rPr>
              <w:t xml:space="preserve">Sales by Subcategory (Treemap/Bar) — granular view of performance within each category</w:t>
            </w:r>
          </w:p>
          <w:p>
            <w:pPr>
              <w:pStyle w:val="ListParagraph"/>
              <w:numPr>
                <w:ilvl w:val="0"/>
                <w:numId w:val="4"/>
              </w:numPr>
            </w:pPr>
            <w:r>
              <w:rPr>
                <w:rFonts w:ascii="Arial" w:cs="Arial" w:eastAsia="Arial" w:hAnsi="Arial"/>
                <w:color w:val="1A1A2E"/>
                <w:sz w:val="21"/>
                <w:szCs w:val="21"/>
              </w:rPr>
              <w:t xml:space="preserve">Bottom Performing Products (Table) — flags items for review, repricing, or discontinuation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C9A227" w:val="clear"/>
            <w:tcMar>
              <w:top w:type="dxa" w:w="0"/>
              <w:left w:type="dxa" w:w="0"/>
              <w:bottom w:type="dxa" w:w="0"/>
              <w:right w:type="dxa" w:w="0"/>
            </w:tcMar>
          </w:tcPr>
          <w:p>
            <w:r>
              <w:t xml:space="preserve"/>
            </w:r>
          </w:p>
        </w:tc>
        <w:tc>
          <w:tcPr>
            <w:tcW w:type="dxa" w:w="8880"/>
            <w:tcBorders>
              <w:top w:val="none" w:color="FFFFFF" w:sz="0"/>
              <w:left w:val="none" w:color="FFFFFF" w:sz="0"/>
              <w:bottom w:val="none" w:color="FFFFFF" w:sz="0"/>
              <w:right w:val="none" w:color="FFFFFF" w:sz="0"/>
            </w:tcBorders>
            <w:shd w:fill="F5F7FA" w:val="clear"/>
            <w:tcMar>
              <w:top w:type="dxa" w:w="140"/>
              <w:left w:type="dxa" w:w="200"/>
              <w:bottom w:type="dxa" w:w="140"/>
              <w:right w:type="dxa" w:w="200"/>
            </w:tcMar>
          </w:tcPr>
          <w:p>
            <w:r>
              <w:rPr>
                <w:rFonts w:ascii="Arial" w:cs="Arial" w:eastAsia="Arial" w:hAnsi="Arial"/>
                <w:b/>
                <w:bCs/>
                <w:color w:val="7A5C00"/>
                <w:sz w:val="26"/>
                <w:szCs w:val="26"/>
              </w:rPr>
              <w:t xml:space="preserve">Page 3  —  Regional &amp; Payment Analysis</w:t>
            </w:r>
          </w:p>
          <w:p>
            <w:pPr>
              <w:spacing w:after="0" w:before="80"/>
            </w:pPr>
            <w:r>
              <w:t xml:space="preserve"/>
            </w:r>
          </w:p>
          <w:p>
            <w:pPr>
              <w:jc w:val="both"/>
            </w:pPr>
            <w:r>
              <w:rPr>
                <w:rFonts w:ascii="Arial" w:cs="Arial" w:eastAsia="Arial" w:hAnsi="Arial"/>
                <w:color w:val="1A1A2E"/>
                <w:sz w:val="21"/>
                <w:szCs w:val="21"/>
              </w:rPr>
              <w:t xml:space="preserve">This page serves regional sales managers and finance teams. It provides geographic segmentation of revenue alongside a complete breakdown of payment transaction health — helping the business identify regional growth opportunities and proactively address payment failures that represent unrealized revenue.</w:t>
            </w:r>
          </w:p>
          <w:p>
            <w:pPr>
              <w:spacing w:after="0" w:before="80"/>
            </w:pPr>
            <w:r>
              <w:t xml:space="preserve"/>
            </w:r>
          </w:p>
          <w:p>
            <w:r>
              <w:rPr>
                <w:rFonts w:ascii="Arial" w:cs="Arial" w:eastAsia="Arial" w:hAnsi="Arial"/>
                <w:b/>
                <w:bCs/>
                <w:color w:val="7A5C00"/>
                <w:sz w:val="21"/>
                <w:szCs w:val="21"/>
              </w:rPr>
              <w:t xml:space="preserve">Key Visuals:</w:t>
            </w:r>
          </w:p>
          <w:p>
            <w:pPr>
              <w:pStyle w:val="ListParagraph"/>
              <w:numPr>
                <w:ilvl w:val="0"/>
                <w:numId w:val="5"/>
              </w:numPr>
            </w:pPr>
            <w:r>
              <w:rPr>
                <w:rFonts w:ascii="Arial" w:cs="Arial" w:eastAsia="Arial" w:hAnsi="Arial"/>
                <w:color w:val="1A1A2E"/>
                <w:sz w:val="21"/>
                <w:szCs w:val="21"/>
              </w:rPr>
              <w:t xml:space="preserve">Sales by Country Map (Filled Map) — geographic heat map showing revenue intensity by country</w:t>
            </w:r>
          </w:p>
          <w:p>
            <w:pPr>
              <w:pStyle w:val="ListParagraph"/>
              <w:numPr>
                <w:ilvl w:val="0"/>
                <w:numId w:val="5"/>
              </w:numPr>
            </w:pPr>
            <w:r>
              <w:rPr>
                <w:rFonts w:ascii="Arial" w:cs="Arial" w:eastAsia="Arial" w:hAnsi="Arial"/>
                <w:color w:val="1A1A2E"/>
                <w:sz w:val="21"/>
                <w:szCs w:val="21"/>
              </w:rPr>
              <w:t xml:space="preserve">Sales by Continent (Bar Chart) — continent-level comparison for macro-regional strategy</w:t>
            </w:r>
          </w:p>
          <w:p>
            <w:pPr>
              <w:pStyle w:val="ListParagraph"/>
              <w:numPr>
                <w:ilvl w:val="0"/>
                <w:numId w:val="5"/>
              </w:numPr>
            </w:pPr>
            <w:r>
              <w:rPr>
                <w:rFonts w:ascii="Arial" w:cs="Arial" w:eastAsia="Arial" w:hAnsi="Arial"/>
                <w:color w:val="1A1A2E"/>
                <w:sz w:val="21"/>
                <w:szCs w:val="21"/>
              </w:rPr>
              <w:t xml:space="preserve">Payment Method Distribution (Donut Chart) — adoption of credit card, PayPal, bank transfer, etc.</w:t>
            </w:r>
          </w:p>
          <w:p>
            <w:pPr>
              <w:pStyle w:val="ListParagraph"/>
              <w:numPr>
                <w:ilvl w:val="0"/>
                <w:numId w:val="5"/>
              </w:numPr>
            </w:pPr>
            <w:r>
              <w:rPr>
                <w:rFonts w:ascii="Arial" w:cs="Arial" w:eastAsia="Arial" w:hAnsi="Arial"/>
                <w:color w:val="1A1A2E"/>
                <w:sz w:val="21"/>
                <w:szCs w:val="21"/>
              </w:rPr>
              <w:t xml:space="preserve">Payment Status Distribution (Pie/Bar Chart) — completed vs. failed transaction ratio</w:t>
            </w:r>
          </w:p>
        </w:tc>
      </w:tr>
    </w:tbl>
    <w:p>
      <w:pPr>
        <w:spacing w:after="0" w:before="320"/>
      </w:pPr>
      <w:r>
        <w:t xml:space="preserve"/>
      </w:r>
    </w:p>
    <w:p>
      <w:pPr>
        <w:pBdr>
          <w:bottom w:val="single" w:color="C9A227" w:sz="6" w:space="4"/>
        </w:pBdr>
        <w:spacing w:after="120" w:before="340"/>
      </w:pPr>
      <w:r>
        <w:rPr>
          <w:rFonts w:ascii="Arial" w:cs="Arial" w:eastAsia="Arial" w:hAnsi="Arial"/>
          <w:b/>
          <w:bCs/>
          <w:color w:val="1B3A6B"/>
          <w:sz w:val="26"/>
          <w:szCs w:val="26"/>
        </w:rPr>
        <w:t xml:space="preserve">07  |  KEY BUSINESS INSIGHTS</w:t>
      </w:r>
    </w:p>
    <w:p>
      <w:pPr>
        <w:pBdr>
          <w:bottom w:val="single" w:color="2E75B6" w:sz="8" w:space="1"/>
        </w:pBdr>
        <w:spacing w:after="200" w:before="80"/>
      </w:pPr>
      <w:r>
        <w:t xml:space="preserve"/>
      </w:r>
    </w:p>
    <w:p>
      <w:pPr>
        <w:spacing w:after="60" w:before="60"/>
        <w:jc w:val="both"/>
      </w:pPr>
      <w:r>
        <w:rPr>
          <w:rFonts w:ascii="Arial" w:cs="Arial" w:eastAsia="Arial" w:hAnsi="Arial"/>
          <w:color w:val="1A1A2E"/>
          <w:sz w:val="22"/>
          <w:szCs w:val="22"/>
        </w:rPr>
        <w:t xml:space="preserve">Analysis of the e-commerce dataset through the dashboard surfaced several significant business insights with direct implications for strategy, operations, and growth planning:</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01</w:t>
            </w:r>
          </w:p>
        </w:tc>
        <w:tc>
          <w:tcPr>
            <w:tcW w:type="dxa" w:w="8640"/>
            <w:tcBorders>
              <w:top w:val="none" w:color="FFFFFF" w:sz="0"/>
              <w:left w:val="none" w:color="FFFFFF" w:sz="0"/>
              <w:bottom w:val="none" w:color="FFFFFF" w:sz="0"/>
              <w:right w:val="none" w:color="FFFFFF" w:sz="0"/>
            </w:tcBorders>
            <w:shd w:fill="F5F7FA" w:val="clear"/>
            <w:tcMar>
              <w:top w:type="dxa" w:w="100"/>
              <w:left w:type="dxa" w:w="160"/>
              <w:bottom w:type="dxa" w:w="100"/>
              <w:right w:type="dxa" w:w="160"/>
            </w:tcMar>
          </w:tcPr>
          <w:p>
            <w:r>
              <w:rPr>
                <w:rFonts w:ascii="Arial" w:cs="Arial" w:eastAsia="Arial" w:hAnsi="Arial"/>
                <w:b/>
                <w:bCs/>
                <w:color w:val="1B3A6B"/>
                <w:sz w:val="22"/>
                <w:szCs w:val="22"/>
              </w:rPr>
              <w:t xml:space="preserve">Seasonal Sales Spikes Are Consistent and Predictable</w:t>
            </w:r>
          </w:p>
          <w:p>
            <w:pPr>
              <w:spacing w:before="40"/>
            </w:pPr>
            <w:r>
              <w:rPr>
                <w:rFonts w:ascii="Arial" w:cs="Arial" w:eastAsia="Arial" w:hAnsi="Arial"/>
                <w:color w:val="1A1A2E"/>
                <w:sz w:val="21"/>
                <w:szCs w:val="21"/>
              </w:rPr>
              <w:t xml:space="preserve">Monthly trend analysis reveals recurring revenue peaks during Q4 (October–December), confirming seasonal consumer behavior. This pattern supports proactive inventory stocking, marketing budget front-loading, and staffing scale-up well ahead of the peak season.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02</w:t>
            </w:r>
          </w:p>
        </w:tc>
        <w:tc>
          <w:tcPr>
            <w:tcW w:type="dxa" w:w="8640"/>
            <w:tcBorders>
              <w:top w:val="none" w:color="FFFFFF" w:sz="0"/>
              <w:left w:val="none" w:color="FFFFFF" w:sz="0"/>
              <w:bottom w:val="none" w:color="FFFFFF" w:sz="0"/>
              <w:right w:val="none" w:color="FFFFFF" w:sz="0"/>
            </w:tcBorders>
            <w:shd w:fill="F5F7FA" w:val="clear"/>
            <w:tcMar>
              <w:top w:type="dxa" w:w="100"/>
              <w:left w:type="dxa" w:w="160"/>
              <w:bottom w:type="dxa" w:w="100"/>
              <w:right w:type="dxa" w:w="160"/>
            </w:tcMar>
          </w:tcPr>
          <w:p>
            <w:r>
              <w:rPr>
                <w:rFonts w:ascii="Arial" w:cs="Arial" w:eastAsia="Arial" w:hAnsi="Arial"/>
                <w:b/>
                <w:bCs/>
                <w:color w:val="1B3A6B"/>
                <w:sz w:val="22"/>
                <w:szCs w:val="22"/>
              </w:rPr>
              <w:t xml:space="preserve">High Revenue ≠ High Profit — Category Margins Vary Significantly</w:t>
            </w:r>
          </w:p>
          <w:p>
            <w:pPr>
              <w:spacing w:before="40"/>
            </w:pPr>
            <w:r>
              <w:rPr>
                <w:rFonts w:ascii="Arial" w:cs="Arial" w:eastAsia="Arial" w:hAnsi="Arial"/>
                <w:color w:val="1A1A2E"/>
                <w:sz w:val="21"/>
                <w:szCs w:val="21"/>
              </w:rPr>
              <w:t xml:space="preserve">Certain product categories generate strong top-line sales but deliver disproportionately lower profit margins, suggesting price compression or elevated cost of goods. Category managers should re-evaluate sourcing agreements or adjust pricing strategies for low-margin categories.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03</w:t>
            </w:r>
          </w:p>
        </w:tc>
        <w:tc>
          <w:tcPr>
            <w:tcW w:type="dxa" w:w="8640"/>
            <w:tcBorders>
              <w:top w:val="none" w:color="FFFFFF" w:sz="0"/>
              <w:left w:val="none" w:color="FFFFFF" w:sz="0"/>
              <w:bottom w:val="none" w:color="FFFFFF" w:sz="0"/>
              <w:right w:val="none" w:color="FFFFFF" w:sz="0"/>
            </w:tcBorders>
            <w:shd w:fill="F5F7FA" w:val="clear"/>
            <w:tcMar>
              <w:top w:type="dxa" w:w="100"/>
              <w:left w:type="dxa" w:w="160"/>
              <w:bottom w:type="dxa" w:w="100"/>
              <w:right w:type="dxa" w:w="160"/>
            </w:tcMar>
          </w:tcPr>
          <w:p>
            <w:r>
              <w:rPr>
                <w:rFonts w:ascii="Arial" w:cs="Arial" w:eastAsia="Arial" w:hAnsi="Arial"/>
                <w:b/>
                <w:bCs/>
                <w:color w:val="1B3A6B"/>
                <w:sz w:val="22"/>
                <w:szCs w:val="22"/>
              </w:rPr>
              <w:t xml:space="preserve">Geographic Revenue Is Concentrated in a Handful of Markets</w:t>
            </w:r>
          </w:p>
          <w:p>
            <w:pPr>
              <w:spacing w:before="40"/>
            </w:pPr>
            <w:r>
              <w:rPr>
                <w:rFonts w:ascii="Arial" w:cs="Arial" w:eastAsia="Arial" w:hAnsi="Arial"/>
                <w:color w:val="1A1A2E"/>
                <w:sz w:val="21"/>
                <w:szCs w:val="21"/>
              </w:rPr>
              <w:t xml:space="preserve">Sales by country visualization shows that a small number of countries account for the majority of total revenue. Emerging-market countries with growing order volumes but low average order values represent high-potential expansion targets worth targeted marketing investment.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04</w:t>
            </w:r>
          </w:p>
        </w:tc>
        <w:tc>
          <w:tcPr>
            <w:tcW w:type="dxa" w:w="8640"/>
            <w:tcBorders>
              <w:top w:val="none" w:color="FFFFFF" w:sz="0"/>
              <w:left w:val="none" w:color="FFFFFF" w:sz="0"/>
              <w:bottom w:val="none" w:color="FFFFFF" w:sz="0"/>
              <w:right w:val="none" w:color="FFFFFF" w:sz="0"/>
            </w:tcBorders>
            <w:shd w:fill="F5F7FA" w:val="clear"/>
            <w:tcMar>
              <w:top w:type="dxa" w:w="100"/>
              <w:left w:type="dxa" w:w="160"/>
              <w:bottom w:type="dxa" w:w="100"/>
              <w:right w:type="dxa" w:w="160"/>
            </w:tcMar>
          </w:tcPr>
          <w:p>
            <w:r>
              <w:rPr>
                <w:rFonts w:ascii="Arial" w:cs="Arial" w:eastAsia="Arial" w:hAnsi="Arial"/>
                <w:b/>
                <w:bCs/>
                <w:color w:val="1B3A6B"/>
                <w:sz w:val="22"/>
                <w:szCs w:val="22"/>
              </w:rPr>
              <w:t xml:space="preserve">Payment Failures Represent Measurable, Recoverable Revenue Loss</w:t>
            </w:r>
          </w:p>
          <w:p>
            <w:pPr>
              <w:spacing w:before="40"/>
            </w:pPr>
            <w:r>
              <w:rPr>
                <w:rFonts w:ascii="Arial" w:cs="Arial" w:eastAsia="Arial" w:hAnsi="Arial"/>
                <w:color w:val="1A1A2E"/>
                <w:sz w:val="21"/>
                <w:szCs w:val="21"/>
              </w:rPr>
              <w:t xml:space="preserve">A quantifiable proportion of total transactions ended in failed payment status. This is not simply a technical issue — it represents recoverable revenue. Each failed transaction with a high-value order is a direct loss that could be addressed through payment gateway optimization or retry logic.</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05</w:t>
            </w:r>
          </w:p>
        </w:tc>
        <w:tc>
          <w:tcPr>
            <w:tcW w:type="dxa" w:w="8640"/>
            <w:tcBorders>
              <w:top w:val="none" w:color="FFFFFF" w:sz="0"/>
              <w:left w:val="none" w:color="FFFFFF" w:sz="0"/>
              <w:bottom w:val="none" w:color="FFFFFF" w:sz="0"/>
              <w:right w:val="none" w:color="FFFFFF" w:sz="0"/>
            </w:tcBorders>
            <w:shd w:fill="F5F7FA" w:val="clear"/>
            <w:tcMar>
              <w:top w:type="dxa" w:w="100"/>
              <w:left w:type="dxa" w:w="160"/>
              <w:bottom w:type="dxa" w:w="100"/>
              <w:right w:type="dxa" w:w="160"/>
            </w:tcMar>
          </w:tcPr>
          <w:p>
            <w:r>
              <w:rPr>
                <w:rFonts w:ascii="Arial" w:cs="Arial" w:eastAsia="Arial" w:hAnsi="Arial"/>
                <w:b/>
                <w:bCs/>
                <w:color w:val="1B3A6B"/>
                <w:sz w:val="22"/>
                <w:szCs w:val="22"/>
              </w:rPr>
              <w:t xml:space="preserve">Bottom Performing Products Are Eroding Operational Efficiency</w:t>
            </w:r>
          </w:p>
          <w:p>
            <w:pPr>
              <w:spacing w:before="40"/>
            </w:pPr>
            <w:r>
              <w:rPr>
                <w:rFonts w:ascii="Arial" w:cs="Arial" w:eastAsia="Arial" w:hAnsi="Arial"/>
                <w:color w:val="1A1A2E"/>
                <w:sz w:val="21"/>
                <w:szCs w:val="21"/>
              </w:rPr>
              <w:t xml:space="preserve">A cluster of products consistently ranks at the bottom across sales, profit, and quantity metrics. These products occupy warehouse space, absorb marketing attention, and dilute the product catalog without delivering measurable business value — a clear signal for discontinuation review.</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06</w:t>
            </w:r>
          </w:p>
        </w:tc>
        <w:tc>
          <w:tcPr>
            <w:tcW w:type="dxa" w:w="8640"/>
            <w:tcBorders>
              <w:top w:val="none" w:color="FFFFFF" w:sz="0"/>
              <w:left w:val="none" w:color="FFFFFF" w:sz="0"/>
              <w:bottom w:val="none" w:color="FFFFFF" w:sz="0"/>
              <w:right w:val="none" w:color="FFFFFF" w:sz="0"/>
            </w:tcBorders>
            <w:shd w:fill="F5F7FA" w:val="clear"/>
            <w:tcMar>
              <w:top w:type="dxa" w:w="100"/>
              <w:left w:type="dxa" w:w="160"/>
              <w:bottom w:type="dxa" w:w="100"/>
              <w:right w:type="dxa" w:w="160"/>
            </w:tcMar>
          </w:tcPr>
          <w:p>
            <w:r>
              <w:rPr>
                <w:rFonts w:ascii="Arial" w:cs="Arial" w:eastAsia="Arial" w:hAnsi="Arial"/>
                <w:b/>
                <w:bCs/>
                <w:color w:val="1B3A6B"/>
                <w:sz w:val="22"/>
                <w:szCs w:val="22"/>
              </w:rPr>
              <w:t xml:space="preserve">Average Order Value Benchmarks Customer Quality Over Time</w:t>
            </w:r>
          </w:p>
          <w:p>
            <w:pPr>
              <w:spacing w:before="40"/>
            </w:pPr>
            <w:r>
              <w:rPr>
                <w:rFonts w:ascii="Arial" w:cs="Arial" w:eastAsia="Arial" w:hAnsi="Arial"/>
                <w:color w:val="1A1A2E"/>
                <w:sz w:val="21"/>
                <w:szCs w:val="21"/>
              </w:rPr>
              <w:t xml:space="preserve">Tracking AOV over time reveals whether the business is attracting higher-spending customers or experiencing basket size erosion. Month-over-month AOV trends can guide promotional strategies — avoiding discount tactics that inflate order count but reduce revenue per transaction.</w:t>
            </w:r>
          </w:p>
        </w:tc>
      </w:tr>
    </w:tbl>
    <w:p>
      <w:pPr>
        <w:spacing w:after="0" w:before="320"/>
      </w:pPr>
      <w:r>
        <w:t xml:space="preserve"/>
      </w:r>
    </w:p>
    <w:p>
      <w:pPr>
        <w:pBdr>
          <w:bottom w:val="single" w:color="C9A227" w:sz="6" w:space="4"/>
        </w:pBdr>
        <w:spacing w:after="120" w:before="340"/>
      </w:pPr>
      <w:r>
        <w:rPr>
          <w:rFonts w:ascii="Arial" w:cs="Arial" w:eastAsia="Arial" w:hAnsi="Arial"/>
          <w:b/>
          <w:bCs/>
          <w:color w:val="1B3A6B"/>
          <w:sz w:val="26"/>
          <w:szCs w:val="26"/>
        </w:rPr>
        <w:t xml:space="preserve">08  |  RECOMMENDATIONS</w:t>
      </w:r>
    </w:p>
    <w:p>
      <w:pPr>
        <w:pBdr>
          <w:bottom w:val="single" w:color="2E75B6" w:sz="8" w:space="1"/>
        </w:pBdr>
        <w:spacing w:after="200" w:before="80"/>
      </w:pPr>
      <w:r>
        <w:t xml:space="preserve"/>
      </w:r>
    </w:p>
    <w:p>
      <w:pPr>
        <w:spacing w:after="60" w:before="60"/>
        <w:jc w:val="both"/>
      </w:pPr>
      <w:r>
        <w:rPr>
          <w:rFonts w:ascii="Arial" w:cs="Arial" w:eastAsia="Arial" w:hAnsi="Arial"/>
          <w:color w:val="1A1A2E"/>
          <w:sz w:val="22"/>
          <w:szCs w:val="22"/>
        </w:rPr>
        <w:t xml:space="preserve">Based on the insights derived from the dashboard analysis, the following strategic recommendations are proposed for business leadership and relevant department heads:</w:t>
      </w:r>
    </w:p>
    <w:p>
      <w:pPr>
        <w:spacing w:after="0" w:before="160"/>
      </w:pPr>
      <w:r>
        <w:t xml:space="preserve"/>
      </w:r>
    </w:p>
    <w:p>
      <w:pPr>
        <w:spacing w:after="80" w:before="220"/>
      </w:pPr>
      <w:r>
        <w:rPr>
          <w:rFonts w:ascii="Arial" w:cs="Arial" w:eastAsia="Arial" w:hAnsi="Arial"/>
          <w:b/>
          <w:bCs/>
          <w:color w:val="2E75B6"/>
          <w:sz w:val="24"/>
          <w:szCs w:val="24"/>
        </w:rPr>
        <w:t xml:space="preserve">Sales &amp; Revenue Strategy</w:t>
      </w:r>
    </w:p>
    <w:p>
      <w:pPr>
        <w:pStyle w:val="ListParagraph"/>
        <w:numPr>
          <w:ilvl w:val="0"/>
          <w:numId w:val="2"/>
        </w:numPr>
        <w:spacing w:after="50" w:before="50"/>
      </w:pPr>
      <w:r>
        <w:rPr>
          <w:rFonts w:ascii="Arial" w:cs="Arial" w:eastAsia="Arial" w:hAnsi="Arial"/>
          <w:color w:val="1A1A2E"/>
          <w:sz w:val="22"/>
          <w:szCs w:val="22"/>
        </w:rPr>
        <w:t xml:space="preserve">Invest in seasonal campaign planning aligned with Q4 peaks — budget allocation for marketing, promotions, and inventory should be locked 6–8 weeks before peak periods begin.</w:t>
      </w:r>
    </w:p>
    <w:p>
      <w:pPr>
        <w:pStyle w:val="ListParagraph"/>
        <w:numPr>
          <w:ilvl w:val="0"/>
          <w:numId w:val="2"/>
        </w:numPr>
        <w:spacing w:after="50" w:before="50"/>
      </w:pPr>
      <w:r>
        <w:rPr>
          <w:rFonts w:ascii="Arial" w:cs="Arial" w:eastAsia="Arial" w:hAnsi="Arial"/>
          <w:color w:val="1A1A2E"/>
          <w:sz w:val="22"/>
          <w:szCs w:val="22"/>
        </w:rPr>
        <w:t xml:space="preserve">Develop an Average Order Value growth program (bundles, upsell prompts, minimum spend thresholds) to counteract basket size erosion observed in off-peak months.</w:t>
      </w:r>
    </w:p>
    <w:p>
      <w:pPr>
        <w:spacing w:after="0" w:before="120"/>
      </w:pPr>
      <w:r>
        <w:t xml:space="preserve"/>
      </w:r>
    </w:p>
    <w:p>
      <w:pPr>
        <w:spacing w:after="80" w:before="220"/>
      </w:pPr>
      <w:r>
        <w:rPr>
          <w:rFonts w:ascii="Arial" w:cs="Arial" w:eastAsia="Arial" w:hAnsi="Arial"/>
          <w:b/>
          <w:bCs/>
          <w:color w:val="2E75B6"/>
          <w:sz w:val="24"/>
          <w:szCs w:val="24"/>
        </w:rPr>
        <w:t xml:space="preserve">Product Portfolio Management</w:t>
      </w:r>
    </w:p>
    <w:p>
      <w:pPr>
        <w:pStyle w:val="ListParagraph"/>
        <w:numPr>
          <w:ilvl w:val="0"/>
          <w:numId w:val="2"/>
        </w:numPr>
        <w:spacing w:after="50" w:before="50"/>
      </w:pPr>
      <w:r>
        <w:rPr>
          <w:rFonts w:ascii="Arial" w:cs="Arial" w:eastAsia="Arial" w:hAnsi="Arial"/>
          <w:color w:val="1A1A2E"/>
          <w:sz w:val="22"/>
          <w:szCs w:val="22"/>
        </w:rPr>
        <w:t xml:space="preserve">Commission a formal product lifecycle review for all items flagged in the Bottom Performing Products visual. Products below a defined profit and volume threshold for 3+ consecutive months should be considered for discontinuation or repositioning.</w:t>
      </w:r>
    </w:p>
    <w:p>
      <w:pPr>
        <w:pStyle w:val="ListParagraph"/>
        <w:numPr>
          <w:ilvl w:val="0"/>
          <w:numId w:val="2"/>
        </w:numPr>
        <w:spacing w:after="50" w:before="50"/>
      </w:pPr>
      <w:r>
        <w:rPr>
          <w:rFonts w:ascii="Arial" w:cs="Arial" w:eastAsia="Arial" w:hAnsi="Arial"/>
          <w:color w:val="1A1A2E"/>
          <w:sz w:val="22"/>
          <w:szCs w:val="22"/>
        </w:rPr>
        <w:t xml:space="preserve">Increase promotional and marketing investment behind the top 10 products by profit — these represent the most efficient use of marketing spend relative to margin returned.</w:t>
      </w:r>
    </w:p>
    <w:p>
      <w:pPr>
        <w:pStyle w:val="ListParagraph"/>
        <w:numPr>
          <w:ilvl w:val="0"/>
          <w:numId w:val="2"/>
        </w:numPr>
        <w:spacing w:after="50" w:before="50"/>
      </w:pPr>
      <w:r>
        <w:rPr>
          <w:rFonts w:ascii="Arial" w:cs="Arial" w:eastAsia="Arial" w:hAnsi="Arial"/>
          <w:color w:val="1A1A2E"/>
          <w:sz w:val="22"/>
          <w:szCs w:val="22"/>
        </w:rPr>
        <w:t xml:space="preserve">Investigate high-volume, low-margin subcategories to determine whether price optimization or supplier renegotiation can improve profitability without sacrificing demand.</w:t>
      </w:r>
    </w:p>
    <w:p>
      <w:pPr>
        <w:spacing w:after="0" w:before="120"/>
      </w:pPr>
      <w:r>
        <w:t xml:space="preserve"/>
      </w:r>
    </w:p>
    <w:p>
      <w:pPr>
        <w:spacing w:after="80" w:before="220"/>
      </w:pPr>
      <w:r>
        <w:rPr>
          <w:rFonts w:ascii="Arial" w:cs="Arial" w:eastAsia="Arial" w:hAnsi="Arial"/>
          <w:b/>
          <w:bCs/>
          <w:color w:val="2E75B6"/>
          <w:sz w:val="24"/>
          <w:szCs w:val="24"/>
        </w:rPr>
        <w:t xml:space="preserve">Regional Expansion</w:t>
      </w:r>
    </w:p>
    <w:p>
      <w:pPr>
        <w:pStyle w:val="ListParagraph"/>
        <w:numPr>
          <w:ilvl w:val="0"/>
          <w:numId w:val="2"/>
        </w:numPr>
        <w:spacing w:after="50" w:before="50"/>
      </w:pPr>
      <w:r>
        <w:rPr>
          <w:rFonts w:ascii="Arial" w:cs="Arial" w:eastAsia="Arial" w:hAnsi="Arial"/>
          <w:color w:val="1A1A2E"/>
          <w:sz w:val="22"/>
          <w:szCs w:val="22"/>
        </w:rPr>
        <w:t xml:space="preserve">Develop market-entry strategies for high-potential countries with growing order volumes but low AOV — these markets may respond to localized pricing, regional promotions, or local payment method support.</w:t>
      </w:r>
    </w:p>
    <w:p>
      <w:pPr>
        <w:pStyle w:val="ListParagraph"/>
        <w:numPr>
          <w:ilvl w:val="0"/>
          <w:numId w:val="2"/>
        </w:numPr>
        <w:spacing w:after="50" w:before="50"/>
      </w:pPr>
      <w:r>
        <w:rPr>
          <w:rFonts w:ascii="Arial" w:cs="Arial" w:eastAsia="Arial" w:hAnsi="Arial"/>
          <w:color w:val="1A1A2E"/>
          <w:sz w:val="22"/>
          <w:szCs w:val="22"/>
        </w:rPr>
        <w:t xml:space="preserve">Assign dedicated regional targets to continent-level sales managers based on the continental performance breakdown, enabling more accountable regional growth planning.</w:t>
      </w:r>
    </w:p>
    <w:p>
      <w:pPr>
        <w:spacing w:after="0" w:before="120"/>
      </w:pPr>
      <w:r>
        <w:t xml:space="preserve"/>
      </w:r>
    </w:p>
    <w:p>
      <w:pPr>
        <w:spacing w:after="80" w:before="220"/>
      </w:pPr>
      <w:r>
        <w:rPr>
          <w:rFonts w:ascii="Arial" w:cs="Arial" w:eastAsia="Arial" w:hAnsi="Arial"/>
          <w:b/>
          <w:bCs/>
          <w:color w:val="2E75B6"/>
          <w:sz w:val="24"/>
          <w:szCs w:val="24"/>
        </w:rPr>
        <w:t xml:space="preserve">Payment &amp; Operations</w:t>
      </w:r>
    </w:p>
    <w:p>
      <w:pPr>
        <w:pStyle w:val="ListParagraph"/>
        <w:numPr>
          <w:ilvl w:val="0"/>
          <w:numId w:val="2"/>
        </w:numPr>
        <w:spacing w:after="50" w:before="50"/>
      </w:pPr>
      <w:r>
        <w:rPr>
          <w:rFonts w:ascii="Arial" w:cs="Arial" w:eastAsia="Arial" w:hAnsi="Arial"/>
          <w:color w:val="1A1A2E"/>
          <w:sz w:val="22"/>
          <w:szCs w:val="22"/>
        </w:rPr>
        <w:t xml:space="preserve">Engage the payments and technical teams to investigate the root causes of payment failures — including payment gateway issues, card decline patterns, and checkout UX friction points.</w:t>
      </w:r>
    </w:p>
    <w:p>
      <w:pPr>
        <w:pStyle w:val="ListParagraph"/>
        <w:numPr>
          <w:ilvl w:val="0"/>
          <w:numId w:val="2"/>
        </w:numPr>
        <w:spacing w:after="50" w:before="50"/>
      </w:pPr>
      <w:r>
        <w:rPr>
          <w:rFonts w:ascii="Arial" w:cs="Arial" w:eastAsia="Arial" w:hAnsi="Arial"/>
          <w:color w:val="1A1A2E"/>
          <w:sz w:val="22"/>
          <w:szCs w:val="22"/>
        </w:rPr>
        <w:t xml:space="preserve">Implement automated payment retry workflows for failed transactions above a minimum order value threshold to recover measurable revenue passively.</w:t>
      </w:r>
    </w:p>
    <w:p>
      <w:pPr>
        <w:pStyle w:val="ListParagraph"/>
        <w:numPr>
          <w:ilvl w:val="0"/>
          <w:numId w:val="2"/>
        </w:numPr>
        <w:spacing w:after="50" w:before="50"/>
      </w:pPr>
      <w:r>
        <w:rPr>
          <w:rFonts w:ascii="Arial" w:cs="Arial" w:eastAsia="Arial" w:hAnsi="Arial"/>
          <w:color w:val="1A1A2E"/>
          <w:sz w:val="22"/>
          <w:szCs w:val="22"/>
        </w:rPr>
        <w:t xml:space="preserve">Evaluate the distribution of payment methods and prioritize support and UX optimization for the highest-adopted methods — while testing new payment options in regions with high failure rates.</w:t>
      </w:r>
    </w:p>
    <w:p>
      <w:pPr>
        <w:spacing w:after="0" w:before="320"/>
      </w:pPr>
      <w:r>
        <w:t xml:space="preserve"/>
      </w:r>
    </w:p>
    <w:p>
      <w:pPr>
        <w:pBdr>
          <w:bottom w:val="single" w:color="C9A227" w:sz="6" w:space="4"/>
        </w:pBdr>
        <w:spacing w:after="120" w:before="340"/>
      </w:pPr>
      <w:r>
        <w:rPr>
          <w:rFonts w:ascii="Arial" w:cs="Arial" w:eastAsia="Arial" w:hAnsi="Arial"/>
          <w:b/>
          <w:bCs/>
          <w:color w:val="1B3A6B"/>
          <w:sz w:val="26"/>
          <w:szCs w:val="26"/>
        </w:rPr>
        <w:t xml:space="preserve">09  |  FUTURE IMPROVEMENTS</w:t>
      </w:r>
    </w:p>
    <w:p>
      <w:pPr>
        <w:pBdr>
          <w:bottom w:val="single" w:color="2E75B6" w:sz="8" w:space="1"/>
        </w:pBdr>
        <w:spacing w:after="200" w:before="80"/>
      </w:pPr>
      <w:r>
        <w:t xml:space="preserve"/>
      </w:r>
    </w:p>
    <w:p>
      <w:pPr>
        <w:spacing w:after="60" w:before="60"/>
        <w:jc w:val="both"/>
      </w:pPr>
      <w:r>
        <w:rPr>
          <w:rFonts w:ascii="Arial" w:cs="Arial" w:eastAsia="Arial" w:hAnsi="Arial"/>
          <w:color w:val="1A1A2E"/>
          <w:sz w:val="22"/>
          <w:szCs w:val="22"/>
        </w:rPr>
        <w:t xml:space="preserve">This dashboard establishes a strong analytical foundation, but several enhancements would further extend its value, scalability, and predictive capabilities in a production environment:</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none" w:color="FFFFFF" w:sz="0"/>
              <w:left w:val="none" w:color="FFFFFF" w:sz="0"/>
              <w:bottom w:val="none" w:color="FFFFFF" w:sz="0"/>
              <w:right w:val="none" w:color="FFFFFF" w:sz="0"/>
            </w:tcBorders>
            <w:shd w:fill="D6E4F0" w:val="clear"/>
            <w:tcMar>
              <w:top w:type="dxa" w:w="100"/>
              <w:left w:type="dxa" w:w="160"/>
              <w:bottom w:type="dxa" w:w="60"/>
              <w:right w:type="dxa" w:w="160"/>
            </w:tcMar>
          </w:tcPr>
          <w:p>
            <w:r>
              <w:rPr>
                <w:rFonts w:ascii="Arial" w:cs="Arial" w:eastAsia="Arial" w:hAnsi="Arial"/>
                <w:b/>
                <w:bCs/>
                <w:color w:val="1B3A6B"/>
                <w:sz w:val="22"/>
                <w:szCs w:val="22"/>
              </w:rPr>
              <w:t xml:space="preserve">Phase 2 Enhancements (Short-Term)</w:t>
            </w:r>
          </w:p>
        </w:tc>
      </w:tr>
      <w:tr>
        <w:tc>
          <w:tcPr>
            <w:tcW w:type="dxa" w:w="4680"/>
            <w:tcBorders>
              <w:top w:val="none" w:color="FFFFFF" w:sz="0"/>
              <w:left w:val="none" w:color="FFFFFF" w:sz="0"/>
              <w:bottom w:val="none" w:color="FFFFFF" w:sz="0"/>
              <w:right w:val="none" w:color="FFFFFF" w:sz="0"/>
            </w:tcBorders>
            <w:shd w:fill="D6E4F0" w:val="clear"/>
            <w:tcMar>
              <w:top w:type="dxa" w:w="40"/>
              <w:left w:type="dxa" w:w="160"/>
              <w:bottom w:type="dxa" w:w="40"/>
              <w:right w:type="dxa" w:w="80"/>
            </w:tcMar>
          </w:tcPr>
          <w:p>
            <w:pPr>
              <w:pStyle w:val="ListParagraph"/>
              <w:numPr>
                <w:ilvl w:val="0"/>
                <w:numId w:val="2"/>
              </w:numPr>
            </w:pPr>
            <w:r>
              <w:rPr>
                <w:rFonts w:ascii="Arial" w:cs="Arial" w:eastAsia="Arial" w:hAnsi="Arial"/>
                <w:color w:val="1A1A2E"/>
                <w:sz w:val="21"/>
                <w:szCs w:val="21"/>
              </w:rPr>
              <w:t xml:space="preserve">Customer segmentation page (RFM analysis)</w:t>
            </w:r>
          </w:p>
        </w:tc>
        <w:tc>
          <w:tcPr>
            <w:tcW w:type="dxa" w:w="4680"/>
            <w:tcBorders>
              <w:top w:val="none" w:color="FFFFFF" w:sz="0"/>
              <w:left w:val="none" w:color="FFFFFF" w:sz="0"/>
              <w:bottom w:val="none" w:color="FFFFFF" w:sz="0"/>
              <w:right w:val="none" w:color="FFFFFF" w:sz="0"/>
            </w:tcBorders>
            <w:shd w:fill="D6E4F0" w:val="clear"/>
            <w:tcMar>
              <w:top w:type="dxa" w:w="40"/>
              <w:left w:type="dxa" w:w="80"/>
              <w:bottom w:type="dxa" w:w="40"/>
              <w:right w:type="dxa" w:w="160"/>
            </w:tcMar>
          </w:tcPr>
          <w:p>
            <w:pPr>
              <w:pStyle w:val="ListParagraph"/>
              <w:numPr>
                <w:ilvl w:val="0"/>
                <w:numId w:val="2"/>
              </w:numPr>
            </w:pPr>
            <w:r>
              <w:rPr>
                <w:rFonts w:ascii="Arial" w:cs="Arial" w:eastAsia="Arial" w:hAnsi="Arial"/>
                <w:color w:val="1A1A2E"/>
                <w:sz w:val="21"/>
                <w:szCs w:val="21"/>
              </w:rPr>
              <w:t xml:space="preserve">Dynamic date range slicer with rolling periods</w:t>
            </w:r>
          </w:p>
        </w:tc>
      </w:tr>
      <w:tr>
        <w:tc>
          <w:tcPr>
            <w:tcW w:type="dxa" w:w="4680"/>
            <w:tcBorders>
              <w:top w:val="none" w:color="FFFFFF" w:sz="0"/>
              <w:left w:val="none" w:color="FFFFFF" w:sz="0"/>
              <w:bottom w:val="none" w:color="FFFFFF" w:sz="0"/>
              <w:right w:val="none" w:color="FFFFFF" w:sz="0"/>
            </w:tcBorders>
            <w:shd w:fill="D6E4F0" w:val="clear"/>
            <w:tcMar>
              <w:top w:type="dxa" w:w="40"/>
              <w:left w:type="dxa" w:w="160"/>
              <w:bottom w:type="dxa" w:w="40"/>
              <w:right w:type="dxa" w:w="80"/>
            </w:tcMar>
          </w:tcPr>
          <w:p>
            <w:pPr>
              <w:pStyle w:val="ListParagraph"/>
              <w:numPr>
                <w:ilvl w:val="0"/>
                <w:numId w:val="2"/>
              </w:numPr>
            </w:pPr>
            <w:r>
              <w:rPr>
                <w:rFonts w:ascii="Arial" w:cs="Arial" w:eastAsia="Arial" w:hAnsi="Arial"/>
                <w:color w:val="1A1A2E"/>
                <w:sz w:val="21"/>
                <w:szCs w:val="21"/>
              </w:rPr>
              <w:t xml:space="preserve">Drill-through to transaction-level detail view</w:t>
            </w:r>
          </w:p>
        </w:tc>
        <w:tc>
          <w:tcPr>
            <w:tcW w:type="dxa" w:w="4680"/>
            <w:tcBorders>
              <w:top w:val="none" w:color="FFFFFF" w:sz="0"/>
              <w:left w:val="none" w:color="FFFFFF" w:sz="0"/>
              <w:bottom w:val="none" w:color="FFFFFF" w:sz="0"/>
              <w:right w:val="none" w:color="FFFFFF" w:sz="0"/>
            </w:tcBorders>
            <w:shd w:fill="D6E4F0" w:val="clear"/>
            <w:tcMar>
              <w:top w:type="dxa" w:w="40"/>
              <w:left w:type="dxa" w:w="80"/>
              <w:bottom w:type="dxa" w:w="40"/>
              <w:right w:type="dxa" w:w="160"/>
            </w:tcMar>
          </w:tcPr>
          <w:p>
            <w:pPr>
              <w:pStyle w:val="ListParagraph"/>
              <w:numPr>
                <w:ilvl w:val="0"/>
                <w:numId w:val="2"/>
              </w:numPr>
            </w:pPr>
            <w:r>
              <w:rPr>
                <w:rFonts w:ascii="Arial" w:cs="Arial" w:eastAsia="Arial" w:hAnsi="Arial"/>
                <w:color w:val="1A1A2E"/>
                <w:sz w:val="21"/>
                <w:szCs w:val="21"/>
              </w:rPr>
              <w:t xml:space="preserve">Conditional formatting on KPI cards vs. target</w:t>
            </w:r>
          </w:p>
        </w:tc>
      </w:tr>
      <w:tr>
        <w:tc>
          <w:tcPr>
            <w:gridSpan w:val="2"/>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r>
              <w:t xml:space="preserve"/>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none" w:color="FFFFFF" w:sz="0"/>
              <w:left w:val="none" w:color="FFFFFF" w:sz="0"/>
              <w:bottom w:val="none" w:color="FFFFFF" w:sz="0"/>
              <w:right w:val="none" w:color="FFFFFF" w:sz="0"/>
            </w:tcBorders>
            <w:shd w:fill="E8F5EE" w:val="clear"/>
            <w:tcMar>
              <w:top w:type="dxa" w:w="100"/>
              <w:left w:type="dxa" w:w="160"/>
              <w:bottom w:type="dxa" w:w="60"/>
              <w:right w:type="dxa" w:w="160"/>
            </w:tcMar>
          </w:tcPr>
          <w:p>
            <w:r>
              <w:rPr>
                <w:rFonts w:ascii="Arial" w:cs="Arial" w:eastAsia="Arial" w:hAnsi="Arial"/>
                <w:b/>
                <w:bCs/>
                <w:color w:val="1D6A3A"/>
                <w:sz w:val="22"/>
                <w:szCs w:val="22"/>
              </w:rPr>
              <w:t xml:space="preserve">Phase 3 Enhancements (Medium-Term)</w:t>
            </w:r>
          </w:p>
        </w:tc>
      </w:tr>
      <w:tr>
        <w:tc>
          <w:tcPr>
            <w:tcW w:type="dxa" w:w="4680"/>
            <w:tcBorders>
              <w:top w:val="none" w:color="FFFFFF" w:sz="0"/>
              <w:left w:val="none" w:color="FFFFFF" w:sz="0"/>
              <w:bottom w:val="none" w:color="FFFFFF" w:sz="0"/>
              <w:right w:val="none" w:color="FFFFFF" w:sz="0"/>
            </w:tcBorders>
            <w:shd w:fill="E8F5EE" w:val="clear"/>
            <w:tcMar>
              <w:top w:type="dxa" w:w="40"/>
              <w:left w:type="dxa" w:w="160"/>
              <w:bottom w:type="dxa" w:w="40"/>
              <w:right w:type="dxa" w:w="80"/>
            </w:tcMar>
          </w:tcPr>
          <w:p>
            <w:pPr>
              <w:pStyle w:val="ListParagraph"/>
              <w:numPr>
                <w:ilvl w:val="0"/>
                <w:numId w:val="2"/>
              </w:numPr>
            </w:pPr>
            <w:r>
              <w:rPr>
                <w:rFonts w:ascii="Arial" w:cs="Arial" w:eastAsia="Arial" w:hAnsi="Arial"/>
                <w:color w:val="1A1A2E"/>
                <w:sz w:val="21"/>
                <w:szCs w:val="21"/>
              </w:rPr>
              <w:t xml:space="preserve">Live database connection (SQL Server / Azure)</w:t>
            </w:r>
          </w:p>
        </w:tc>
        <w:tc>
          <w:tcPr>
            <w:tcW w:type="dxa" w:w="4680"/>
            <w:tcBorders>
              <w:top w:val="none" w:color="FFFFFF" w:sz="0"/>
              <w:left w:val="none" w:color="FFFFFF" w:sz="0"/>
              <w:bottom w:val="none" w:color="FFFFFF" w:sz="0"/>
              <w:right w:val="none" w:color="FFFFFF" w:sz="0"/>
            </w:tcBorders>
            <w:shd w:fill="E8F5EE" w:val="clear"/>
            <w:tcMar>
              <w:top w:type="dxa" w:w="40"/>
              <w:left w:type="dxa" w:w="80"/>
              <w:bottom w:type="dxa" w:w="40"/>
              <w:right w:type="dxa" w:w="160"/>
            </w:tcMar>
          </w:tcPr>
          <w:p>
            <w:pPr>
              <w:pStyle w:val="ListParagraph"/>
              <w:numPr>
                <w:ilvl w:val="0"/>
                <w:numId w:val="2"/>
              </w:numPr>
            </w:pPr>
            <w:r>
              <w:rPr>
                <w:rFonts w:ascii="Arial" w:cs="Arial" w:eastAsia="Arial" w:hAnsi="Arial"/>
                <w:color w:val="1A1A2E"/>
                <w:sz w:val="21"/>
                <w:szCs w:val="21"/>
              </w:rPr>
              <w:t xml:space="preserve">Automated scheduled data refresh pipeline</w:t>
            </w:r>
          </w:p>
        </w:tc>
      </w:tr>
      <w:tr>
        <w:tc>
          <w:tcPr>
            <w:tcW w:type="dxa" w:w="4680"/>
            <w:tcBorders>
              <w:top w:val="none" w:color="FFFFFF" w:sz="0"/>
              <w:left w:val="none" w:color="FFFFFF" w:sz="0"/>
              <w:bottom w:val="none" w:color="FFFFFF" w:sz="0"/>
              <w:right w:val="none" w:color="FFFFFF" w:sz="0"/>
            </w:tcBorders>
            <w:shd w:fill="E8F5EE" w:val="clear"/>
            <w:tcMar>
              <w:top w:type="dxa" w:w="40"/>
              <w:left w:type="dxa" w:w="160"/>
              <w:bottom w:type="dxa" w:w="40"/>
              <w:right w:type="dxa" w:w="80"/>
            </w:tcMar>
          </w:tcPr>
          <w:p>
            <w:pPr>
              <w:pStyle w:val="ListParagraph"/>
              <w:numPr>
                <w:ilvl w:val="0"/>
                <w:numId w:val="2"/>
              </w:numPr>
            </w:pPr>
            <w:r>
              <w:rPr>
                <w:rFonts w:ascii="Arial" w:cs="Arial" w:eastAsia="Arial" w:hAnsi="Arial"/>
                <w:color w:val="1A1A2E"/>
                <w:sz w:val="21"/>
                <w:szCs w:val="21"/>
              </w:rPr>
              <w:t xml:space="preserve">Row-level security (RLS) by region or role</w:t>
            </w:r>
          </w:p>
        </w:tc>
        <w:tc>
          <w:tcPr>
            <w:tcW w:type="dxa" w:w="4680"/>
            <w:tcBorders>
              <w:top w:val="none" w:color="FFFFFF" w:sz="0"/>
              <w:left w:val="none" w:color="FFFFFF" w:sz="0"/>
              <w:bottom w:val="none" w:color="FFFFFF" w:sz="0"/>
              <w:right w:val="none" w:color="FFFFFF" w:sz="0"/>
            </w:tcBorders>
            <w:shd w:fill="E8F5EE" w:val="clear"/>
            <w:tcMar>
              <w:top w:type="dxa" w:w="40"/>
              <w:left w:type="dxa" w:w="80"/>
              <w:bottom w:type="dxa" w:w="40"/>
              <w:right w:type="dxa" w:w="160"/>
            </w:tcMar>
          </w:tcPr>
          <w:p>
            <w:pPr>
              <w:pStyle w:val="ListParagraph"/>
              <w:numPr>
                <w:ilvl w:val="0"/>
                <w:numId w:val="2"/>
              </w:numPr>
            </w:pPr>
            <w:r>
              <w:rPr>
                <w:rFonts w:ascii="Arial" w:cs="Arial" w:eastAsia="Arial" w:hAnsi="Arial"/>
                <w:color w:val="1A1A2E"/>
                <w:sz w:val="21"/>
                <w:szCs w:val="21"/>
              </w:rPr>
              <w:t xml:space="preserve">Forecasting visuals using Power BI's built-in AI</w:t>
            </w:r>
          </w:p>
        </w:tc>
      </w:tr>
      <w:tr>
        <w:tc>
          <w:tcPr>
            <w:gridSpan w:val="2"/>
            <w:tcBorders>
              <w:top w:val="none" w:color="FFFFFF" w:sz="0"/>
              <w:left w:val="none" w:color="FFFFFF" w:sz="0"/>
              <w:bottom w:val="none" w:color="FFFFFF" w:sz="0"/>
              <w:right w:val="none" w:color="FFFFFF" w:sz="0"/>
            </w:tcBorders>
            <w:shd w:fill="E8F5EE" w:val="clear"/>
            <w:tcMar>
              <w:top w:type="dxa" w:w="60"/>
              <w:left w:type="dxa" w:w="160"/>
              <w:bottom w:type="dxa" w:w="40"/>
              <w:right w:type="dxa" w:w="160"/>
            </w:tcMar>
          </w:tcPr>
          <w:p>
            <w:r>
              <w:t xml:space="preserve"/>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none" w:color="FFFFFF" w:sz="0"/>
              <w:left w:val="none" w:color="FFFFFF" w:sz="0"/>
              <w:bottom w:val="none" w:color="FFFFFF" w:sz="0"/>
              <w:right w:val="none" w:color="FFFFFF" w:sz="0"/>
            </w:tcBorders>
            <w:shd w:fill="FFF8E1" w:val="clear"/>
            <w:tcMar>
              <w:top w:type="dxa" w:w="100"/>
              <w:left w:type="dxa" w:w="160"/>
              <w:bottom w:type="dxa" w:w="60"/>
              <w:right w:type="dxa" w:w="160"/>
            </w:tcMar>
          </w:tcPr>
          <w:p>
            <w:r>
              <w:rPr>
                <w:rFonts w:ascii="Arial" w:cs="Arial" w:eastAsia="Arial" w:hAnsi="Arial"/>
                <w:b/>
                <w:bCs/>
                <w:color w:val="7A5C00"/>
                <w:sz w:val="22"/>
                <w:szCs w:val="22"/>
              </w:rPr>
              <w:t xml:space="preserve">Phase 4 Enhancements (Long-Term / Advanced)</w:t>
            </w:r>
          </w:p>
        </w:tc>
      </w:tr>
      <w:tr>
        <w:tc>
          <w:tcPr>
            <w:tcW w:type="dxa" w:w="4680"/>
            <w:tcBorders>
              <w:top w:val="none" w:color="FFFFFF" w:sz="0"/>
              <w:left w:val="none" w:color="FFFFFF" w:sz="0"/>
              <w:bottom w:val="none" w:color="FFFFFF" w:sz="0"/>
              <w:right w:val="none" w:color="FFFFFF" w:sz="0"/>
            </w:tcBorders>
            <w:shd w:fill="FFF8E1" w:val="clear"/>
            <w:tcMar>
              <w:top w:type="dxa" w:w="40"/>
              <w:left w:type="dxa" w:w="160"/>
              <w:bottom w:type="dxa" w:w="40"/>
              <w:right w:type="dxa" w:w="80"/>
            </w:tcMar>
          </w:tcPr>
          <w:p>
            <w:pPr>
              <w:pStyle w:val="ListParagraph"/>
              <w:numPr>
                <w:ilvl w:val="0"/>
                <w:numId w:val="2"/>
              </w:numPr>
            </w:pPr>
            <w:r>
              <w:rPr>
                <w:rFonts w:ascii="Arial" w:cs="Arial" w:eastAsia="Arial" w:hAnsi="Arial"/>
                <w:color w:val="1A1A2E"/>
                <w:sz w:val="21"/>
                <w:szCs w:val="21"/>
              </w:rPr>
              <w:t xml:space="preserve">Azure Machine Learning integration for churn prediction</w:t>
            </w:r>
          </w:p>
        </w:tc>
        <w:tc>
          <w:tcPr>
            <w:tcW w:type="dxa" w:w="4680"/>
            <w:tcBorders>
              <w:top w:val="none" w:color="FFFFFF" w:sz="0"/>
              <w:left w:val="none" w:color="FFFFFF" w:sz="0"/>
              <w:bottom w:val="none" w:color="FFFFFF" w:sz="0"/>
              <w:right w:val="none" w:color="FFFFFF" w:sz="0"/>
            </w:tcBorders>
            <w:shd w:fill="FFF8E1" w:val="clear"/>
            <w:tcMar>
              <w:top w:type="dxa" w:w="40"/>
              <w:left w:type="dxa" w:w="80"/>
              <w:bottom w:type="dxa" w:w="40"/>
              <w:right w:type="dxa" w:w="160"/>
            </w:tcMar>
          </w:tcPr>
          <w:p>
            <w:pPr>
              <w:pStyle w:val="ListParagraph"/>
              <w:numPr>
                <w:ilvl w:val="0"/>
                <w:numId w:val="2"/>
              </w:numPr>
            </w:pPr>
            <w:r>
              <w:rPr>
                <w:rFonts w:ascii="Arial" w:cs="Arial" w:eastAsia="Arial" w:hAnsi="Arial"/>
                <w:color w:val="1A1A2E"/>
                <w:sz w:val="21"/>
                <w:szCs w:val="21"/>
              </w:rPr>
              <w:t xml:space="preserve">Customer lifetime value (CLV) calculation via DAX</w:t>
            </w:r>
          </w:p>
        </w:tc>
      </w:tr>
      <w:tr>
        <w:tc>
          <w:tcPr>
            <w:tcW w:type="dxa" w:w="4680"/>
            <w:tcBorders>
              <w:top w:val="none" w:color="FFFFFF" w:sz="0"/>
              <w:left w:val="none" w:color="FFFFFF" w:sz="0"/>
              <w:bottom w:val="none" w:color="FFFFFF" w:sz="0"/>
              <w:right w:val="none" w:color="FFFFFF" w:sz="0"/>
            </w:tcBorders>
            <w:shd w:fill="FFF8E1" w:val="clear"/>
            <w:tcMar>
              <w:top w:type="dxa" w:w="40"/>
              <w:left w:type="dxa" w:w="160"/>
              <w:bottom w:type="dxa" w:w="40"/>
              <w:right w:type="dxa" w:w="80"/>
            </w:tcMar>
          </w:tcPr>
          <w:p>
            <w:pPr>
              <w:pStyle w:val="ListParagraph"/>
              <w:numPr>
                <w:ilvl w:val="0"/>
                <w:numId w:val="2"/>
              </w:numPr>
            </w:pPr>
            <w:r>
              <w:rPr>
                <w:rFonts w:ascii="Arial" w:cs="Arial" w:eastAsia="Arial" w:hAnsi="Arial"/>
                <w:color w:val="1A1A2E"/>
                <w:sz w:val="21"/>
                <w:szCs w:val="21"/>
              </w:rPr>
              <w:t xml:space="preserve">Embedded Power BI report in internal web portal</w:t>
            </w:r>
          </w:p>
        </w:tc>
        <w:tc>
          <w:tcPr>
            <w:tcW w:type="dxa" w:w="4680"/>
            <w:tcBorders>
              <w:top w:val="none" w:color="FFFFFF" w:sz="0"/>
              <w:left w:val="none" w:color="FFFFFF" w:sz="0"/>
              <w:bottom w:val="none" w:color="FFFFFF" w:sz="0"/>
              <w:right w:val="none" w:color="FFFFFF" w:sz="0"/>
            </w:tcBorders>
            <w:shd w:fill="FFF8E1" w:val="clear"/>
            <w:tcMar>
              <w:top w:type="dxa" w:w="40"/>
              <w:left w:type="dxa" w:w="80"/>
              <w:bottom w:type="dxa" w:w="40"/>
              <w:right w:type="dxa" w:w="160"/>
            </w:tcMar>
          </w:tcPr>
          <w:p>
            <w:pPr>
              <w:pStyle w:val="ListParagraph"/>
              <w:numPr>
                <w:ilvl w:val="0"/>
                <w:numId w:val="2"/>
              </w:numPr>
            </w:pPr>
            <w:r>
              <w:rPr>
                <w:rFonts w:ascii="Arial" w:cs="Arial" w:eastAsia="Arial" w:hAnsi="Arial"/>
                <w:color w:val="1A1A2E"/>
                <w:sz w:val="21"/>
                <w:szCs w:val="21"/>
              </w:rPr>
              <w:t xml:space="preserve">Anomaly detection on payment failure spikes</w:t>
            </w:r>
          </w:p>
        </w:tc>
      </w:tr>
      <w:tr>
        <w:tc>
          <w:tcPr>
            <w:gridSpan w:val="2"/>
            <w:tcBorders>
              <w:top w:val="none" w:color="FFFFFF" w:sz="0"/>
              <w:left w:val="none" w:color="FFFFFF" w:sz="0"/>
              <w:bottom w:val="none" w:color="FFFFFF" w:sz="0"/>
              <w:right w:val="none" w:color="FFFFFF" w:sz="0"/>
            </w:tcBorders>
            <w:shd w:fill="FFF8E1" w:val="clear"/>
            <w:tcMar>
              <w:top w:type="dxa" w:w="60"/>
              <w:left w:type="dxa" w:w="160"/>
              <w:bottom w:type="dxa" w:w="40"/>
              <w:right w:type="dxa" w:w="160"/>
            </w:tcMar>
          </w:tcPr>
          <w:p>
            <w:r>
              <w:t xml:space="preserve"/>
            </w:r>
          </w:p>
        </w:tc>
      </w:tr>
    </w:tbl>
    <w:p>
      <w:pPr>
        <w:spacing w:after="0" w:before="160"/>
      </w:pPr>
      <w:r>
        <w:t xml:space="preserve"/>
      </w:r>
    </w:p>
    <w:p>
      <w:pPr>
        <w:spacing w:after="60" w:before="60"/>
        <w:jc w:val="both"/>
      </w:pPr>
      <w:r>
        <w:rPr>
          <w:rFonts w:ascii="Arial" w:cs="Arial" w:eastAsia="Arial" w:hAnsi="Arial"/>
          <w:color w:val="1A1A2E"/>
          <w:sz w:val="22"/>
          <w:szCs w:val="22"/>
        </w:rPr>
        <w:t xml:space="preserve">Transitioning from a flat Excel data source to a live SQL database connection, combined with automated data refresh and row-level security, would position this dashboard as a production-grade enterprise BI solution suitable for daily operational use by multi-region teams.</w:t>
      </w:r>
    </w:p>
    <w:p>
      <w:pPr>
        <w:spacing w:after="0" w:before="320"/>
      </w:pPr>
      <w:r>
        <w:t xml:space="preserve"/>
      </w:r>
    </w:p>
    <w:p>
      <w:pPr>
        <w:pBdr>
          <w:bottom w:val="single" w:color="C9A227" w:sz="6" w:space="4"/>
        </w:pBdr>
        <w:spacing w:after="120" w:before="340"/>
      </w:pPr>
      <w:r>
        <w:rPr>
          <w:rFonts w:ascii="Arial" w:cs="Arial" w:eastAsia="Arial" w:hAnsi="Arial"/>
          <w:b/>
          <w:bCs/>
          <w:color w:val="1B3A6B"/>
          <w:sz w:val="26"/>
          <w:szCs w:val="26"/>
        </w:rPr>
        <w:t xml:space="preserve">10  |  CONCLUSION</w:t>
      </w:r>
    </w:p>
    <w:p>
      <w:pPr>
        <w:pBdr>
          <w:bottom w:val="single" w:color="2E75B6" w:sz="8" w:space="1"/>
        </w:pBdr>
        <w:spacing w:after="200" w:before="80"/>
      </w:pPr>
      <w:r>
        <w:t xml:space="preserve"/>
      </w:r>
    </w:p>
    <w:p>
      <w:pPr>
        <w:spacing w:after="60" w:before="60"/>
        <w:jc w:val="both"/>
      </w:pPr>
      <w:r>
        <w:rPr>
          <w:rFonts w:ascii="Arial" w:cs="Arial" w:eastAsia="Arial" w:hAnsi="Arial"/>
          <w:color w:val="1A1A2E"/>
          <w:sz w:val="22"/>
          <w:szCs w:val="22"/>
        </w:rPr>
        <w:t xml:space="preserve">This project demonstrates the end-to-end capability to design, build, and deliver a professional-grade business intelligence solution using Power BI. Starting from a raw Excel dataset, the work encompasses structured data cleaning with Power Query, dynamic metric calculation with DAX, and the creation of a multi-page, interactive dashboard that directly addresses defined business problems.</w:t>
      </w:r>
    </w:p>
    <w:p>
      <w:pPr>
        <w:spacing w:after="0" w:before="160"/>
      </w:pPr>
      <w:r>
        <w:t xml:space="preserve"/>
      </w:r>
    </w:p>
    <w:p>
      <w:pPr>
        <w:spacing w:after="60" w:before="60"/>
        <w:jc w:val="both"/>
      </w:pPr>
      <w:r>
        <w:rPr>
          <w:rFonts w:ascii="Arial" w:cs="Arial" w:eastAsia="Arial" w:hAnsi="Arial"/>
          <w:color w:val="1A1A2E"/>
          <w:sz w:val="22"/>
          <w:szCs w:val="22"/>
        </w:rPr>
        <w:t xml:space="preserve">The Global E-Commerce Sales Dashboard transforms fragmented transactional records into a unified, decision-ready reporting system — providing sales, product, regional, and payment analytics in one centralized tool. Every design decision, from KPI selection to visual layout, was made with a specific business user and a specific business question in mind.</w:t>
      </w:r>
    </w:p>
    <w:p>
      <w:pPr>
        <w:spacing w:after="0" w:before="160"/>
      </w:pPr>
      <w:r>
        <w:t xml:space="preserve"/>
      </w:r>
    </w:p>
    <w:p>
      <w:pPr>
        <w:spacing w:after="60" w:before="60"/>
        <w:jc w:val="both"/>
      </w:pPr>
      <w:r>
        <w:rPr>
          <w:rFonts w:ascii="Arial" w:cs="Arial" w:eastAsia="Arial" w:hAnsi="Arial"/>
          <w:color w:val="1A1A2E"/>
          <w:sz w:val="22"/>
          <w:szCs w:val="22"/>
        </w:rPr>
        <w:t xml:space="preserve">The insights surfaced through this analysis — from seasonal revenue patterns and margin disparities, to geographic concentration and payment failure exposure — are directly actionable by business teams, demonstrating how data analytics creates measurable organizational value beyond reporting.</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none" w:color="FFFFFF" w:sz="0"/>
              <w:left w:val="none" w:color="FFFFFF" w:sz="0"/>
              <w:bottom w:val="none" w:color="FFFFFF" w:sz="0"/>
              <w:right w:val="none" w:color="FFFFFF" w:sz="0"/>
            </w:tcBorders>
            <w:shd w:fill="D6E4F0" w:val="clear"/>
            <w:tcMar>
              <w:top w:type="dxa" w:w="100"/>
              <w:left w:type="dxa" w:w="160"/>
              <w:bottom w:type="dxa" w:w="60"/>
              <w:right w:type="dxa" w:w="160"/>
            </w:tcMar>
          </w:tcPr>
          <w:p>
            <w:r>
              <w:rPr>
                <w:rFonts w:ascii="Arial" w:cs="Arial" w:eastAsia="Arial" w:hAnsi="Arial"/>
                <w:b/>
                <w:bCs/>
                <w:color w:val="1B3A6B"/>
                <w:sz w:val="22"/>
                <w:szCs w:val="22"/>
              </w:rPr>
              <w:t xml:space="preserve">Skills Demonstrated in This Project</w:t>
            </w:r>
          </w:p>
        </w:tc>
      </w:tr>
      <w:tr>
        <w:tc>
          <w:tcPr>
            <w:tcW w:type="dxa" w:w="4680"/>
            <w:tcBorders>
              <w:top w:val="none" w:color="FFFFFF" w:sz="0"/>
              <w:left w:val="none" w:color="FFFFFF" w:sz="0"/>
              <w:bottom w:val="none" w:color="FFFFFF" w:sz="0"/>
              <w:right w:val="none" w:color="FFFFFF" w:sz="0"/>
            </w:tcBorders>
            <w:shd w:fill="D6E4F0" w:val="clear"/>
            <w:tcMar>
              <w:top w:type="dxa" w:w="40"/>
              <w:left w:type="dxa" w:w="160"/>
              <w:bottom w:type="dxa" w:w="40"/>
              <w:right w:type="dxa" w:w="80"/>
            </w:tcMar>
          </w:tcPr>
          <w:p>
            <w:pPr>
              <w:pStyle w:val="ListParagraph"/>
              <w:numPr>
                <w:ilvl w:val="0"/>
                <w:numId w:val="2"/>
              </w:numPr>
            </w:pPr>
            <w:r>
              <w:rPr>
                <w:rFonts w:ascii="Arial" w:cs="Arial" w:eastAsia="Arial" w:hAnsi="Arial"/>
                <w:color w:val="1A1A2E"/>
                <w:sz w:val="21"/>
                <w:szCs w:val="21"/>
              </w:rPr>
              <w:t xml:space="preserve">Power BI Dashboard Design &amp; Layout</w:t>
            </w:r>
          </w:p>
        </w:tc>
        <w:tc>
          <w:tcPr>
            <w:tcW w:type="dxa" w:w="4680"/>
            <w:tcBorders>
              <w:top w:val="none" w:color="FFFFFF" w:sz="0"/>
              <w:left w:val="none" w:color="FFFFFF" w:sz="0"/>
              <w:bottom w:val="none" w:color="FFFFFF" w:sz="0"/>
              <w:right w:val="none" w:color="FFFFFF" w:sz="0"/>
            </w:tcBorders>
            <w:shd w:fill="D6E4F0" w:val="clear"/>
            <w:tcMar>
              <w:top w:type="dxa" w:w="40"/>
              <w:left w:type="dxa" w:w="80"/>
              <w:bottom w:type="dxa" w:w="40"/>
              <w:right w:type="dxa" w:w="160"/>
            </w:tcMar>
          </w:tcPr>
          <w:p>
            <w:pPr>
              <w:pStyle w:val="ListParagraph"/>
              <w:numPr>
                <w:ilvl w:val="0"/>
                <w:numId w:val="2"/>
              </w:numPr>
            </w:pPr>
            <w:r>
              <w:rPr>
                <w:rFonts w:ascii="Arial" w:cs="Arial" w:eastAsia="Arial" w:hAnsi="Arial"/>
                <w:color w:val="1A1A2E"/>
                <w:sz w:val="21"/>
                <w:szCs w:val="21"/>
              </w:rPr>
              <w:t xml:space="preserve">DAX Measure Development</w:t>
            </w:r>
          </w:p>
        </w:tc>
      </w:tr>
      <w:tr>
        <w:tc>
          <w:tcPr>
            <w:tcW w:type="dxa" w:w="4680"/>
            <w:tcBorders>
              <w:top w:val="none" w:color="FFFFFF" w:sz="0"/>
              <w:left w:val="none" w:color="FFFFFF" w:sz="0"/>
              <w:bottom w:val="none" w:color="FFFFFF" w:sz="0"/>
              <w:right w:val="none" w:color="FFFFFF" w:sz="0"/>
            </w:tcBorders>
            <w:shd w:fill="D6E4F0" w:val="clear"/>
            <w:tcMar>
              <w:top w:type="dxa" w:w="40"/>
              <w:left w:type="dxa" w:w="160"/>
              <w:bottom w:type="dxa" w:w="40"/>
              <w:right w:type="dxa" w:w="80"/>
            </w:tcMar>
          </w:tcPr>
          <w:p>
            <w:pPr>
              <w:pStyle w:val="ListParagraph"/>
              <w:numPr>
                <w:ilvl w:val="0"/>
                <w:numId w:val="2"/>
              </w:numPr>
            </w:pPr>
            <w:r>
              <w:rPr>
                <w:rFonts w:ascii="Arial" w:cs="Arial" w:eastAsia="Arial" w:hAnsi="Arial"/>
                <w:color w:val="1A1A2E"/>
                <w:sz w:val="21"/>
                <w:szCs w:val="21"/>
              </w:rPr>
              <w:t xml:space="preserve">Power Query Data Transformation</w:t>
            </w:r>
          </w:p>
        </w:tc>
        <w:tc>
          <w:tcPr>
            <w:tcW w:type="dxa" w:w="4680"/>
            <w:tcBorders>
              <w:top w:val="none" w:color="FFFFFF" w:sz="0"/>
              <w:left w:val="none" w:color="FFFFFF" w:sz="0"/>
              <w:bottom w:val="none" w:color="FFFFFF" w:sz="0"/>
              <w:right w:val="none" w:color="FFFFFF" w:sz="0"/>
            </w:tcBorders>
            <w:shd w:fill="D6E4F0" w:val="clear"/>
            <w:tcMar>
              <w:top w:type="dxa" w:w="40"/>
              <w:left w:type="dxa" w:w="80"/>
              <w:bottom w:type="dxa" w:w="40"/>
              <w:right w:type="dxa" w:w="160"/>
            </w:tcMar>
          </w:tcPr>
          <w:p>
            <w:pPr>
              <w:pStyle w:val="ListParagraph"/>
              <w:numPr>
                <w:ilvl w:val="0"/>
                <w:numId w:val="2"/>
              </w:numPr>
            </w:pPr>
            <w:r>
              <w:rPr>
                <w:rFonts w:ascii="Arial" w:cs="Arial" w:eastAsia="Arial" w:hAnsi="Arial"/>
                <w:color w:val="1A1A2E"/>
                <w:sz w:val="21"/>
                <w:szCs w:val="21"/>
              </w:rPr>
              <w:t xml:space="preserve">Business Problem Framing &amp; Decomposition</w:t>
            </w:r>
          </w:p>
        </w:tc>
      </w:tr>
      <w:tr>
        <w:tc>
          <w:tcPr>
            <w:tcW w:type="dxa" w:w="4680"/>
            <w:tcBorders>
              <w:top w:val="none" w:color="FFFFFF" w:sz="0"/>
              <w:left w:val="none" w:color="FFFFFF" w:sz="0"/>
              <w:bottom w:val="none" w:color="FFFFFF" w:sz="0"/>
              <w:right w:val="none" w:color="FFFFFF" w:sz="0"/>
            </w:tcBorders>
            <w:shd w:fill="D6E4F0" w:val="clear"/>
            <w:tcMar>
              <w:top w:type="dxa" w:w="40"/>
              <w:left w:type="dxa" w:w="160"/>
              <w:bottom w:type="dxa" w:w="40"/>
              <w:right w:type="dxa" w:w="80"/>
            </w:tcMar>
          </w:tcPr>
          <w:p>
            <w:pPr>
              <w:pStyle w:val="ListParagraph"/>
              <w:numPr>
                <w:ilvl w:val="0"/>
                <w:numId w:val="2"/>
              </w:numPr>
            </w:pPr>
            <w:r>
              <w:rPr>
                <w:rFonts w:ascii="Arial" w:cs="Arial" w:eastAsia="Arial" w:hAnsi="Arial"/>
                <w:color w:val="1A1A2E"/>
                <w:sz w:val="21"/>
                <w:szCs w:val="21"/>
              </w:rPr>
              <w:t xml:space="preserve">KPI Definition &amp; Metric Architecture</w:t>
            </w:r>
          </w:p>
        </w:tc>
        <w:tc>
          <w:tcPr>
            <w:tcW w:type="dxa" w:w="4680"/>
            <w:tcBorders>
              <w:top w:val="none" w:color="FFFFFF" w:sz="0"/>
              <w:left w:val="none" w:color="FFFFFF" w:sz="0"/>
              <w:bottom w:val="none" w:color="FFFFFF" w:sz="0"/>
              <w:right w:val="none" w:color="FFFFFF" w:sz="0"/>
            </w:tcBorders>
            <w:shd w:fill="D6E4F0" w:val="clear"/>
            <w:tcMar>
              <w:top w:type="dxa" w:w="40"/>
              <w:left w:type="dxa" w:w="80"/>
              <w:bottom w:type="dxa" w:w="40"/>
              <w:right w:type="dxa" w:w="160"/>
            </w:tcMar>
          </w:tcPr>
          <w:p>
            <w:pPr>
              <w:pStyle w:val="ListParagraph"/>
              <w:numPr>
                <w:ilvl w:val="0"/>
                <w:numId w:val="2"/>
              </w:numPr>
            </w:pPr>
            <w:r>
              <w:rPr>
                <w:rFonts w:ascii="Arial" w:cs="Arial" w:eastAsia="Arial" w:hAnsi="Arial"/>
                <w:color w:val="1A1A2E"/>
                <w:sz w:val="21"/>
                <w:szCs w:val="21"/>
              </w:rPr>
              <w:t xml:space="preserve">Data Storytelling &amp; Visual Communication</w:t>
            </w:r>
          </w:p>
        </w:tc>
      </w:tr>
      <w:tr>
        <w:tc>
          <w:tcPr>
            <w:tcW w:type="dxa" w:w="4680"/>
            <w:tcBorders>
              <w:top w:val="none" w:color="FFFFFF" w:sz="0"/>
              <w:left w:val="none" w:color="FFFFFF" w:sz="0"/>
              <w:bottom w:val="none" w:color="FFFFFF" w:sz="0"/>
              <w:right w:val="none" w:color="FFFFFF" w:sz="0"/>
            </w:tcBorders>
            <w:shd w:fill="D6E4F0" w:val="clear"/>
            <w:tcMar>
              <w:top w:type="dxa" w:w="40"/>
              <w:left w:type="dxa" w:w="160"/>
              <w:bottom w:type="dxa" w:w="40"/>
              <w:right w:type="dxa" w:w="80"/>
            </w:tcMar>
          </w:tcPr>
          <w:p>
            <w:pPr>
              <w:pStyle w:val="ListParagraph"/>
              <w:numPr>
                <w:ilvl w:val="0"/>
                <w:numId w:val="2"/>
              </w:numPr>
            </w:pPr>
            <w:r>
              <w:rPr>
                <w:rFonts w:ascii="Arial" w:cs="Arial" w:eastAsia="Arial" w:hAnsi="Arial"/>
                <w:color w:val="1A1A2E"/>
                <w:sz w:val="21"/>
                <w:szCs w:val="21"/>
              </w:rPr>
              <w:t xml:space="preserve">Stakeholder-Centric Report Design</w:t>
            </w:r>
          </w:p>
        </w:tc>
        <w:tc>
          <w:tcPr>
            <w:tcW w:type="dxa" w:w="4680"/>
            <w:tcBorders>
              <w:top w:val="none" w:color="FFFFFF" w:sz="0"/>
              <w:left w:val="none" w:color="FFFFFF" w:sz="0"/>
              <w:bottom w:val="none" w:color="FFFFFF" w:sz="0"/>
              <w:right w:val="none" w:color="FFFFFF" w:sz="0"/>
            </w:tcBorders>
            <w:shd w:fill="D6E4F0" w:val="clear"/>
            <w:tcMar>
              <w:top w:type="dxa" w:w="40"/>
              <w:left w:type="dxa" w:w="80"/>
              <w:bottom w:type="dxa" w:w="40"/>
              <w:right w:type="dxa" w:w="160"/>
            </w:tcMar>
          </w:tcPr>
          <w:p>
            <w:pPr>
              <w:pStyle w:val="ListParagraph"/>
              <w:numPr>
                <w:ilvl w:val="0"/>
                <w:numId w:val="2"/>
              </w:numPr>
            </w:pPr>
            <w:r>
              <w:rPr>
                <w:rFonts w:ascii="Arial" w:cs="Arial" w:eastAsia="Arial" w:hAnsi="Arial"/>
                <w:color w:val="1A1A2E"/>
                <w:sz w:val="21"/>
                <w:szCs w:val="21"/>
              </w:rPr>
              <w:t xml:space="preserve">Analytical Insight Generation</w:t>
            </w:r>
          </w:p>
        </w:tc>
      </w:tr>
      <w:tr>
        <w:tc>
          <w:tcPr>
            <w:tcW w:type="dxa" w:w="4680"/>
            <w:tcBorders>
              <w:top w:val="none" w:color="FFFFFF" w:sz="0"/>
              <w:left w:val="none" w:color="FFFFFF" w:sz="0"/>
              <w:bottom w:val="none" w:color="FFFFFF" w:sz="0"/>
              <w:right w:val="none" w:color="FFFFFF" w:sz="0"/>
            </w:tcBorders>
            <w:shd w:fill="D6E4F0" w:val="clear"/>
            <w:tcMar>
              <w:top w:type="dxa" w:w="40"/>
              <w:left w:type="dxa" w:w="160"/>
              <w:bottom w:type="dxa" w:w="40"/>
              <w:right w:type="dxa" w:w="80"/>
            </w:tcMar>
          </w:tcPr>
          <w:p>
            <w:pPr>
              <w:pStyle w:val="ListParagraph"/>
              <w:numPr>
                <w:ilvl w:val="0"/>
                <w:numId w:val="2"/>
              </w:numPr>
            </w:pPr>
            <w:r>
              <w:rPr>
                <w:rFonts w:ascii="Arial" w:cs="Arial" w:eastAsia="Arial" w:hAnsi="Arial"/>
                <w:color w:val="1A1A2E"/>
                <w:sz w:val="21"/>
                <w:szCs w:val="21"/>
              </w:rPr>
              <w:t xml:space="preserve">Product &amp; Regional Performance Analysis</w:t>
            </w:r>
          </w:p>
        </w:tc>
        <w:tc>
          <w:tcPr>
            <w:tcW w:type="dxa" w:w="4680"/>
            <w:tcBorders>
              <w:top w:val="none" w:color="FFFFFF" w:sz="0"/>
              <w:left w:val="none" w:color="FFFFFF" w:sz="0"/>
              <w:bottom w:val="none" w:color="FFFFFF" w:sz="0"/>
              <w:right w:val="none" w:color="FFFFFF" w:sz="0"/>
            </w:tcBorders>
            <w:shd w:fill="D6E4F0" w:val="clear"/>
            <w:tcMar>
              <w:top w:type="dxa" w:w="40"/>
              <w:left w:type="dxa" w:w="80"/>
              <w:bottom w:type="dxa" w:w="40"/>
              <w:right w:type="dxa" w:w="160"/>
            </w:tcMar>
          </w:tcPr>
          <w:p>
            <w:pPr>
              <w:pStyle w:val="ListParagraph"/>
              <w:numPr>
                <w:ilvl w:val="0"/>
                <w:numId w:val="2"/>
              </w:numPr>
            </w:pPr>
            <w:r>
              <w:rPr>
                <w:rFonts w:ascii="Arial" w:cs="Arial" w:eastAsia="Arial" w:hAnsi="Arial"/>
                <w:color w:val="1A1A2E"/>
                <w:sz w:val="21"/>
                <w:szCs w:val="21"/>
              </w:rPr>
              <w:t xml:space="preserve">Payment Analytics &amp; Risk Monitoring</w:t>
            </w:r>
          </w:p>
        </w:tc>
      </w:tr>
      <w:tr>
        <w:tc>
          <w:tcPr>
            <w:gridSpan w:val="2"/>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r>
              <w:t xml:space="preserve"/>
            </w:r>
          </w:p>
        </w:tc>
      </w:tr>
    </w:tbl>
    <w:p>
      <w:pPr>
        <w:spacing w:after="0" w:before="240"/>
      </w:pPr>
      <w:r>
        <w:t xml:space="preserve"/>
      </w:r>
    </w:p>
    <w:p>
      <w:pPr>
        <w:pBdr>
          <w:top w:val="single" w:color="D0D7E2" w:sz="2" w:space="6"/>
          <w:bottom w:val="single" w:color="D0D7E2" w:sz="2" w:space="6"/>
        </w:pBdr>
        <w:spacing w:after="120" w:before="120"/>
        <w:jc w:val="center"/>
      </w:pPr>
      <w:r>
        <w:rPr>
          <w:rFonts w:ascii="Arial" w:cs="Arial" w:eastAsia="Arial" w:hAnsi="Arial"/>
          <w:color w:val="4A4A6A"/>
          <w:sz w:val="21"/>
          <w:szCs w:val="21"/>
        </w:rPr>
        <w:t xml:space="preserve">This dashboard is a portfolio demonstration of applied data analytics skills, combining technical proficiency in Power BI with the business acumen to translate raw data into strategic insight.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2" w:sz="4" w:space="4"/>
      </w:pBdr>
      <w:tabs>
        <w:tab w:val="right" w:pos="9026"/>
      </w:tabs>
      <w:spacing w:after="0" w:before="160"/>
    </w:pPr>
    <w:r>
      <w:rPr>
        <w:rFonts w:ascii="Arial" w:cs="Arial" w:eastAsia="Arial" w:hAnsi="Arial"/>
        <w:color w:val="4A4A6A"/>
        <w:sz w:val="16"/>
        <w:szCs w:val="16"/>
      </w:rPr>
      <w:t xml:space="preserve">Umayema Bazila Khan  |  Power BI Portfolio Project</w:t>
    </w:r>
    <w:r>
      <w:rPr>
        <w:rFonts w:ascii="Arial" w:cs="Arial" w:eastAsia="Arial" w:hAnsi="Arial"/>
        <w:b/>
        <w:bCs/>
        <w:color w:val="2E75B6"/>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200" w:before="0"/>
    </w:pPr>
    <w:r>
      <w:rPr>
        <w:rFonts w:ascii="Arial" w:cs="Arial" w:eastAsia="Arial" w:hAnsi="Arial"/>
        <w:color w:val="4A4A6A"/>
        <w:sz w:val="18"/>
        <w:szCs w:val="18"/>
      </w:rPr>
      <w:t xml:space="preserve">Global E-Commerce Sales Dashboard</w:t>
    </w:r>
    <w:r>
      <w:rPr>
        <w:rFonts w:ascii="Arial" w:cs="Arial" w:eastAsia="Arial" w:hAnsi="Arial"/>
        <w:color w:val="D0D7E2"/>
        <w:sz w:val="18"/>
        <w:szCs w:val="18"/>
      </w:rPr>
      <w:t xml:space="preserve">   |   Data Analytics Portfolio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bullet"/>
      <w:lvlText w:val="•"/>
      <w:lvlJc w:val="left"/>
      <w:pPr>
        <w:ind w:left="440" w:hanging="280"/>
      </w:pPr>
    </w:lvl>
  </w:abstractNum>
  <w:abstractNum w:abstractNumId="4" w15:restartNumberingAfterBreak="0">
    <w:multiLevelType w:val="hybridMultilevel"/>
    <w:lvl w:ilvl="0" w15:tentative="1">
      <w:start w:val="1"/>
      <w:numFmt w:val="bullet"/>
      <w:lvlText w:val="•"/>
      <w:lvlJc w:val="left"/>
      <w:pPr>
        <w:ind w:left="440" w:hanging="280"/>
      </w:pPr>
    </w:lvl>
  </w:abstractNum>
  <w:abstractNum w:abstractNumId="5"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2026-05-04T07:40:32.180Z</dcterms:created>
  <dcterms:modified xsi:type="dcterms:W3CDTF">2026-05-04T07:40:32.180Z</dcterms:modified>
</cp:coreProperties>
</file>

<file path=docProps/custom.xml><?xml version="1.0" encoding="utf-8"?>
<Properties xmlns="http://schemas.openxmlformats.org/officeDocument/2006/custom-properties" xmlns:vt="http://schemas.openxmlformats.org/officeDocument/2006/docPropsVTypes"/>
</file>