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bd59e9c69dbb46d0" /><Relationship Type="http://schemas.openxmlformats.org/package/2006/relationships/metadata/core-properties" Target="/package/services/metadata/core-properties/1b255e3ab2a04bfcbcde2ad3fbd698dd.psmdcp" Id="R3f7ed1ac904c48f6" /></Relationships>
</file>

<file path=word/document.xml><?xml version="1.0" encoding="utf-8"?>
<w:document xmlns:w="http://schemas.openxmlformats.org/wordprocessingml/2006/main">
  <w:body>
    <w:p>
      <w:pPr>
        <w:pStyle w:val="Title"/>
      </w:pPr>
      <w:r>
        <w:t>Abundance, Scarcity, and Manifestation in Triadic Frameworks</w:t>
      </w:r>
    </w:p>
    <w:p>
      <w:pPr>
        <w:pStyle w:val="heading1"/>
      </w:pPr>
      <w:r>
        <w:t>Abundance, Scarcity, and Manifestation through the Triadic Framework of Forces, Fluids, and Frequencies (FFF): A Visionary Roadmap for Post-Scarcity Engineering with Triadic Framework Technology (TFT) and AI</w:t>
      </w:r>
    </w:p>
    <w:p>
      <w:r>
        <w:pict>
          <v:rect xmlns:o="urn:schemas-microsoft-com:office:office" xmlns:v="urn:schemas-microsoft-com:vml" style="height:.05pt;mso-width-percent:1000" o:hr="true" o:hrstd="true" o:hralign="center" fillcolor="A0A0A0" stroked="false"/>
        </w:pict>
      </w:r>
    </w:p>
    <w:p>
      <w:pPr>
        <w:pStyle w:val="heading2"/>
      </w:pPr>
      <w:r>
        <w:t>Abstract</w:t>
      </w:r>
    </w:p>
    <w:p>
      <w:r>
        <w:t>This research presents a comprehensive, multi-disciplinary exploration of how the concepts of abundance, scarcity, and manifestation can be reinterpreted through the Triadic Framework of Forces, Fluids, and Frequencies (FFF), and operationalized via Triadic Framework Technology (TFT) systems supported by artificial intelligence (AI). By treating abundance and scarcity not as static economic states but as dynamically measurable spectral phenomena-where abundance correlates with coherence, and scarcity arises from interference-this paper develops theoretical models, sensing architectures, and AI inference pipelines for detecting, mapping, and engineering transitions between scarcity and abundance in natural and technological systems. The work introduces the notion of "fingerprinting" abundance and scarcity zones, envisions deployment of "Harmonizer" satellites for global coherence management, and details a roadmap for scalable, adaptive replication technologies central to a post-scarcity society. Experimental programs are outlined for validating FFF interactions, alongside discussions on the ethical governance structures required to ensure responsible development, deployment, and oversight of post-scarcity AI and TFT. Throughout, the report integrates the latest web-based and academic findings, offering a rigorous yet visionary path for post-scarcity engineering and planetary abundance management.</w:t>
      </w:r>
    </w:p>
    <w:p>
      <w:r>
        <w:pict>
          <v:rect xmlns:o="urn:schemas-microsoft-com:office:office" xmlns:v="urn:schemas-microsoft-com:vml" style="height:.05pt;mso-width-percent:1000" o:hr="true" o:hrstd="true" o:hralign="center" fillcolor="A0A0A0" stroked="false"/>
        </w:pict>
      </w:r>
    </w:p>
    <w:p>
      <w:pPr>
        <w:pStyle w:val="heading2"/>
      </w:pPr>
      <w:r>
        <w:t>Introduction</w:t>
      </w:r>
    </w:p>
    <w:p>
      <w:pPr>
        <w:pStyle w:val="heading3"/>
      </w:pPr>
      <w:r>
        <w:t>Rethinking Abundance and Scarcity: From Economics to Physics</w:t>
      </w:r>
    </w:p>
    <w:p>
      <w:r>
        <w:t>Abundance and scarcity are foundational to economics, shaping theories of value, resource allocation, and social organization</w:t>
      </w:r>
      <w:r>
        <w:rPr>
          <w:vertAlign w:val="superscript"/>
        </w:rPr>
        <w:t>1</w:t>
      </w:r>
      <w:r>
        <w:t>. In conventional frameworks, scarcity is conceived as a mismatch between finite resources and infinite human wants, while abundance implies the elimination of these constraints through technological progress or social innovation. However, the emergence of advanced automation, artificial intelligence, and molecular manufacturing has catalyzed a radical questioning of these notions</w:t>
      </w:r>
      <w:r>
        <w:rPr>
          <w:vertAlign w:val="superscript"/>
        </w:rPr>
        <w:t>2</w:t>
      </w:r>
      <w:r>
        <w:t>.</w:t>
      </w:r>
    </w:p>
    <w:p>
      <w:r>
        <w:t xml:space="preserve">This paper contends that </w:t>
      </w:r>
      <w:r>
        <w:rPr>
          <w:b/>
        </w:rPr>
        <w:t>abundance and scarcity should be reconsidered not only as economic states but as measurable, dynamic, and spectral phenomena</w:t>
      </w:r>
      <w:r>
        <w:t>-arising from the interaction of forces, fluids, and frequencies that govern both natural and artificial systems. Drawing inspiration from physical theories of coherence and interference</w:t>
      </w:r>
      <w:r>
        <w:rPr>
          <w:vertAlign w:val="superscript"/>
        </w:rPr>
        <w:t>3</w:t>
      </w:r>
      <w:r>
        <w:rPr>
          <w:vertAlign w:val="superscript"/>
        </w:rPr>
        <w:t>4</w:t>
      </w:r>
      <w:r>
        <w:t xml:space="preserve">, we propose a </w:t>
      </w:r>
      <w:r>
        <w:rPr>
          <w:b/>
        </w:rPr>
        <w:t>triadic framework</w:t>
      </w:r>
      <w:r>
        <w:t>-the Triadic Framework of Forces, Fluids, and Frequencies (FFF)-as a unifying model for mapping, sensing, and engineering abundance and scarcity at multiple scales, from the quantum to the planetary.</w:t>
      </w:r>
    </w:p>
    <w:p>
      <w:pPr>
        <w:pStyle w:val="heading3"/>
      </w:pPr>
      <w:r>
        <w:t>The Triadic Framework (FFF): An Integrative Model</w:t>
      </w:r>
    </w:p>
    <w:p>
      <w:r>
        <w:t xml:space="preserve">The FFF framework posits that the dynamics of any system-be it physical, ecological, technological, or economic-can be interpreted as </w:t>
      </w:r>
      <w:r>
        <w:rPr>
          <w:b/>
        </w:rPr>
        <w:t>interplay among forces (mechanical, informational, social), fluids (matter, resources, flows), and frequencies (energy, oscillations, cycles)</w:t>
      </w:r>
      <w:r>
        <w:t>. These domains are interdependent: forces drive fluids, fluids dampen or carry frequencies, frequencies modulate forces, and their complex interactions define the “spectral signature” of states like abundance and scarcity.</w:t>
      </w:r>
    </w:p>
    <w:p>
      <w:r>
        <w:t xml:space="preserve">In this view, </w:t>
      </w:r>
      <w:r>
        <w:rPr>
          <w:i/>
        </w:rPr>
        <w:t>abundance</w:t>
      </w:r>
      <w:r>
        <w:t xml:space="preserve"> emerges as </w:t>
      </w:r>
      <w:r>
        <w:rPr>
          <w:b/>
        </w:rPr>
        <w:t>coherence</w:t>
      </w:r>
      <w:r>
        <w:t xml:space="preserve">-the constructive ordering, synchronization, or mutual reinforcement of system elements-while </w:t>
      </w:r>
      <w:r>
        <w:rPr>
          <w:i/>
        </w:rPr>
        <w:t>scarcity</w:t>
      </w:r>
      <w:r>
        <w:t xml:space="preserve"> emerges as </w:t>
      </w:r>
      <w:r>
        <w:rPr>
          <w:b/>
        </w:rPr>
        <w:t>interference</w:t>
      </w:r>
      <w:r>
        <w:t>-the destructive overlap, dephasing, or competitive fragmentation of flows and signals</w:t>
      </w:r>
      <w:r>
        <w:rPr>
          <w:vertAlign w:val="superscript"/>
        </w:rPr>
        <w:t>3</w:t>
      </w:r>
      <w:r>
        <w:rPr>
          <w:vertAlign w:val="superscript"/>
        </w:rPr>
        <w:t>4</w:t>
      </w:r>
      <w:r>
        <w:t>.</w:t>
      </w:r>
    </w:p>
    <w:p>
      <w:pPr>
        <w:pStyle w:val="heading3"/>
      </w:pPr>
      <w:r>
        <w:t>From Framework to Technology: Triadic Framework Technology (TFT) and AI</w:t>
      </w:r>
    </w:p>
    <w:p>
      <w:r>
        <w:t xml:space="preserve">Phenomena interpreted with the FFF model can be operationalized through </w:t>
      </w:r>
      <w:r>
        <w:rPr>
          <w:b/>
        </w:rPr>
        <w:t>Triadic Framework Technology (TFT)</w:t>
      </w:r>
      <w:r>
        <w:t xml:space="preserve">-systems that actively sense, model, and govern the spectral distribution of forces, fluids, and frequencies. Crucially, TFT leverages </w:t>
      </w:r>
      <w:r>
        <w:rPr>
          <w:b/>
        </w:rPr>
        <w:t>artificial intelligence</w:t>
      </w:r>
      <w:r>
        <w:t xml:space="preserve"> for:</w:t>
      </w:r>
    </w:p>
    <w:p>
      <w:pPr>
        <w:pStyle w:val="ListParagraph"/>
        <w:numPr>
          <w:ilvl w:val="0"/>
          <w:numId w:val="1"/>
        </w:numPr>
      </w:pPr>
      <w:r>
        <w:t>Real-time data ingestion and spectral analysis;</w:t>
      </w:r>
    </w:p>
    <w:p>
      <w:pPr>
        <w:pStyle w:val="ListParagraph"/>
        <w:numPr>
          <w:ilvl w:val="0"/>
          <w:numId w:val="1"/>
        </w:numPr>
      </w:pPr>
      <w:r>
        <w:t>Fingerprinting coherent (abundance) and incoherent (scarcity) zones;</w:t>
      </w:r>
    </w:p>
    <w:p>
      <w:pPr>
        <w:pStyle w:val="ListParagraph"/>
        <w:numPr>
          <w:ilvl w:val="0"/>
          <w:numId w:val="1"/>
        </w:numPr>
      </w:pPr>
      <w:r>
        <w:t>Optimizing interventions (replication, harmonization, redirection) to engineer desired transitions;</w:t>
      </w:r>
    </w:p>
    <w:p>
      <w:pPr>
        <w:pStyle w:val="ListParagraph"/>
        <w:numPr>
          <w:ilvl w:val="0"/>
          <w:numId w:val="1"/>
        </w:numPr>
      </w:pPr>
      <w:r>
        <w:t>Ensuring adaptive, ethical, and scalable governance.</w:t>
      </w:r>
    </w:p>
    <w:p>
      <w:r>
        <w:t xml:space="preserve">By integrating sensing architectures, AI inference pipelines, and feedback mechanisms, TFT aims to </w:t>
      </w:r>
      <w:r>
        <w:rPr>
          <w:b/>
        </w:rPr>
        <w:t>realize post-scarcity engineering</w:t>
      </w:r>
      <w:r>
        <w:t>: the intentional creation and preservation of abundance through coherent system management-from local manufacturing (via self-replicating nanorobots) to planetary energy harmonization (via satellite networks).</w:t>
      </w:r>
    </w:p>
    <w:p>
      <w:pPr>
        <w:pStyle w:val="heading3"/>
      </w:pPr>
      <w:r>
        <w:t>Vision and Structure</w:t>
      </w:r>
    </w:p>
    <w:p>
      <w:r>
        <w:t>This work provides an in-depth, multi-level roadmap:</w:t>
      </w:r>
    </w:p>
    <w:p>
      <w:pPr>
        <w:pStyle w:val="ListParagraph"/>
        <w:numPr>
          <w:ilvl w:val="0"/>
          <w:numId w:val="2"/>
        </w:numPr>
      </w:pPr>
      <w:r>
        <w:rPr>
          <w:b/>
        </w:rPr>
        <w:t>Theoretical Models</w:t>
      </w:r>
      <w:r>
        <w:t>: Advances FFF-driven mathematical and physical models for mapping coherence-interference spectra.</w:t>
      </w:r>
    </w:p>
    <w:p>
      <w:pPr>
        <w:pStyle w:val="ListParagraph"/>
        <w:numPr>
          <w:ilvl w:val="0"/>
          <w:numId w:val="2"/>
        </w:numPr>
      </w:pPr>
      <w:r>
        <w:rPr>
          <w:b/>
        </w:rPr>
        <w:t>Sensing and AI Systems</w:t>
      </w:r>
      <w:r>
        <w:t>: Proposes TFT hardware, remote sensing architectures, and robust, explainable AI inference pipelines.</w:t>
      </w:r>
    </w:p>
    <w:p>
      <w:pPr>
        <w:pStyle w:val="ListParagraph"/>
        <w:numPr>
          <w:ilvl w:val="0"/>
          <w:numId w:val="2"/>
        </w:numPr>
      </w:pPr>
      <w:r>
        <w:rPr>
          <w:b/>
        </w:rPr>
        <w:t>Experimental Validation</w:t>
      </w:r>
      <w:r>
        <w:t>: Documents simulation, laboratory, and field programs for manifesting and measuring abundance-scarcity spectra.</w:t>
      </w:r>
    </w:p>
    <w:p>
      <w:pPr>
        <w:pStyle w:val="ListParagraph"/>
        <w:numPr>
          <w:ilvl w:val="0"/>
          <w:numId w:val="2"/>
        </w:numPr>
      </w:pPr>
      <w:r>
        <w:rPr>
          <w:b/>
        </w:rPr>
        <w:t>Post-Scarcity Engineering</w:t>
      </w:r>
      <w:r>
        <w:t>: Details fingerprinting, harmonizing, and replication technologies, with use cases like Harmonizer satellites and DNA nanorobotics.</w:t>
      </w:r>
    </w:p>
    <w:p>
      <w:pPr>
        <w:pStyle w:val="ListParagraph"/>
        <w:numPr>
          <w:ilvl w:val="0"/>
          <w:numId w:val="2"/>
        </w:numPr>
      </w:pPr>
      <w:r>
        <w:rPr>
          <w:b/>
        </w:rPr>
        <w:t>Governance and Ethics</w:t>
      </w:r>
      <w:r>
        <w:t>: Develops layered, adaptive, and accountable AI governance structures for post-scarcity systems.</w:t>
      </w:r>
    </w:p>
    <w:p>
      <w:r>
        <w:t xml:space="preserve">The result is </w:t>
      </w:r>
      <w:r>
        <w:rPr>
          <w:b/>
        </w:rPr>
        <w:t>a practical yet visionary framework for steering society toward measurable, managed abundance</w:t>
      </w:r>
      <w:r>
        <w:t>, rooted in spectral science and advanced technology.</w:t>
      </w:r>
    </w:p>
    <w:p>
      <w:r>
        <w:pict>
          <v:rect xmlns:o="urn:schemas-microsoft-com:office:office" xmlns:v="urn:schemas-microsoft-com:vml" style="height:.05pt;mso-width-percent:1000" o:hr="true" o:hrstd="true" o:hralign="center" fillcolor="A0A0A0" stroked="false"/>
        </w:pict>
      </w:r>
    </w:p>
    <w:p>
      <w:pPr>
        <w:pStyle w:val="heading2"/>
      </w:pPr>
      <w:r>
        <w:t>Theoretical Models: Spectral Foundations of Abundance and Scarcity</w:t>
      </w:r>
    </w:p>
    <w:p>
      <w:pPr>
        <w:pStyle w:val="heading3"/>
      </w:pPr>
      <w:r>
        <w:t>1. FFF Spectral Model</w:t>
      </w:r>
    </w:p>
    <w:p>
      <w:pPr>
        <w:pStyle w:val="heading3"/>
      </w:pPr>
      <w:r>
        <w:t>1.1 The Triadic Foundation</w:t>
      </w:r>
    </w:p>
    <w:p>
      <w:r>
        <w:t xml:space="preserve">The FFF model asserts that </w:t>
      </w:r>
      <w:r>
        <w:rPr>
          <w:b/>
        </w:rPr>
        <w:t>system behavior is defined by triplets of interactions</w:t>
      </w:r>
      <w:r>
        <w:t>:</w:t>
      </w:r>
    </w:p>
    <w:p>
      <w:pPr>
        <w:pStyle w:val="ListParagraph"/>
        <w:numPr>
          <w:ilvl w:val="0"/>
          <w:numId w:val="3"/>
        </w:numPr>
      </w:pPr>
      <w:r>
        <w:rPr>
          <w:b/>
        </w:rPr>
        <w:t>Forces:</w:t>
      </w:r>
      <w:r>
        <w:t xml:space="preserve"> All observable interactions-mechanical, electromagnetic, social, cognitive-manifest as forces.</w:t>
      </w:r>
    </w:p>
    <w:p>
      <w:pPr>
        <w:pStyle w:val="ListParagraph"/>
        <w:numPr>
          <w:ilvl w:val="0"/>
          <w:numId w:val="3"/>
        </w:numPr>
      </w:pPr>
      <w:r>
        <w:rPr>
          <w:b/>
        </w:rPr>
        <w:t>Fluids:</w:t>
      </w:r>
      <w:r>
        <w:t xml:space="preserve"> The “stuff” those forces act upon, whether material (air, water, electrons) or informational (data streams, capital).</w:t>
      </w:r>
    </w:p>
    <w:p>
      <w:pPr>
        <w:pStyle w:val="ListParagraph"/>
        <w:numPr>
          <w:ilvl w:val="0"/>
          <w:numId w:val="3"/>
        </w:numPr>
      </w:pPr>
      <w:r>
        <w:rPr>
          <w:b/>
        </w:rPr>
        <w:t>Frequencies:</w:t>
      </w:r>
      <w:r>
        <w:t xml:space="preserve"> The temporal or spatial oscillations characteristic to dynamic systems; these include waveforms, persistent cycles, and complex, multi-frequency modulations.</w:t>
      </w:r>
    </w:p>
    <w:p>
      <w:r>
        <w:t>The interplay among FFF triplets produces emergent states-coherence (abundance) and interference (scarcity).</w:t>
      </w:r>
    </w:p>
    <w:p>
      <w:pPr>
        <w:pStyle w:val="heading3"/>
      </w:pPr>
      <w:r>
        <w:t>1.2 Coherence and Interference as Measurable Phenomena</w:t>
      </w:r>
    </w:p>
    <w:p>
      <w:r>
        <w:rPr>
          <w:b/>
        </w:rPr>
        <w:t>Coherence</w:t>
      </w:r>
      <w:r>
        <w:t xml:space="preserve"> represents the statistical similarity and phase alignment among parts of a system, allowing constructive interference and maximal energy/resource transfer. </w:t>
      </w:r>
      <w:r>
        <w:rPr>
          <w:b/>
        </w:rPr>
        <w:t>Interference</w:t>
      </w:r>
      <w:r>
        <w:t>-particularly destructive interference-introduces fragmentation, barriers, or loss.</w:t>
      </w:r>
    </w:p>
    <w:p>
      <w:r>
        <w:rPr>
          <w:i/>
        </w:rPr>
        <w:t>Mathematical definition:</w:t>
      </w:r>
      <w:r>
        <w:t xml:space="preserve"> For signals or resources distributed across a network,</w:t>
      </w:r>
      <w:r>
        <w:t xml:space="preserve"> </w:t>
      </w:r>
      <w:r>
        <w:t>[</w:t>
      </w:r>
      <w:r>
        <w:t xml:space="preserve"> </w:t>
      </w:r>
      <w:r>
        <w:t>|\gamma</w:t>
      </w:r>
      <w:r>
        <w:t>_</w:t>
      </w:r>
      <w:r>
        <w:t>(f)|</w:t>
      </w:r>
      <w:r>
        <w:t>^</w:t>
      </w:r>
      <w:r>
        <w:t>2 = \frac{|S</w:t>
      </w:r>
      <w:r>
        <w:t>_</w:t>
      </w:r>
      <w:r>
        <w:t>(f)|</w:t>
      </w:r>
      <w:r>
        <w:t>^</w:t>
      </w:r>
      <w:r>
        <w:t>2}{S</w:t>
      </w:r>
      <w:r>
        <w:t>_</w:t>
      </w:r>
      <w:r>
        <w:t>(f)S</w:t>
      </w:r>
      <w:r>
        <w:t>_</w:t>
      </w:r>
      <w:r>
        <w:t>(f)}</w:t>
      </w:r>
      <w:r>
        <w:t xml:space="preserve"> </w:t>
      </w:r>
      <w:r>
        <w:t>]</w:t>
      </w:r>
      <w:r>
        <w:t xml:space="preserve"> </w:t>
      </w:r>
      <w:r>
        <w:t xml:space="preserve">where </w:t>
      </w:r>
      <w:r>
        <w:t>(S</w:t>
      </w:r>
      <w:r>
        <w:t>_</w:t>
      </w:r>
      <w:r>
        <w:t xml:space="preserve">) is the cross-spectral density (frequency domain correlation) of channels </w:t>
      </w:r>
      <w:r>
        <w:t>(x</w:t>
      </w:r>
      <w:r>
        <w:t xml:space="preserve">) and </w:t>
      </w:r>
      <w:r>
        <w:t>(y</w:t>
      </w:r>
      <w:r>
        <w:t>), quantifying coherence</w:t>
      </w:r>
      <w:r>
        <w:rPr>
          <w:vertAlign w:val="superscript"/>
        </w:rPr>
        <w:t>3</w:t>
      </w:r>
      <w:r>
        <w:rPr>
          <w:vertAlign w:val="superscript"/>
        </w:rPr>
        <w:t>5</w:t>
      </w:r>
      <w:r>
        <w:t>.</w:t>
      </w:r>
    </w:p>
    <w:p>
      <w:r>
        <w:rPr>
          <w:i/>
        </w:rPr>
        <w:t>Abundance</w:t>
      </w:r>
      <w:r>
        <w:t xml:space="preserve"> is proportional to high coherence, denoted by strong constructive interference patterns (maximized visibility in the spectral domain)</w:t>
      </w:r>
      <w:r>
        <w:rPr>
          <w:vertAlign w:val="superscript"/>
        </w:rPr>
        <w:t>3</w:t>
      </w:r>
      <w:r>
        <w:t>.</w:t>
      </w:r>
    </w:p>
    <w:p>
      <w:r>
        <w:rPr>
          <w:i/>
        </w:rPr>
        <w:t>Scarcity</w:t>
      </w:r>
      <w:r>
        <w:t xml:space="preserve"> is revealed as spectral regions of low or zero coherence-where interference or incoherence suppresses flows, signals, or resource transfer</w:t>
      </w:r>
      <w:r>
        <w:rPr>
          <w:vertAlign w:val="superscript"/>
        </w:rPr>
        <w:t>5</w:t>
      </w:r>
      <w:r>
        <w:t>.</w:t>
      </w:r>
    </w:p>
    <w:p>
      <w:pPr>
        <w:pStyle w:val="heading3"/>
      </w:pPr>
      <w:r>
        <w:t>1.3 Spectral Resource Distribution and Fingerprinting</w:t>
      </w:r>
    </w:p>
    <w:p>
      <w:r>
        <w:t>Spectral “zones” of abundance and scarcity can be visualized and measured, for example:</w:t>
      </w:r>
    </w:p>
    <w:p>
      <w:pPr>
        <w:pStyle w:val="ListParagraph"/>
        <w:numPr>
          <w:ilvl w:val="0"/>
          <w:numId w:val="4"/>
        </w:numPr>
      </w:pPr>
      <w:r>
        <w:rPr>
          <w:b/>
        </w:rPr>
        <w:t>High-coherence zones:</w:t>
      </w:r>
      <w:r>
        <w:t xml:space="preserve"> Smooth, broadband spectral lines; low-entropy, high-predictability patterns; low variability in resource access.</w:t>
      </w:r>
    </w:p>
    <w:p>
      <w:pPr>
        <w:pStyle w:val="ListParagraph"/>
        <w:numPr>
          <w:ilvl w:val="0"/>
          <w:numId w:val="4"/>
        </w:numPr>
      </w:pPr>
      <w:r>
        <w:rPr>
          <w:b/>
        </w:rPr>
        <w:t>Interference zones:</w:t>
      </w:r>
      <w:r>
        <w:t xml:space="preserve"> Fragmented, many-nulled spectral domains; high entropy, unpredictability, signal or resource losses.</w:t>
      </w:r>
    </w:p>
    <w:p>
      <w:r>
        <w:t>Fingerprinting these zones involves multi-scale, multi-domain spectral analysis, mapping hotspots and deserts of abundance.</w:t>
      </w:r>
    </w:p>
    <w:p>
      <w:pPr>
        <w:pStyle w:val="heading3"/>
      </w:pPr>
      <w:r>
        <w:t>2. Extension to Nonlinear and Multimodal Systems</w:t>
      </w:r>
    </w:p>
    <w:p>
      <w:r>
        <w:t xml:space="preserve">FFF interactions are </w:t>
      </w:r>
      <w:r>
        <w:rPr>
          <w:b/>
        </w:rPr>
        <w:t>nonlinear and triadic</w:t>
      </w:r>
      <w:r>
        <w:t xml:space="preserve"> in many real-world scenarios, as in the coupled wave models of ocean dynamics</w:t>
      </w:r>
      <w:r>
        <w:rPr>
          <w:vertAlign w:val="superscript"/>
        </w:rPr>
        <w:t>6</w:t>
      </w:r>
      <w:r>
        <w:rPr>
          <w:vertAlign w:val="superscript"/>
        </w:rPr>
        <w:t>7</w:t>
      </w:r>
      <w:r>
        <w:t>. Triadic interactions (three-mode coupling) allow for energy and information transfer across frequencies and scales-a model which generalizes to physical, biological, and social systems.</w:t>
      </w:r>
    </w:p>
    <w:p>
      <w:pPr>
        <w:pStyle w:val="heading3"/>
      </w:pPr>
      <w:r>
        <w:t>2.1 Triadic Resonance and Modal Interactions</w:t>
      </w:r>
    </w:p>
    <w:p>
      <w:r>
        <w:rPr>
          <w:i/>
        </w:rPr>
        <w:t>Triadic resonance</w:t>
      </w:r>
      <w:r>
        <w:t xml:space="preserve"> occurs when three interacting modes (waves, resources, agents) satisfy conservation of energy (frequency) and momentum (spatial pattern), allowing for efficient inter-scale transfer-either amplifying (abundance) or dissipating (scarcity) energy</w:t>
      </w:r>
      <w:r>
        <w:rPr>
          <w:vertAlign w:val="superscript"/>
        </w:rPr>
        <w:t>7</w:t>
      </w:r>
      <w:r>
        <w:rPr>
          <w:vertAlign w:val="superscript"/>
        </w:rPr>
        <w:t>8</w:t>
      </w:r>
      <w:r>
        <w:t>.</w:t>
      </w:r>
    </w:p>
    <w:p>
      <w:pPr>
        <w:pStyle w:val="heading3"/>
      </w:pPr>
      <w:r>
        <w:t>2.2 Dynamic Mode Decomposition and Coherence</w:t>
      </w:r>
    </w:p>
    <w:p>
      <w:r>
        <w:t xml:space="preserve">Analyzing real-world systems using </w:t>
      </w:r>
      <w:r>
        <w:rPr>
          <w:i/>
        </w:rPr>
        <w:t>Dynamic Mode Decomposition</w:t>
      </w:r>
      <w:r>
        <w:t xml:space="preserve"> (DMD) or </w:t>
      </w:r>
      <w:r>
        <w:rPr>
          <w:i/>
        </w:rPr>
        <w:t>Koopman mode theory</w:t>
      </w:r>
      <w:r>
        <w:t xml:space="preserve"> yields insights into how a few dominant coherent modes capture most system energy (abundance), while residuals manifest as incoherent (scarce) or turbulent energy</w:t>
      </w:r>
      <w:r>
        <w:rPr>
          <w:vertAlign w:val="superscript"/>
        </w:rPr>
        <w:t>8</w:t>
      </w:r>
      <w:r>
        <w:t>.</w:t>
      </w:r>
    </w:p>
    <w:p>
      <w:r>
        <w:t>Table 1: Comparison of Abundance (Coherence) vs Scarcity (Interference) in Spectral Models</w:t>
      </w:r>
    </w:p>
    <w:tbl>
      <w:tblPr>
        <w:tblStyle w:val="TableGrid"/>
        <w:tblW w:w="5000" w:type="pct"/>
      </w:tblPr>
      <w:tr>
        <w:trPr>
          <w:cnfStyle w:firstRow="true"/>
        </w:trPr>
        <w:tc>
          <w:p>
            <w:r>
              <w:t>Phenomenon</w:t>
            </w:r>
          </w:p>
        </w:tc>
        <w:tc>
          <w:p>
            <w:r>
              <w:t>Coherence (Abundance)</w:t>
            </w:r>
          </w:p>
        </w:tc>
        <w:tc>
          <w:p>
            <w:r>
              <w:t>Interference (Scarcity)</w:t>
            </w:r>
          </w:p>
        </w:tc>
      </w:tr>
      <w:tr>
        <w:tc>
          <w:p>
            <w:r>
              <w:t>Visibility</w:t>
            </w:r>
          </w:p>
        </w:tc>
        <w:tc>
          <w:p>
            <w:r>
              <w:t>High (strong fringes)</w:t>
            </w:r>
          </w:p>
        </w:tc>
        <w:tc>
          <w:p>
            <w:r>
              <w:t>Low/Zero (washed-out patterns)</w:t>
            </w:r>
          </w:p>
        </w:tc>
      </w:tr>
      <w:tr>
        <w:tc>
          <w:p>
            <w:r>
              <w:t>Entropy</w:t>
            </w:r>
          </w:p>
        </w:tc>
        <w:tc>
          <w:p>
            <w:r>
              <w:t>Low</w:t>
            </w:r>
          </w:p>
        </w:tc>
        <w:tc>
          <w:p>
            <w:r>
              <w:t>High</w:t>
            </w:r>
          </w:p>
        </w:tc>
      </w:tr>
      <w:tr>
        <w:tc>
          <w:p>
            <w:r>
              <w:t>Spectral Density</w:t>
            </w:r>
          </w:p>
        </w:tc>
        <w:tc>
          <w:p>
            <w:r>
              <w:t>Discrete, sharp lines, or bands</w:t>
            </w:r>
          </w:p>
        </w:tc>
        <w:tc>
          <w:p>
            <w:r>
              <w:t>Broad, broken, or random</w:t>
            </w:r>
          </w:p>
        </w:tc>
      </w:tr>
      <w:tr>
        <w:tc>
          <w:p>
            <w:r>
              <w:t>Transfer</w:t>
            </w:r>
          </w:p>
        </w:tc>
        <w:tc>
          <w:p>
            <w:r>
              <w:t>Efficient (constructive)</w:t>
            </w:r>
          </w:p>
        </w:tc>
        <w:tc>
          <w:p>
            <w:r>
              <w:t>Dissipative, lossy (destructive)</w:t>
            </w:r>
          </w:p>
        </w:tc>
      </w:tr>
      <w:tr>
        <w:tc>
          <w:p>
            <w:r>
              <w:t>Predictability</w:t>
            </w:r>
          </w:p>
        </w:tc>
        <w:tc>
          <w:p>
            <w:r>
              <w:t>High</w:t>
            </w:r>
          </w:p>
        </w:tc>
        <w:tc>
          <w:p>
            <w:r>
              <w:t>Low</w:t>
            </w:r>
          </w:p>
        </w:tc>
      </w:tr>
    </w:tbl>
    <w:p>
      <w:r>
        <w:t xml:space="preserve">Spectral analysis shows that </w:t>
      </w:r>
      <w:r>
        <w:rPr>
          <w:b/>
        </w:rPr>
        <w:t>coherent transfer equates to maximal abundance, while destructive interference correlates to sharp resource and signal loss-i.e., scarcity</w:t>
      </w:r>
      <w:r>
        <w:rPr>
          <w:vertAlign w:val="superscript"/>
        </w:rPr>
        <w:t>4</w:t>
      </w:r>
      <w:r>
        <w:rPr>
          <w:vertAlign w:val="superscript"/>
        </w:rPr>
        <w:t>3</w:t>
      </w:r>
      <w:r>
        <w:t>.</w:t>
      </w:r>
    </w:p>
    <w:p>
      <w:pPr>
        <w:pStyle w:val="heading3"/>
      </w:pPr>
      <w:r>
        <w:t>2.3 Modeling Manifestation: From Spectral Alignment to Emergence</w:t>
      </w:r>
    </w:p>
    <w:p>
      <w:r>
        <w:t xml:space="preserve">Abundance “manifestation”-the creation or emergence of new resources or possibilities-can be modeled as a </w:t>
      </w:r>
      <w:r>
        <w:rPr>
          <w:i/>
        </w:rPr>
        <w:t>phase transition</w:t>
      </w:r>
      <w:r>
        <w:t xml:space="preserve"> induced by moving a system from interference-dominated (blocked) to coherence-dominated (open) spectral regimes. In physics, this is analogous to lasing, superfluidity, or the transition from turbulence to laminarity</w:t>
      </w:r>
      <w:r>
        <w:rPr>
          <w:vertAlign w:val="superscript"/>
        </w:rPr>
        <w:t>5</w:t>
      </w:r>
      <w:r>
        <w:t>-in social systems, it equates to surges in innovation, prosperity, or social trust.</w:t>
      </w:r>
    </w:p>
    <w:p>
      <w:r>
        <w:pict>
          <v:rect xmlns:o="urn:schemas-microsoft-com:office:office" xmlns:v="urn:schemas-microsoft-com:vml" style="height:.05pt;mso-width-percent:1000" o:hr="true" o:hrstd="true" o:hralign="center" fillcolor="A0A0A0" stroked="false"/>
        </w:pict>
      </w:r>
    </w:p>
    <w:p>
      <w:pPr>
        <w:pStyle w:val="heading2"/>
      </w:pPr>
      <w:r>
        <w:t>Sensing Architectures and AI Inference Pipelines for FFF Spectral Mapping</w:t>
      </w:r>
    </w:p>
    <w:p>
      <w:pPr>
        <w:pStyle w:val="heading3"/>
      </w:pPr>
      <w:r>
        <w:t>1. Sensing Architectures: From Physical to Informational Fingerprinting</w:t>
      </w:r>
    </w:p>
    <w:p>
      <w:pPr>
        <w:pStyle w:val="heading3"/>
      </w:pPr>
      <w:r>
        <w:t>1.1 Remote Spectral Sensing</w:t>
      </w:r>
    </w:p>
    <w:p>
      <w:r>
        <w:t xml:space="preserve">To map abundance and scarcity, </w:t>
      </w:r>
      <w:r>
        <w:rPr>
          <w:b/>
        </w:rPr>
        <w:t>multi-band remote sensing</w:t>
      </w:r>
      <w:r>
        <w:t>-including hyperspectral imaging, resonance-based sensors, and distributed sensor arrays-can detect spatial and temporal coherence/interference patterns on planetary, ecological, or industrial scales.</w:t>
      </w:r>
    </w:p>
    <w:p>
      <w:pPr>
        <w:pStyle w:val="ListParagraph"/>
        <w:numPr>
          <w:ilvl w:val="0"/>
          <w:numId w:val="5"/>
        </w:numPr>
      </w:pPr>
      <w:r>
        <w:rPr>
          <w:b/>
        </w:rPr>
        <w:t>Hyperspectral Mapping:</w:t>
      </w:r>
      <w:r>
        <w:t xml:space="preserve"> Earth observation satellites (e.g., USGS Earth MRI, HydroGNSS, Harmonizer constellation) use reflected spectra in visible, IR, and microwave to identify environmental “fingerprints” of coherence (fertile regions, clean water, etc.) and interference (deserts, pollution, degraded soils)</w:t>
      </w:r>
      <w:r>
        <w:rPr>
          <w:vertAlign w:val="superscript"/>
        </w:rPr>
        <w:t>9</w:t>
      </w:r>
      <w:r>
        <w:t>.</w:t>
      </w:r>
    </w:p>
    <w:p>
      <w:pPr>
        <w:pStyle w:val="ListParagraph"/>
        <w:numPr>
          <w:ilvl w:val="0"/>
          <w:numId w:val="5"/>
        </w:numPr>
      </w:pPr>
      <w:r>
        <w:rPr>
          <w:b/>
        </w:rPr>
        <w:t>Radar, LIDAR, and GNSS-R:</w:t>
      </w:r>
      <w:r>
        <w:t xml:space="preserve"> Recent advances in GNSS-Reflectometry, as seen in HydroGNSS, use coherence metrics of scattered signals to map water, soil, and vegetation states; coherence indicates smooth surfaces (abundance), incoherence signals roughness, turbulence, or disruption (scarcity)</w:t>
      </w:r>
      <w:r>
        <w:rPr>
          <w:vertAlign w:val="superscript"/>
        </w:rPr>
        <w:t>9</w:t>
      </w:r>
      <w:r>
        <w:t>.</w:t>
      </w:r>
    </w:p>
    <w:p>
      <w:pPr>
        <w:pStyle w:val="heading3"/>
      </w:pPr>
      <w:r>
        <w:t>1.2 Local and Microscale Sensing</w:t>
      </w:r>
    </w:p>
    <w:p>
      <w:r>
        <w:t xml:space="preserve">In advanced manufacturing, nanotechnology, and biomedicine, local sensors (vibrational, acoustic, plasmonic, or DNA-based) can </w:t>
      </w:r>
      <w:r>
        <w:rPr>
          <w:b/>
        </w:rPr>
        <w:t>assess coherence and interference at micro/nanoscale</w:t>
      </w:r>
      <w:r>
        <w:t>-vital for monitoring replication accuracy, error rates, and emergent abundance-like structures</w:t>
      </w:r>
      <w:r>
        <w:rPr>
          <w:vertAlign w:val="superscript"/>
        </w:rPr>
        <w:t>10</w:t>
      </w:r>
      <w:r>
        <w:t>.</w:t>
      </w:r>
    </w:p>
    <w:p>
      <w:pPr>
        <w:pStyle w:val="heading3"/>
      </w:pPr>
      <w:r>
        <w:t>1.3 Distributed Networks and the Internet of Things</w:t>
      </w:r>
    </w:p>
    <w:p>
      <w:r>
        <w:t xml:space="preserve">Deploying </w:t>
      </w:r>
      <w:r>
        <w:rPr>
          <w:b/>
        </w:rPr>
        <w:t>dense sensor networks</w:t>
      </w:r>
      <w:r>
        <w:t xml:space="preserve"> creates a mesh of local and global fingerprints-each node mapping coherence (well-functioning infrastructure, resource flows) and detecting interference (breakdowns, bottlenecks, losses). Self-organizing topologies and edge AI can infer resource deserts and oases in real time.</w:t>
      </w:r>
    </w:p>
    <w:p>
      <w:pPr>
        <w:pStyle w:val="heading3"/>
      </w:pPr>
      <w:r>
        <w:t>2. AI Inference Pipelines: Data to Action in FFF-TFT Systems</w:t>
      </w:r>
    </w:p>
    <w:p>
      <w:pPr>
        <w:pStyle w:val="heading3"/>
      </w:pPr>
      <w:r>
        <w:t>2.1 AI Pipeline Architecture</w:t>
      </w:r>
    </w:p>
    <w:p>
      <w:r>
        <w:t>A modern AI pipeline in the TFT context processes the “data-to-action journey” as follows:</w:t>
      </w:r>
    </w:p>
    <w:p>
      <w:pPr>
        <w:pStyle w:val="ListParagraph"/>
        <w:numPr>
          <w:ilvl w:val="0"/>
          <w:numId w:val="6"/>
        </w:numPr>
      </w:pPr>
      <w:r>
        <w:rPr>
          <w:b/>
        </w:rPr>
        <w:t>Data Layer:</w:t>
      </w:r>
      <w:r>
        <w:t xml:space="preserve"> Ingests multi-modal data from physical, informational, and social sensors.</w:t>
      </w:r>
    </w:p>
    <w:p>
      <w:pPr>
        <w:pStyle w:val="ListParagraph"/>
        <w:numPr>
          <w:ilvl w:val="0"/>
          <w:numId w:val="6"/>
        </w:numPr>
      </w:pPr>
      <w:r>
        <w:rPr>
          <w:b/>
        </w:rPr>
        <w:t>Preprocessing:</w:t>
      </w:r>
      <w:r>
        <w:t xml:space="preserve"> Cleans, harmonizes, and synchronizes heterogeneous spectral datasets.</w:t>
      </w:r>
    </w:p>
    <w:p>
      <w:pPr>
        <w:pStyle w:val="ListParagraph"/>
        <w:numPr>
          <w:ilvl w:val="0"/>
          <w:numId w:val="6"/>
        </w:numPr>
      </w:pPr>
      <w:r>
        <w:rPr>
          <w:b/>
        </w:rPr>
        <w:t>Spectral Analysis Engine:</w:t>
      </w:r>
      <w:r>
        <w:t xml:space="preserve"> Deploys signal processing (Fourier analysis, wavelet, bispectral tools) to calculate coherence and interference measures across space, time, and domain</w:t>
      </w:r>
      <w:r>
        <w:rPr>
          <w:vertAlign w:val="superscript"/>
        </w:rPr>
        <w:t>3</w:t>
      </w:r>
      <w:r>
        <w:rPr>
          <w:vertAlign w:val="superscript"/>
        </w:rPr>
        <w:t>11</w:t>
      </w:r>
      <w:r>
        <w:t>.</w:t>
      </w:r>
    </w:p>
    <w:p>
      <w:pPr>
        <w:pStyle w:val="ListParagraph"/>
        <w:numPr>
          <w:ilvl w:val="0"/>
          <w:numId w:val="6"/>
        </w:numPr>
      </w:pPr>
      <w:r>
        <w:rPr>
          <w:b/>
        </w:rPr>
        <w:t>Zone Fingerprinting:</w:t>
      </w:r>
      <w:r>
        <w:t xml:space="preserve"> Classifies spatial and temporal “zones” by their spectral signature, labeling them as abundance (coherent), interference (scarcity), or transitional.</w:t>
      </w:r>
    </w:p>
    <w:p>
      <w:pPr>
        <w:pStyle w:val="ListParagraph"/>
        <w:numPr>
          <w:ilvl w:val="0"/>
          <w:numId w:val="6"/>
        </w:numPr>
      </w:pPr>
      <w:r>
        <w:rPr>
          <w:b/>
        </w:rPr>
        <w:t>Decision and Orchestration:</w:t>
      </w:r>
      <w:r>
        <w:t xml:space="preserve"> AI models (decision trees, neural networks, transformers) infer causal patterns; suggest interventions (resource reallocation, harmonization, replication, remediation).</w:t>
      </w:r>
    </w:p>
    <w:p>
      <w:pPr>
        <w:pStyle w:val="ListParagraph"/>
        <w:numPr>
          <w:ilvl w:val="0"/>
          <w:numId w:val="6"/>
        </w:numPr>
      </w:pPr>
      <w:r>
        <w:rPr>
          <w:b/>
        </w:rPr>
        <w:t>Action Layer:</w:t>
      </w:r>
      <w:r>
        <w:t xml:space="preserve"> Orchestrates effectors (drones, factories, satellite harmonizers, nanorobots) to increase coherence (amplifying abundance) or suppress interference (mitigating scarcity).</w:t>
      </w:r>
    </w:p>
    <w:p>
      <w:pPr>
        <w:pStyle w:val="heading3"/>
      </w:pPr>
      <w:r>
        <w:t>2.2 Explainable, Robust, and Ethical AI</w:t>
      </w:r>
    </w:p>
    <w:p>
      <w:r>
        <w:t xml:space="preserve">Robust pipelines embed </w:t>
      </w:r>
      <w:r>
        <w:rPr>
          <w:i/>
        </w:rPr>
        <w:t>explainability</w:t>
      </w:r>
      <w:r>
        <w:t xml:space="preserve"> (transparent reasoning, traceable recommendations), </w:t>
      </w:r>
      <w:r>
        <w:rPr>
          <w:i/>
        </w:rPr>
        <w:t>adaptability</w:t>
      </w:r>
      <w:r>
        <w:t xml:space="preserve"> (self-tuning, meta-learning), and </w:t>
      </w:r>
      <w:r>
        <w:rPr>
          <w:i/>
        </w:rPr>
        <w:t>bias mitigation</w:t>
      </w:r>
      <w:r>
        <w:t xml:space="preserve"> (fairness, non-discrimination). Simulation-in-the-loop and continuous validation (digital twin models) are employed for safety and reliability</w:t>
      </w:r>
      <w:r>
        <w:rPr>
          <w:vertAlign w:val="superscript"/>
        </w:rPr>
        <w:t>12</w:t>
      </w:r>
      <w:r>
        <w:rPr>
          <w:vertAlign w:val="superscript"/>
        </w:rPr>
        <w:t>13</w:t>
      </w:r>
      <w:r>
        <w:t>.</w:t>
      </w:r>
    </w:p>
    <w:p>
      <w:pPr>
        <w:pStyle w:val="heading3"/>
      </w:pPr>
      <w:r>
        <w:t>2.3 Learning from Spectral Data: Self-Supervised and Foundation Models</w:t>
      </w:r>
    </w:p>
    <w:p>
      <w:r>
        <w:t xml:space="preserve">Latest AI models (e.g., sensor-agnostic spectral transformers like STARS) can learn </w:t>
      </w:r>
      <w:r>
        <w:rPr>
          <w:i/>
        </w:rPr>
        <w:t>universal spectral representations</w:t>
      </w:r>
      <w:r>
        <w:t xml:space="preserve"> to generalize across varying sensor types and domains. Pretraining on multimodal data enhances ability to detect abundance-scarcity transitions in unfamiliar contexts</w:t>
      </w:r>
      <w:r>
        <w:rPr>
          <w:vertAlign w:val="superscript"/>
        </w:rPr>
        <w:t>11</w:t>
      </w:r>
      <w:r>
        <w:t>.</w:t>
      </w:r>
    </w:p>
    <w:p>
      <w:pPr>
        <w:pStyle w:val="heading3"/>
      </w:pPr>
      <w:r>
        <w:t>2.4 Case Study: HydroGNSS Pipeline</w:t>
      </w:r>
    </w:p>
    <w:p>
      <w:r>
        <w:t>The ESA HydroGNSS mission processes dual-frequency, dual-polarization GNSS-R signals, feeding multiple coherence indicators into a random forest classifier to output global water presence maps and flag dynamic abundance-scarcity transitions in fresh water resources</w:t>
      </w:r>
      <w:r>
        <w:rPr>
          <w:vertAlign w:val="superscript"/>
        </w:rPr>
        <w:t>9</w:t>
      </w:r>
      <w:r>
        <w:t>.</w:t>
      </w:r>
    </w:p>
    <w:p>
      <w:pPr>
        <w:pStyle w:val="heading3"/>
      </w:pPr>
      <w:r>
        <w:t>2.5 Secure and Distributed AI</w:t>
      </w:r>
    </w:p>
    <w:p>
      <w:r>
        <w:t>AI inference pipelines are distributed, edge-deployed, and integrated with cloud-based coordination to maximize real-time adaptability, minimize data bottlenecks, and ensure resilience against central attacks or failures</w:t>
      </w:r>
      <w:r>
        <w:rPr>
          <w:vertAlign w:val="superscript"/>
        </w:rPr>
        <w:t>14</w:t>
      </w:r>
      <w:r>
        <w:t>.</w:t>
      </w:r>
    </w:p>
    <w:p>
      <w:r>
        <w:pict>
          <v:rect xmlns:o="urn:schemas-microsoft-com:office:office" xmlns:v="urn:schemas-microsoft-com:vml" style="height:.05pt;mso-width-percent:1000" o:hr="true" o:hrstd="true" o:hralign="center" fillcolor="A0A0A0" stroked="false"/>
        </w:pict>
      </w:r>
    </w:p>
    <w:p>
      <w:pPr>
        <w:pStyle w:val="heading2"/>
      </w:pPr>
      <w:r>
        <w:t>Experimental Programs for FFF Framework Validation</w:t>
      </w:r>
    </w:p>
    <w:p>
      <w:pPr>
        <w:pStyle w:val="heading3"/>
      </w:pPr>
      <w:r>
        <w:t>1. Laboratory and Simulation Programs</w:t>
      </w:r>
    </w:p>
    <w:p>
      <w:pPr>
        <w:pStyle w:val="heading3"/>
      </w:pPr>
      <w:r>
        <w:t>1.1 Triadic Resonance and Nonlinear Wave Experiments</w:t>
      </w:r>
    </w:p>
    <w:p>
      <w:r>
        <w:t>Laboratory studies (e.g., wave tanks, fluid dynamics experiments) confirm theoretical predictions of triadic resonance, coherent energy transfer (abundance), and modal competition (interference-scarcity) under controlled conditions</w:t>
      </w:r>
      <w:r>
        <w:rPr>
          <w:vertAlign w:val="superscript"/>
        </w:rPr>
        <w:t>7</w:t>
      </w:r>
      <w:r>
        <w:t>.</w:t>
      </w:r>
    </w:p>
    <w:p>
      <w:r>
        <w:t>Recent numerical simulations capture four-dimensional modal interactions in turbulence, supporting the importance of frequency-domain analysis in diagnosing abundance (through mode synchronization) and scarcity (through mode disruption and fragmentation)</w:t>
      </w:r>
      <w:r>
        <w:rPr>
          <w:vertAlign w:val="superscript"/>
        </w:rPr>
        <w:t>8</w:t>
      </w:r>
      <w:r>
        <w:t>.</w:t>
      </w:r>
    </w:p>
    <w:p>
      <w:pPr>
        <w:pStyle w:val="heading3"/>
      </w:pPr>
      <w:r>
        <w:t>1.2 Coherence-Interference Experiments in Optics and Quantum Dynamics</w:t>
      </w:r>
    </w:p>
    <w:p>
      <w:r>
        <w:t>Experiments using optical interference (e.g., double-slit, Michelson interferometer, homodyne detection) demonstrate measurable transitions between high visibility (abundance, order) and fringe washout (scarcity, disorder) as coherence is modulated</w:t>
      </w:r>
      <w:r>
        <w:rPr>
          <w:vertAlign w:val="superscript"/>
        </w:rPr>
        <w:t>4</w:t>
      </w:r>
      <w:r>
        <w:rPr>
          <w:vertAlign w:val="superscript"/>
        </w:rPr>
        <w:t>15</w:t>
      </w:r>
      <w:r>
        <w:t>.</w:t>
      </w:r>
    </w:p>
    <w:p>
      <w:r>
        <w:t>Quantum coherence as a resource theory has also been operationalized, with research showing coherence quantifies the wave nature of quantum systems; higher coherence enables maximal interference (abundance/constructivity), while loss of coherence results in scarcity of observable phenomena (destructive interference, noise)</w:t>
      </w:r>
      <w:r>
        <w:rPr>
          <w:vertAlign w:val="superscript"/>
        </w:rPr>
        <w:t>4</w:t>
      </w:r>
      <w:r>
        <w:t>.</w:t>
      </w:r>
    </w:p>
    <w:p>
      <w:pPr>
        <w:pStyle w:val="heading3"/>
      </w:pPr>
      <w:r>
        <w:t>1.3 Spectral Fingerprinting and Machine Learning Validation</w:t>
      </w:r>
    </w:p>
    <w:p>
      <w:r>
        <w:t>AI-based pipelines, including time-domain and spectral domain neural networks, are validated against human-generated fingerprints and ground-truth data for material, environmental, and social abundance-scarcity mapping</w:t>
      </w:r>
      <w:r>
        <w:rPr>
          <w:vertAlign w:val="superscript"/>
        </w:rPr>
        <w:t>16</w:t>
      </w:r>
      <w:r>
        <w:rPr>
          <w:vertAlign w:val="superscript"/>
        </w:rPr>
        <w:t>9</w:t>
      </w:r>
      <w:r>
        <w:t>.</w:t>
      </w:r>
    </w:p>
    <w:p>
      <w:pPr>
        <w:pStyle w:val="heading3"/>
      </w:pPr>
      <w:r>
        <w:t>2. Field Programs and Large-Scale Trials</w:t>
      </w:r>
    </w:p>
    <w:p>
      <w:pPr>
        <w:pStyle w:val="heading3"/>
      </w:pPr>
      <w:r>
        <w:t>2.1 Planetary Coherence Mapping</w:t>
      </w:r>
    </w:p>
    <w:p>
      <w:r>
        <w:t>Deployments of remote sensing systems (satellites and drone networks), combined with AI-driven spectral mapping, are now capable of real-time or near-real-time measurement of abundance and scarcity zones across climatic, agricultural, and resource landscapes</w:t>
      </w:r>
      <w:r>
        <w:rPr>
          <w:vertAlign w:val="superscript"/>
        </w:rPr>
        <w:t>9</w:t>
      </w:r>
      <w:r>
        <w:rPr>
          <w:vertAlign w:val="superscript"/>
        </w:rPr>
        <w:t>17</w:t>
      </w:r>
      <w:r>
        <w:t>.</w:t>
      </w:r>
    </w:p>
    <w:p>
      <w:pPr>
        <w:pStyle w:val="heading3"/>
      </w:pPr>
      <w:r>
        <w:t>2.2 Harmonizer Satellite Missions</w:t>
      </w:r>
    </w:p>
    <w:p>
      <w:r>
        <w:t xml:space="preserve">Pilot satellite missions, such as ESA's HydroGNSS and proposed "Harmonizer" constellations, test the feasibility of </w:t>
      </w:r>
      <w:r>
        <w:rPr>
          <w:b/>
        </w:rPr>
        <w:t>active planetary-scale coherence modulation</w:t>
      </w:r>
      <w:r>
        <w:t>-for example, using frequency combs for synchronization, transmission of phase-coherent signals to “heal” or harmonize disrupted environmental or technological flows</w:t>
      </w:r>
      <w:r>
        <w:rPr>
          <w:vertAlign w:val="superscript"/>
        </w:rPr>
        <w:t>9</w:t>
      </w:r>
      <w:r>
        <w:t>.</w:t>
      </w:r>
    </w:p>
    <w:p>
      <w:pPr>
        <w:pStyle w:val="heading3"/>
      </w:pPr>
      <w:r>
        <w:t>2.3 DNA Nanorobot and Replication Technology Field Trials</w:t>
      </w:r>
    </w:p>
    <w:p>
      <w:r>
        <w:t xml:space="preserve">Recent breakthroughs in </w:t>
      </w:r>
      <w:r>
        <w:rPr>
          <w:b/>
        </w:rPr>
        <w:t>self-replicating nanotechnology</w:t>
      </w:r>
      <w:r>
        <w:t>-such as DNA nanobots demonstrating programmable, conditional replication-have reached proof-of-concept, with experimental constraints ensuring control and ethical compliance</w:t>
      </w:r>
      <w:r>
        <w:rPr>
          <w:vertAlign w:val="superscript"/>
        </w:rPr>
        <w:t>10</w:t>
      </w:r>
      <w:r>
        <w:t>.</w:t>
      </w:r>
    </w:p>
    <w:p>
      <w:r>
        <w:t>Synthetic bio-robotics experiments including Xenobots show that AI-designed living organisms can self-replicate in laboratory environments, hinting at future roles as decentralized abundance agents in biomanufacturing or environmental remediation</w:t>
      </w:r>
      <w:r>
        <w:rPr>
          <w:vertAlign w:val="superscript"/>
        </w:rPr>
        <w:t>18</w:t>
      </w:r>
      <w:r>
        <w:t>.</w:t>
      </w:r>
    </w:p>
    <w:p>
      <w:pPr>
        <w:pStyle w:val="heading3"/>
      </w:pPr>
      <w:r>
        <w:t>2.4 Industrial and Urban Scale Digital Twin Programs</w:t>
      </w:r>
    </w:p>
    <w:p>
      <w:r>
        <w:t>Simulation-based digital twins, fusing FFF spectral modeling with real-world sensor data, allow for controlled, risk-free advancement of abundance-scarcity interventions (e.g., in energy grids, supply chains, transportation, or urban planning)</w:t>
      </w:r>
      <w:r>
        <w:rPr>
          <w:vertAlign w:val="superscript"/>
        </w:rPr>
        <w:t>19</w:t>
      </w:r>
      <w:r>
        <w:t>.</w:t>
      </w:r>
    </w:p>
    <w:p>
      <w:r>
        <w:pict>
          <v:rect xmlns:o="urn:schemas-microsoft-com:office:office" xmlns:v="urn:schemas-microsoft-com:vml" style="height:.05pt;mso-width-percent:1000" o:hr="true" o:hrstd="true" o:hralign="center" fillcolor="A0A0A0" stroked="false"/>
        </w:pict>
      </w:r>
    </w:p>
    <w:p>
      <w:pPr>
        <w:pStyle w:val="heading2"/>
      </w:pPr>
      <w:r>
        <w:t>Post-Scarcity Engineering Roadmap</w:t>
      </w:r>
    </w:p>
    <w:p>
      <w:pPr>
        <w:pStyle w:val="heading3"/>
      </w:pPr>
      <w:r>
        <w:t>1. Fingerprinting Abundance and Scarcity Zones</w:t>
      </w:r>
    </w:p>
    <w:p>
      <w:pPr>
        <w:pStyle w:val="heading3"/>
      </w:pPr>
      <w:r>
        <w:t>1.1 Spectral Fingerprinting Techniques</w:t>
      </w:r>
    </w:p>
    <w:p>
      <w:r>
        <w:t>Fingerprinting involves mapping the unique spectral signature of abundance (coherence) and scarcity (interference) at multiple scales:</w:t>
      </w:r>
    </w:p>
    <w:p>
      <w:pPr>
        <w:pStyle w:val="ListParagraph"/>
        <w:numPr>
          <w:ilvl w:val="0"/>
          <w:numId w:val="7"/>
        </w:numPr>
      </w:pPr>
      <w:r>
        <w:rPr>
          <w:b/>
        </w:rPr>
        <w:t>Physical fingerprinting:</w:t>
      </w:r>
      <w:r>
        <w:t xml:space="preserve"> Utilizing IR, Raman, and hyperspectral sensors to extract material and environmental abundance markers-e.g., water, vegetation, fertile soils, critical minerals</w:t>
      </w:r>
      <w:r>
        <w:rPr>
          <w:vertAlign w:val="superscript"/>
        </w:rPr>
        <w:t>16</w:t>
      </w:r>
      <w:r>
        <w:t>.</w:t>
      </w:r>
    </w:p>
    <w:p>
      <w:pPr>
        <w:pStyle w:val="ListParagraph"/>
        <w:numPr>
          <w:ilvl w:val="0"/>
          <w:numId w:val="7"/>
        </w:numPr>
      </w:pPr>
      <w:r>
        <w:rPr>
          <w:b/>
        </w:rPr>
        <w:t>Structural fingerprinting:</w:t>
      </w:r>
      <w:r>
        <w:t xml:space="preserve"> Detecting persistent constructive order or resilience (e.g., in biological tissues, engineered materials, or economic patterns).</w:t>
      </w:r>
    </w:p>
    <w:p>
      <w:pPr>
        <w:pStyle w:val="ListParagraph"/>
        <w:numPr>
          <w:ilvl w:val="0"/>
          <w:numId w:val="7"/>
        </w:numPr>
      </w:pPr>
      <w:r>
        <w:rPr>
          <w:b/>
        </w:rPr>
        <w:t>Informational fingerprinting:</w:t>
      </w:r>
      <w:r>
        <w:t xml:space="preserve"> Quantifying the bandwidth, error rates, and signal-to-noise ratio in data flows to identify bottlenecks and oases.</w:t>
      </w:r>
    </w:p>
    <w:p>
      <w:r>
        <w:t>By referencing curated spectral libraries (e.g., USGS Spectral Library), AI systems “read” the abundance or scarcity state, enabling auto-diagnosis and precision intervention</w:t>
      </w:r>
      <w:r>
        <w:rPr>
          <w:vertAlign w:val="superscript"/>
        </w:rPr>
        <w:t>16</w:t>
      </w:r>
      <w:r>
        <w:t>.</w:t>
      </w:r>
    </w:p>
    <w:p>
      <w:pPr>
        <w:pStyle w:val="heading3"/>
      </w:pPr>
      <w:r>
        <w:t>1.2 Integration with AI and Blockchain-Based Commons</w:t>
      </w:r>
    </w:p>
    <w:p>
      <w:r>
        <w:t xml:space="preserve">Fingerprinting maps can be validated and distributed via distributed ledgers/blockchains (Open-Source Earth Commons), ensuring </w:t>
      </w:r>
      <w:r>
        <w:rPr>
          <w:i/>
        </w:rPr>
        <w:t>open access, transparency, and real-time accountability</w:t>
      </w:r>
      <w:r>
        <w:t xml:space="preserve"> for abundance-scarcity governance efforts.</w:t>
      </w:r>
    </w:p>
    <w:p>
      <w:pPr>
        <w:pStyle w:val="heading3"/>
      </w:pPr>
      <w:r>
        <w:t>2. Harmonizer Satellite Concepts and Design</w:t>
      </w:r>
    </w:p>
    <w:p>
      <w:pPr>
        <w:pStyle w:val="heading3"/>
      </w:pPr>
      <w:r>
        <w:t>2.1 Satellite-Based Coherence Modulation</w:t>
      </w:r>
    </w:p>
    <w:p>
      <w:r>
        <w:t xml:space="preserve">Harmonizer satellites are envisioned as </w:t>
      </w:r>
      <w:r>
        <w:rPr>
          <w:b/>
        </w:rPr>
        <w:t>global abundance amplifiers</w:t>
      </w:r>
      <w:r>
        <w:t>. They synchronize local and planetary systems by:</w:t>
      </w:r>
    </w:p>
    <w:p>
      <w:pPr>
        <w:pStyle w:val="ListParagraph"/>
        <w:numPr>
          <w:ilvl w:val="0"/>
          <w:numId w:val="8"/>
        </w:numPr>
      </w:pPr>
      <w:r>
        <w:t>Emitting phase-coherent signals (classical and quantum frequency combs) for timing, navigation, and energy distribution.</w:t>
      </w:r>
    </w:p>
    <w:p>
      <w:pPr>
        <w:pStyle w:val="ListParagraph"/>
        <w:numPr>
          <w:ilvl w:val="0"/>
          <w:numId w:val="8"/>
        </w:numPr>
      </w:pPr>
      <w:r>
        <w:t>Sensing and relaying real-time data on coherence/interference hotspots, orchestrating interventions via Earth-based or orbital effectors.</w:t>
      </w:r>
    </w:p>
    <w:p>
      <w:pPr>
        <w:pStyle w:val="ListParagraph"/>
        <w:numPr>
          <w:ilvl w:val="0"/>
          <w:numId w:val="8"/>
        </w:numPr>
      </w:pPr>
      <w:r>
        <w:t>Coordinating with ground AI systems to optimize flow, supply, and energy distribution in real time.</w:t>
      </w:r>
    </w:p>
    <w:p>
      <w:pPr>
        <w:pStyle w:val="heading3"/>
      </w:pPr>
      <w:r>
        <w:t>2.2 Frequency Comb Technology</w:t>
      </w:r>
    </w:p>
    <w:p>
      <w:r>
        <w:t xml:space="preserve">Advanced frequency combs enable </w:t>
      </w:r>
      <w:r>
        <w:rPr>
          <w:b/>
        </w:rPr>
        <w:t>clock synchronization across distributed systems</w:t>
      </w:r>
      <w:r>
        <w:t>, supporting communication, navigation, and coordinated resource allocation at sub-millimeter precision-a foundation for the global coordination required in post-scarcity engineering.</w:t>
      </w:r>
    </w:p>
    <w:p>
      <w:pPr>
        <w:pStyle w:val="heading3"/>
      </w:pPr>
      <w:r>
        <w:t>2.3 Cross-Domain Integration</w:t>
      </w:r>
    </w:p>
    <w:p>
      <w:r>
        <w:t>Satellites are networked with terrestrial and oceanic “harmonizers”-fixed, mobile, and wearable sensors/actuators-forming a continuous, resilient, and adaptive abundance-scarcity regulatory mesh.</w:t>
      </w:r>
    </w:p>
    <w:p>
      <w:pPr>
        <w:pStyle w:val="heading3"/>
      </w:pPr>
      <w:r>
        <w:t>2.4 Governance, Security, and Interoperability</w:t>
      </w:r>
    </w:p>
    <w:p>
      <w:r>
        <w:t>Satellite harmonizer networks employ digital twins, encrypted and authenticated control channels, and adherence to ethical AI frameworks. They minimize centralization risks by implementing open standards and multipolar stewardship models</w:t>
      </w:r>
      <w:r>
        <w:rPr>
          <w:vertAlign w:val="superscript"/>
        </w:rPr>
        <w:t>20</w:t>
      </w:r>
      <w:r>
        <w:rPr>
          <w:vertAlign w:val="superscript"/>
        </w:rPr>
        <w:t>12</w:t>
      </w:r>
      <w:r>
        <w:t>.</w:t>
      </w:r>
    </w:p>
    <w:p>
      <w:pPr>
        <w:pStyle w:val="heading3"/>
      </w:pPr>
      <w:r>
        <w:t>3. Replication Technologies for Post-Scarcity</w:t>
      </w:r>
    </w:p>
    <w:p>
      <w:pPr>
        <w:pStyle w:val="heading3"/>
      </w:pPr>
      <w:r>
        <w:t>3.1 DNA Nanobot and Self-Replication</w:t>
      </w:r>
    </w:p>
    <w:p>
      <w:r>
        <w:rPr>
          <w:b/>
        </w:rPr>
        <w:t>DNA nanobots</w:t>
      </w:r>
      <w:r>
        <w:t xml:space="preserve"> now demonstrated </w:t>
      </w:r>
      <w:r>
        <w:rPr>
          <w:i/>
        </w:rPr>
        <w:t>programmable, externally controlled, and conditionally self-replicating</w:t>
      </w:r>
      <w:r>
        <w:t xml:space="preserve"> behavior, with promising applications in distributed, localized manufacturing of drugs, materials, and other high-value compounds in situ</w:t>
      </w:r>
      <w:r>
        <w:rPr>
          <w:vertAlign w:val="superscript"/>
        </w:rPr>
        <w:t>10</w:t>
      </w:r>
      <w:r>
        <w:t>.</w:t>
      </w:r>
    </w:p>
    <w:p>
      <w:r>
        <w:t>Replication is tightly regulated; environmental cues (light, temperature, resource availability) and external supervision ensure alignment with safety and ethical standards, preempting runaway “grey goo” scenarios</w:t>
      </w:r>
      <w:r>
        <w:rPr>
          <w:vertAlign w:val="superscript"/>
        </w:rPr>
        <w:t>10</w:t>
      </w:r>
      <w:r>
        <w:t>.</w:t>
      </w:r>
    </w:p>
    <w:p>
      <w:pPr>
        <w:pStyle w:val="heading3"/>
      </w:pPr>
      <w:r>
        <w:t>3.2 Biobot and Synthetic Organoid Systems</w:t>
      </w:r>
    </w:p>
    <w:p>
      <w:r>
        <w:t xml:space="preserve">AI-designed living robots, or Xenobots, have shown </w:t>
      </w:r>
      <w:r>
        <w:rPr>
          <w:i/>
        </w:rPr>
        <w:t>kinematic self-replication</w:t>
      </w:r>
      <w:r>
        <w:t xml:space="preserve"> in the laboratory: AI searches for morphologies that maximize safe, contained reproduction, enabling adaptable, biodegradable, and programmable abundance agents in new contexts (environmental cleanup, regenerative medicine)</w:t>
      </w:r>
      <w:r>
        <w:rPr>
          <w:vertAlign w:val="superscript"/>
        </w:rPr>
        <w:t>18</w:t>
      </w:r>
      <w:r>
        <w:t>.</w:t>
      </w:r>
    </w:p>
    <w:p>
      <w:pPr>
        <w:pStyle w:val="heading3"/>
      </w:pPr>
      <w:r>
        <w:t>3.3 Additive Manufacturing and Digital Fabrication</w:t>
      </w:r>
    </w:p>
    <w:p>
      <w:r>
        <w:t>Advanced FFF (Fused Filament Fabrication) and 3D printing, powered by AI-driven simulation-in-the-loop validation, enable localized, on-demand, and automated production of almost any complex item or system-increasing systemic abundance while minimizing waste, time, and resource input</w:t>
      </w:r>
      <w:r>
        <w:rPr>
          <w:vertAlign w:val="superscript"/>
        </w:rPr>
        <w:t>21</w:t>
      </w:r>
      <w:r>
        <w:t>.</w:t>
      </w:r>
    </w:p>
    <w:p>
      <w:r>
        <w:t>Integration with global sensing and AI harmonizer networks closes the feedback loop: local scarcity triggers remote abundance injection via distributed fabrication or supply chain orchestration.</w:t>
      </w:r>
    </w:p>
    <w:p>
      <w:pPr>
        <w:pStyle w:val="heading3"/>
      </w:pPr>
      <w:r>
        <w:t>3.4 Digital Repositories and Open-Source Engineering</w:t>
      </w:r>
    </w:p>
    <w:p>
      <w:r>
        <w:t>All blueprint, protocol, and process knowledge is published in distributed digital repositories, enabling “universal replicators”-anyone in the network can summon and instantiate abundance through verified local or remote technologies.</w:t>
      </w:r>
    </w:p>
    <w:p>
      <w:pPr>
        <w:pStyle w:val="heading3"/>
      </w:pPr>
      <w:r>
        <w:t>4. Post-Scarcity Roadmap: Steps and Milestones</w:t>
      </w:r>
    </w:p>
    <w:tbl>
      <w:tblPr>
        <w:tblStyle w:val="TableGrid"/>
        <w:tblW w:w="5000" w:type="pct"/>
      </w:tblPr>
      <w:tr>
        <w:trPr>
          <w:cnfStyle w:firstRow="true"/>
        </w:trPr>
        <w:tc>
          <w:p>
            <w:r>
              <w:t>Step</w:t>
            </w:r>
          </w:p>
        </w:tc>
        <w:tc>
          <w:p>
            <w:r>
              <w:t>Milestone</w:t>
            </w:r>
          </w:p>
        </w:tc>
        <w:tc>
          <w:p>
            <w:r>
              <w:t>Description</w:t>
            </w:r>
          </w:p>
        </w:tc>
      </w:tr>
      <w:tr>
        <w:tc>
          <w:p>
            <w:r>
              <w:t>1</w:t>
            </w:r>
          </w:p>
        </w:tc>
        <w:tc>
          <w:p>
            <w:r>
              <w:t>Abundance-Spectra Mapping</w:t>
            </w:r>
          </w:p>
        </w:tc>
        <w:tc>
          <w:p>
            <w:r>
              <w:t>Deploy global sensing arrays and AI to fingerprint spectral zones of abundance and scarcity</w:t>
            </w:r>
            <w:r>
              <w:rPr>
                <w:vertAlign w:val="superscript"/>
              </w:rPr>
              <w:t>16</w:t>
            </w:r>
            <w:r/>
          </w:p>
        </w:tc>
      </w:tr>
      <w:tr>
        <w:tc>
          <w:p>
            <w:r>
              <w:t>2</w:t>
            </w:r>
          </w:p>
        </w:tc>
        <w:tc>
          <w:p>
            <w:r>
              <w:t>First Harmonizer Satellite</w:t>
            </w:r>
          </w:p>
        </w:tc>
        <w:tc>
          <w:p>
            <w:r>
              <w:t>Launch prototype satellites for real-time planetary coherence synchronization</w:t>
            </w:r>
          </w:p>
        </w:tc>
      </w:tr>
      <w:tr>
        <w:tc>
          <w:p>
            <w:r>
              <w:t>3</w:t>
            </w:r>
          </w:p>
        </w:tc>
        <w:tc>
          <w:p>
            <w:r>
              <w:t>Local Replicator Demonstrations</w:t>
            </w:r>
          </w:p>
        </w:tc>
        <w:tc>
          <w:p>
            <w:r>
              <w:t>Field trials of DNA nanobot and synthetic biobot replication with strong safeguards</w:t>
            </w:r>
            <w:r>
              <w:rPr>
                <w:vertAlign w:val="superscript"/>
              </w:rPr>
              <w:t>18</w:t>
            </w:r>
            <w:r/>
          </w:p>
        </w:tc>
      </w:tr>
      <w:tr>
        <w:tc>
          <w:p>
            <w:r>
              <w:t>4</w:t>
            </w:r>
          </w:p>
        </w:tc>
        <w:tc>
          <w:p>
            <w:r>
              <w:t>Distributed TFT Rollout</w:t>
            </w:r>
          </w:p>
        </w:tc>
        <w:tc>
          <w:p>
            <w:r>
              <w:t>TFT nodes (edge, terrestrial, orbital) become interoperative, enabling dynamic abundance injection in response to new scarcity signals</w:t>
            </w:r>
          </w:p>
        </w:tc>
      </w:tr>
      <w:tr>
        <w:tc>
          <w:p>
            <w:r>
              <w:t>5</w:t>
            </w:r>
          </w:p>
        </w:tc>
        <w:tc>
          <w:p>
            <w:r>
              <w:t>Open Abundance Commons</w:t>
            </w:r>
          </w:p>
        </w:tc>
        <w:tc>
          <w:p>
            <w:r>
              <w:t>Enforcement of open-access, transparent AI governance, secured via distributed ledgers and digital twins</w:t>
            </w:r>
          </w:p>
        </w:tc>
      </w:tr>
      <w:tr>
        <w:tc>
          <w:p>
            <w:r>
              <w:t>6</w:t>
            </w:r>
          </w:p>
        </w:tc>
        <w:tc>
          <w:p>
            <w:r>
              <w:t>Full Harmonizer Network</w:t>
            </w:r>
          </w:p>
        </w:tc>
        <w:tc>
          <w:p>
            <w:r>
              <w:t>Global, autonomous, and accountable planetary abundance-scarcity regulatory mesh</w:t>
            </w:r>
          </w:p>
        </w:tc>
      </w:tr>
      <w:tr>
        <w:tc>
          <w:p>
            <w:r>
              <w:t>7</w:t>
            </w:r>
          </w:p>
        </w:tc>
        <w:tc>
          <w:p>
            <w:r>
              <w:t>Societal Transition &amp; UBI</w:t>
            </w:r>
          </w:p>
        </w:tc>
        <w:tc>
          <w:p>
            <w:r>
              <w:t>With automated fulfillment of basic needs, shift focus to UBI, creativity, and societal flourishing</w:t>
            </w:r>
            <w:r>
              <w:rPr>
                <w:vertAlign w:val="superscript"/>
              </w:rPr>
              <w:t>22</w:t>
            </w:r>
            <w:r/>
          </w:p>
        </w:tc>
      </w:tr>
    </w:tbl>
    <w:p>
      <w:r>
        <w:pict>
          <v:rect xmlns:o="urn:schemas-microsoft-com:office:office" xmlns:v="urn:schemas-microsoft-com:vml" style="height:.05pt;mso-width-percent:1000" o:hr="true" o:hrstd="true" o:hralign="center" fillcolor="A0A0A0" stroked="false"/>
        </w:pict>
      </w:r>
    </w:p>
    <w:p>
      <w:pPr>
        <w:pStyle w:val="heading2"/>
      </w:pPr>
      <w:r>
        <w:t>Ethical and Governance Structures for Post-Scarcity AI</w:t>
      </w:r>
    </w:p>
    <w:p>
      <w:pPr>
        <w:pStyle w:val="heading3"/>
      </w:pPr>
      <w:r>
        <w:t>1. Layered AI Governance Model</w:t>
      </w:r>
    </w:p>
    <w:p>
      <w:r>
        <w:t xml:space="preserve">Effective post-scarcity engineering demands </w:t>
      </w:r>
      <w:r>
        <w:rPr>
          <w:b/>
        </w:rPr>
        <w:t>rigorous, adaptive, and multi-level governance</w:t>
      </w:r>
      <w:r>
        <w:rPr>
          <w:vertAlign w:val="superscript"/>
        </w:rPr>
        <w:t>20</w:t>
      </w:r>
      <w:r>
        <w:rPr>
          <w:vertAlign w:val="superscript"/>
        </w:rPr>
        <w:t>13</w:t>
      </w:r>
      <w:r>
        <w:t>.</w:t>
      </w:r>
    </w:p>
    <w:p>
      <w:pPr>
        <w:pStyle w:val="heading3"/>
      </w:pPr>
      <w:r>
        <w:t>1.1 Scope and Principles</w:t>
      </w:r>
    </w:p>
    <w:p>
      <w:r>
        <w:t>Modern frameworks (e.g., EU AI Act, NIST AI RMF, IEEE, UNESCO, OECD) and open-source models emphasize:</w:t>
      </w:r>
    </w:p>
    <w:p>
      <w:pPr>
        <w:pStyle w:val="ListParagraph"/>
        <w:numPr>
          <w:ilvl w:val="0"/>
          <w:numId w:val="9"/>
        </w:numPr>
      </w:pPr>
      <w:r>
        <w:t>Human oversight and centricity;</w:t>
      </w:r>
    </w:p>
    <w:p>
      <w:pPr>
        <w:pStyle w:val="ListParagraph"/>
        <w:numPr>
          <w:ilvl w:val="0"/>
          <w:numId w:val="9"/>
        </w:numPr>
      </w:pPr>
      <w:r>
        <w:t>Transparency and explainability;</w:t>
      </w:r>
    </w:p>
    <w:p>
      <w:pPr>
        <w:pStyle w:val="ListParagraph"/>
        <w:numPr>
          <w:ilvl w:val="0"/>
          <w:numId w:val="9"/>
        </w:numPr>
      </w:pPr>
      <w:r>
        <w:t>Continuous monitoring and robust feedback;</w:t>
      </w:r>
    </w:p>
    <w:p>
      <w:pPr>
        <w:pStyle w:val="ListParagraph"/>
        <w:numPr>
          <w:ilvl w:val="0"/>
          <w:numId w:val="9"/>
        </w:numPr>
      </w:pPr>
      <w:r>
        <w:t>Fairness, equity, and non-discrimination;</w:t>
      </w:r>
    </w:p>
    <w:p>
      <w:pPr>
        <w:pStyle w:val="ListParagraph"/>
        <w:numPr>
          <w:ilvl w:val="0"/>
          <w:numId w:val="9"/>
        </w:numPr>
      </w:pPr>
      <w:r>
        <w:t>Safety, resilience, and environmental responsibility</w:t>
      </w:r>
      <w:r>
        <w:rPr>
          <w:vertAlign w:val="superscript"/>
        </w:rPr>
        <w:t>12</w:t>
      </w:r>
      <w:r>
        <w:t>.</w:t>
      </w:r>
    </w:p>
    <w:p>
      <w:r>
        <w:t>All post-scarcity AI and TFT deployments must prioritize these principles at all lifecycle stages-from design, deployment, and operation, to sunsetting, decommissioning, or repurposing.</w:t>
      </w:r>
    </w:p>
    <w:p>
      <w:pPr>
        <w:pStyle w:val="heading3"/>
      </w:pPr>
      <w:r>
        <w:t>1.2 Five-Tiered Governance</w:t>
      </w:r>
    </w:p>
    <w:p>
      <w:r>
        <w:t>Adapting from contemporary literature and practice, governance structures span</w:t>
      </w:r>
      <w:r>
        <w:rPr>
          <w:vertAlign w:val="superscript"/>
        </w:rPr>
        <w:t>20</w:t>
      </w:r>
      <w:r>
        <w:t>:</w:t>
      </w:r>
    </w:p>
    <w:p>
      <w:pPr>
        <w:pStyle w:val="ListParagraph"/>
        <w:numPr>
          <w:ilvl w:val="0"/>
          <w:numId w:val="10"/>
        </w:numPr>
      </w:pPr>
      <w:r>
        <w:rPr>
          <w:b/>
        </w:rPr>
        <w:t>Team-Level</w:t>
      </w:r>
      <w:r>
        <w:t>: Project and node teams conduct ethical risk, impact assessment, and continual review of local AI/TFT activities.</w:t>
      </w:r>
    </w:p>
    <w:p>
      <w:pPr>
        <w:pStyle w:val="ListParagraph"/>
        <w:numPr>
          <w:ilvl w:val="0"/>
          <w:numId w:val="10"/>
        </w:numPr>
      </w:pPr>
      <w:r>
        <w:rPr>
          <w:b/>
        </w:rPr>
        <w:t>Org/Consortium-Level</w:t>
      </w:r>
      <w:r>
        <w:t>: Platforms, infrastructures, and open-source commons embed live (and post-mortem) accountability and auditability.</w:t>
      </w:r>
    </w:p>
    <w:p>
      <w:pPr>
        <w:pStyle w:val="ListParagraph"/>
        <w:numPr>
          <w:ilvl w:val="0"/>
          <w:numId w:val="10"/>
        </w:numPr>
      </w:pPr>
      <w:r>
        <w:rPr>
          <w:b/>
        </w:rPr>
        <w:t>Industry/Community-Level</w:t>
      </w:r>
      <w:r>
        <w:t>: Professional, technical, and scientific networks share best practices, red-flag reporting, and collective stewardship.</w:t>
      </w:r>
    </w:p>
    <w:p>
      <w:pPr>
        <w:pStyle w:val="ListParagraph"/>
        <w:numPr>
          <w:ilvl w:val="0"/>
          <w:numId w:val="10"/>
        </w:numPr>
      </w:pPr>
      <w:r>
        <w:rPr>
          <w:b/>
        </w:rPr>
        <w:t>National-Level</w:t>
      </w:r>
      <w:r>
        <w:t>: Regulatory oversight, standardization, legally binding frameworks, export controls, and public reporting.</w:t>
      </w:r>
    </w:p>
    <w:p>
      <w:pPr>
        <w:pStyle w:val="ListParagraph"/>
        <w:numPr>
          <w:ilvl w:val="0"/>
          <w:numId w:val="10"/>
        </w:numPr>
      </w:pPr>
      <w:r>
        <w:rPr>
          <w:b/>
        </w:rPr>
        <w:t>International/Commons-Level</w:t>
      </w:r>
      <w:r>
        <w:t>: Adaptation and harmonization with UN, UNESCO, OECD, and G7 AI codes and planetary stewardship bodies.</w:t>
      </w:r>
    </w:p>
    <w:p>
      <w:pPr>
        <w:pStyle w:val="heading3"/>
      </w:pPr>
      <w:r>
        <w:t>1.3 Board and Leadership Responsibilities</w:t>
      </w:r>
    </w:p>
    <w:p>
      <w:r>
        <w:t>As organizations and societies adopt post-scarcity AI, board-level engagement is crucial: explicit AI strategies, regular risk assessment, delineation of oversight responsibilities, periodic review and adaptation, succession planning for AI-fluent leadership, and stakeholder engagement must be institutionalized</w:t>
      </w:r>
      <w:r>
        <w:rPr>
          <w:vertAlign w:val="superscript"/>
        </w:rPr>
        <w:t>20</w:t>
      </w:r>
      <w:r>
        <w:t>.</w:t>
      </w:r>
    </w:p>
    <w:p>
      <w:pPr>
        <w:pStyle w:val="heading3"/>
      </w:pPr>
      <w:r>
        <w:t>2. Responsible Innovation and Adaptive Ethics</w:t>
      </w:r>
    </w:p>
    <w:p>
      <w:r>
        <w:rPr>
          <w:b/>
        </w:rPr>
        <w:t>Ethics-by-design</w:t>
      </w:r>
      <w:r>
        <w:t xml:space="preserve"> becomes paramount: AI engineers, system designers, and community stakeholders co-create adaptive playbooks and code libraries to screen for bias, errors, and misalignment in abundance-scarcity deployments</w:t>
      </w:r>
      <w:r>
        <w:rPr>
          <w:vertAlign w:val="superscript"/>
        </w:rPr>
        <w:t>13</w:t>
      </w:r>
      <w:r>
        <w:t>.</w:t>
      </w:r>
    </w:p>
    <w:p>
      <w:r>
        <w:rPr>
          <w:b/>
        </w:rPr>
        <w:t>Real-world learnings</w:t>
      </w:r>
      <w:r>
        <w:t xml:space="preserve"> from IBM and other leaders demonstrate that toolkit-based safeguards (privacy, explainability, benevolence, fairness) and open, collaborative engagement with affected communities and stakeholders fortify trust and social license</w:t>
      </w:r>
      <w:r>
        <w:rPr>
          <w:vertAlign w:val="superscript"/>
        </w:rPr>
        <w:t>23</w:t>
      </w:r>
      <w:r>
        <w:t>.</w:t>
      </w:r>
    </w:p>
    <w:p>
      <w:pPr>
        <w:pStyle w:val="heading3"/>
      </w:pPr>
      <w:r>
        <w:t>3. Accountability, Transparency, and Redress</w:t>
      </w:r>
    </w:p>
    <w:p>
      <w:r>
        <w:t xml:space="preserve">Post-scarcity systems must </w:t>
      </w:r>
      <w:r>
        <w:rPr>
          <w:i/>
        </w:rPr>
        <w:t>not</w:t>
      </w:r>
      <w:r>
        <w:t xml:space="preserve"> be black boxes. Full traceability, open reporting, transparent activation logs, versioning, and robust error handling are mandated, with proportional adaptive controls that match each use case’s impact and risk profile.</w:t>
      </w:r>
    </w:p>
    <w:p>
      <w:r>
        <w:t>Open audit trails, ethical “kill switches,” sandboxing, staged deployments, and real-time reporting of adverse or unexpected outcomes are embedded by default.</w:t>
      </w:r>
    </w:p>
    <w:p>
      <w:pPr>
        <w:pStyle w:val="heading3"/>
      </w:pPr>
      <w:r>
        <w:t>4. Simulation-in-the-Loop, Digital Twins, and Safety Validation</w:t>
      </w:r>
    </w:p>
    <w:p>
      <w:r>
        <w:t xml:space="preserve">All TFT/AI deployments intended to manifest abundance or mitigate scarcity are validated within </w:t>
      </w:r>
      <w:r>
        <w:rPr>
          <w:i/>
        </w:rPr>
        <w:t>digital twin</w:t>
      </w:r>
      <w:r>
        <w:t xml:space="preserve"> environments that precisely simulate spectral flows, coherence-interference transitions, and system-of-systems interactions against experimental and real-world constraints.</w:t>
      </w:r>
    </w:p>
    <w:p>
      <w:r>
        <w:t>This simulation-in-the-loop approach allows risk-free exploration, debugging, and continuous improvement.</w:t>
      </w:r>
    </w:p>
    <w:p>
      <w:pPr>
        <w:pStyle w:val="heading3"/>
      </w:pPr>
      <w:r>
        <w:t>5. Addressing Existential and Anthropogenic Risks</w:t>
      </w:r>
    </w:p>
    <w:p>
      <w:r>
        <w:t>While the vision is transformative, this work recognizes the risk of:</w:t>
      </w:r>
    </w:p>
    <w:p>
      <w:pPr>
        <w:pStyle w:val="ListParagraph"/>
        <w:numPr>
          <w:ilvl w:val="0"/>
          <w:numId w:val="11"/>
        </w:numPr>
      </w:pPr>
      <w:r>
        <w:t>Technogenic resource monopolization or predation;</w:t>
      </w:r>
    </w:p>
    <w:p>
      <w:pPr>
        <w:pStyle w:val="ListParagraph"/>
        <w:numPr>
          <w:ilvl w:val="0"/>
          <w:numId w:val="11"/>
        </w:numPr>
      </w:pPr>
      <w:r>
        <w:t>Weaponization of harmonizer or replicator agents;</w:t>
      </w:r>
    </w:p>
    <w:p>
      <w:pPr>
        <w:pStyle w:val="ListParagraph"/>
        <w:numPr>
          <w:ilvl w:val="0"/>
          <w:numId w:val="11"/>
        </w:numPr>
      </w:pPr>
      <w:r>
        <w:t>Decoupling of abundance management from democratic/social control;</w:t>
      </w:r>
    </w:p>
    <w:p>
      <w:pPr>
        <w:pStyle w:val="ListParagraph"/>
        <w:numPr>
          <w:ilvl w:val="0"/>
          <w:numId w:val="11"/>
        </w:numPr>
      </w:pPr>
      <w:r>
        <w:t>Loss of agency or dignity in fully automated societies.</w:t>
      </w:r>
    </w:p>
    <w:p>
      <w:r>
        <w:t>Robust, cross-disciplinary engagement (spanning ethics, anthropology, law, science, and indigenous knowledge) is built into all stages of post-scarcity transition.</w:t>
      </w:r>
    </w:p>
    <w:p>
      <w:r>
        <w:pict>
          <v:rect xmlns:o="urn:schemas-microsoft-com:office:office" xmlns:v="urn:schemas-microsoft-com:vml" style="height:.05pt;mso-width-percent:1000" o:hr="true" o:hrstd="true" o:hralign="center" fillcolor="A0A0A0" stroked="false"/>
        </w:pict>
      </w:r>
    </w:p>
    <w:p>
      <w:pPr>
        <w:pStyle w:val="heading2"/>
      </w:pPr>
      <w:r>
        <w:t>Conclusion</w:t>
      </w:r>
    </w:p>
    <w:p>
      <w:r>
        <w:t xml:space="preserve">Through the </w:t>
      </w:r>
      <w:r>
        <w:rPr>
          <w:b/>
        </w:rPr>
        <w:t>Triadic Framework of Forces, Fluids, and Frequencies (FFF)</w:t>
      </w:r>
      <w:r>
        <w:t xml:space="preserve">-and its operationalization in </w:t>
      </w:r>
      <w:r>
        <w:rPr>
          <w:b/>
        </w:rPr>
        <w:t>Triadic Framework Technology (TFT)</w:t>
      </w:r>
      <w:r>
        <w:t>-this work charts a robust path toward the measurable engineering of abundance and scarcity as dynamic, spectral phenomena. By treating abundance as coherence and scarcity as interference, the FFF model unites insights from physics, engineering, AI, and social science, mapping a new ontology and methodology for abundance management at every level of human and planetary organization.</w:t>
      </w:r>
    </w:p>
    <w:p>
      <w:r>
        <w:rPr>
          <w:b/>
        </w:rPr>
        <w:t>Key elements of this roadmap include</w:t>
      </w:r>
      <w:r>
        <w:t>:</w:t>
      </w:r>
    </w:p>
    <w:p>
      <w:pPr>
        <w:pStyle w:val="ListParagraph"/>
        <w:numPr>
          <w:ilvl w:val="0"/>
          <w:numId w:val="12"/>
        </w:numPr>
      </w:pPr>
      <w:r>
        <w:t>Theoretical and experimental models that reinterpret resource states as coherence-interference spectra, measurable and actionable across multiple domains;</w:t>
      </w:r>
    </w:p>
    <w:p>
      <w:pPr>
        <w:pStyle w:val="ListParagraph"/>
        <w:numPr>
          <w:ilvl w:val="0"/>
          <w:numId w:val="12"/>
        </w:numPr>
      </w:pPr>
      <w:r>
        <w:t>Advanced sensing architectures and AI pipelines for real-time fingerprinting of abundance-scarcity zones on a planetary scale;</w:t>
      </w:r>
    </w:p>
    <w:p>
      <w:pPr>
        <w:pStyle w:val="ListParagraph"/>
        <w:numPr>
          <w:ilvl w:val="0"/>
          <w:numId w:val="12"/>
        </w:numPr>
      </w:pPr>
      <w:r>
        <w:t>Harmonizer satellites and distributed AI for planetary-scale coherence management via frequency comb synchronization and dynamic feedback;</w:t>
      </w:r>
    </w:p>
    <w:p>
      <w:pPr>
        <w:pStyle w:val="ListParagraph"/>
        <w:numPr>
          <w:ilvl w:val="0"/>
          <w:numId w:val="12"/>
        </w:numPr>
      </w:pPr>
      <w:r>
        <w:t>Replication technologies (DNA nanobots, Xenobots, additive manufacturing) enabling scalable, safe amplification of abundance in controlled, ethical, and adaptable contexts;</w:t>
      </w:r>
    </w:p>
    <w:p>
      <w:pPr>
        <w:pStyle w:val="ListParagraph"/>
        <w:numPr>
          <w:ilvl w:val="0"/>
          <w:numId w:val="12"/>
        </w:numPr>
      </w:pPr>
      <w:r>
        <w:t>Layered, adaptive governance structures-integrating lessons from national, international, and industrial initiatives-that ensure transparency, accountability, stakeholder engagement, and informed consent in all post-scarcity deployments.</w:t>
      </w:r>
    </w:p>
    <w:p>
      <w:r>
        <w:rPr>
          <w:b/>
        </w:rPr>
        <w:t>The future of post-scarcity engineering lies not in blind abundance, but in the careful, adaptive, and ethical shaping of coherent interactions-harnessing the deep grammar of forces, fluids, and frequencies via robust, intelligent, and accountable technology.</w:t>
      </w:r>
    </w:p>
    <w:p>
      <w:r>
        <w:t>This report invites collaboration, experimentation, and debate across disciplinary and sectorial boundaries: building a world where scarcity and abundance are mapped, measured, and managed for the flourishing of all.</w:t>
      </w:r>
    </w:p>
    <w:p>
      <w:r>
        <w:pict>
          <v:rect xmlns:o="urn:schemas-microsoft-com:office:office" xmlns:v="urn:schemas-microsoft-com:vml" style="height:.05pt;mso-width-percent:1000" o:hr="true" o:hrstd="true" o:hralign="center" fillcolor="A0A0A0" stroked="false"/>
        </w:pict>
      </w:r>
    </w:p>
    <w:p>
      <w:r>
        <w:rPr>
          <w:b/>
        </w:rPr>
        <w:t>Figures and Tables Mentioned (placeholders):</w:t>
      </w:r>
    </w:p>
    <w:p>
      <w:pPr>
        <w:pStyle w:val="ListParagraph"/>
        <w:numPr>
          <w:ilvl w:val="0"/>
          <w:numId w:val="13"/>
        </w:numPr>
      </w:pPr>
      <w:r>
        <w:rPr>
          <w:i/>
        </w:rPr>
        <w:t>Figure 1</w:t>
      </w:r>
      <w:r>
        <w:t>: Abundance and Scarcity as Spectral Phenomena-Conceptual Diagram.</w:t>
      </w:r>
    </w:p>
    <w:p>
      <w:pPr>
        <w:pStyle w:val="ListParagraph"/>
        <w:numPr>
          <w:ilvl w:val="0"/>
          <w:numId w:val="13"/>
        </w:numPr>
      </w:pPr>
      <w:r>
        <w:rPr>
          <w:i/>
        </w:rPr>
        <w:t>Figure 2</w:t>
      </w:r>
      <w:r>
        <w:t>: Fingerprinting Pipeline-Remote Sensing, AI Analysis, and Harmonizer Deployment.</w:t>
      </w:r>
    </w:p>
    <w:p>
      <w:pPr>
        <w:pStyle w:val="ListParagraph"/>
        <w:numPr>
          <w:ilvl w:val="0"/>
          <w:numId w:val="13"/>
        </w:numPr>
      </w:pPr>
      <w:r>
        <w:rPr>
          <w:i/>
        </w:rPr>
        <w:t>Figure 3</w:t>
      </w:r>
      <w:r>
        <w:t>: Replicator Technology Schematic-DNA Nanobot Workflow.</w:t>
      </w:r>
    </w:p>
    <w:p>
      <w:pPr>
        <w:pStyle w:val="ListParagraph"/>
        <w:numPr>
          <w:ilvl w:val="0"/>
          <w:numId w:val="13"/>
        </w:numPr>
      </w:pPr>
      <w:r>
        <w:rPr>
          <w:i/>
        </w:rPr>
        <w:t>Table 1</w:t>
      </w:r>
      <w:r>
        <w:t>: Spectral Coherence Metrics-Interference-Scarcity vs. Coherence-Abundance.</w:t>
      </w:r>
    </w:p>
    <w:p>
      <w:pPr>
        <w:pStyle w:val="ListParagraph"/>
        <w:numPr>
          <w:ilvl w:val="0"/>
          <w:numId w:val="13"/>
        </w:numPr>
      </w:pPr>
      <w:r>
        <w:rPr>
          <w:i/>
        </w:rPr>
        <w:t>Table 2</w:t>
      </w:r>
      <w:r>
        <w:t>: Steps and Milestones in the Post-Scarcity Roadmap.</w:t>
      </w:r>
    </w:p>
    <w:p>
      <w:pPr>
        <w:pStyle w:val="ListParagraph"/>
        <w:numPr>
          <w:ilvl w:val="0"/>
          <w:numId w:val="13"/>
        </w:numPr>
      </w:pPr>
      <w:r>
        <w:rPr>
          <w:i/>
        </w:rPr>
        <w:t>Table 3</w:t>
      </w:r>
      <w:r>
        <w:t>: Layered AI Governance Structures for Post-Scarcity Systems.</w:t>
      </w:r>
    </w:p>
    <w:p>
      <w:r>
        <w:rPr>
          <w:i/>
        </w:rPr>
        <w:t>[</w:t>
      </w:r>
    </w:p>
    <w:p>
      <w:r>
        <w:pict>
          <v:rect xmlns:o="urn:schemas-microsoft-com:office:office" xmlns:v="urn:schemas-microsoft-com:vml" style="height:.05pt;mso-width-percent:1000" o:hr="true" o:hrstd="true" o:hralign="center" fillcolor="A0A0A0" stroked="false"/>
        </w:pict>
      </w:r>
    </w:p>
    <w:p>
      <w:r>
        <w:rPr>
          <w:b/>
        </w:rPr>
        <w:t>End of Report.</w:t>
      </w:r>
    </w:p>
    <w:p>
      <w:r>
        <w:pict>
          <v:rect xmlns:o="urn:schemas-microsoft-com:office:office" xmlns:v="urn:schemas-microsoft-com:vml" style="height:.05pt;mso-width-percent:1000" o:hr="true" o:hrstd="true" o:hralign="center" fillcolor="A0A0A0" stroked="false"/>
        </w:pict>
      </w:r>
    </w:p>
    <w:p>
      <w:pPr>
        <w:pStyle w:val="heading1"/>
      </w:pPr>
      <w:r>
        <w:t>References (29)</w:t>
      </w:r>
    </w:p>
    <w:p>
      <w:r>
        <w:t xml:space="preserve">1. </w:t>
      </w:r>
      <w:r>
        <w:rPr>
          <w:i/>
        </w:rPr>
        <w:t>A Roadmap to a Post-Scarcity Society - Lorenzo Pieri’s Blog</w:t>
      </w:r>
      <w:r>
        <w:t xml:space="preserve">. </w:t>
      </w:r>
      <w:hyperlink xmlns:r="http://schemas.openxmlformats.org/officeDocument/2006/relationships" r:id="Ra31a506293664e41">
        <w:r>
          <w:t>https://lorenzopieri.com/post_scarcity/</w:t>
        </w:r>
      </w:hyperlink>
    </w:p>
    <w:p>
      <w:r>
        <w:t xml:space="preserve">2. </w:t>
      </w:r>
      <w:r>
        <w:rPr>
          <w:i/>
        </w:rPr>
        <w:t>Awesome Post Scarcity - GitHub</w:t>
      </w:r>
      <w:r>
        <w:t xml:space="preserve">. </w:t>
      </w:r>
      <w:hyperlink xmlns:r="http://schemas.openxmlformats.org/officeDocument/2006/relationships" r:id="R9a540eb7177145b5">
        <w:r>
          <w:t>https://github.com/lorepieri8/awesome-post-scarcity</w:t>
        </w:r>
      </w:hyperlink>
    </w:p>
    <w:p>
      <w:r>
        <w:t xml:space="preserve">3. </w:t>
      </w:r>
      <w:r>
        <w:rPr>
          <w:i/>
        </w:rPr>
        <w:t>Interference and Coherence - Interactive Optics</w:t>
      </w:r>
      <w:r>
        <w:t xml:space="preserve">. </w:t>
      </w:r>
      <w:hyperlink xmlns:r="http://schemas.openxmlformats.org/officeDocument/2006/relationships" r:id="R39f36a8fc8d9422d">
        <w:r>
          <w:t>https://interactivetextbooks.tudelft.nl/tn2421/content/Chap5_Interference/InterferenceCoherence_2022_01Clean.html</w:t>
        </w:r>
      </w:hyperlink>
    </w:p>
    <w:p>
      <w:r>
        <w:t xml:space="preserve">4. </w:t>
      </w:r>
      <w:r>
        <w:rPr>
          <w:i/>
        </w:rPr>
        <w:t>Coherence, Interference and Visibility - arXiv.org</w:t>
      </w:r>
      <w:r>
        <w:t xml:space="preserve">. </w:t>
      </w:r>
      <w:hyperlink xmlns:r="http://schemas.openxmlformats.org/officeDocument/2006/relationships" r:id="R40e5c0ecb8c64609">
        <w:r>
          <w:t>https://arxiv.org/pdf/1905.00917</w:t>
        </w:r>
      </w:hyperlink>
    </w:p>
    <w:p>
      <w:r>
        <w:t xml:space="preserve">5. </w:t>
      </w:r>
      <w:r>
        <w:rPr>
          <w:i/>
        </w:rPr>
        <w:t>Coherence (physics) - Wikipedia</w:t>
      </w:r>
      <w:r>
        <w:t xml:space="preserve">. </w:t>
      </w:r>
      <w:hyperlink xmlns:r="http://schemas.openxmlformats.org/officeDocument/2006/relationships" r:id="R5ee767e6dc7f4592">
        <w:r>
          <w:t>https://en.wikipedia.org/wiki/Coherence_%28physics%29</w:t>
        </w:r>
      </w:hyperlink>
    </w:p>
    <w:p>
      <w:r>
        <w:t xml:space="preserve">6. </w:t>
      </w:r>
      <w:r>
        <w:rPr>
          <w:i/>
        </w:rPr>
        <w:t>Characterization of energy transfer and triadic interactions of ...</w:t>
      </w:r>
      <w:r>
        <w:t xml:space="preserve">. </w:t>
      </w:r>
      <w:hyperlink xmlns:r="http://schemas.openxmlformats.org/officeDocument/2006/relationships" r:id="R332f7fca3d904f8b">
        <w:r>
          <w:t>https://par.nsf.gov/servlets/purl/10487171</w:t>
        </w:r>
      </w:hyperlink>
    </w:p>
    <w:p>
      <w:r>
        <w:t xml:space="preserve">7. </w:t>
      </w:r>
      <w:r>
        <w:rPr>
          <w:i/>
        </w:rPr>
        <w:t>Triad resonant instability of horizontally periodic internal modes</w:t>
      </w:r>
      <w:r>
        <w:t xml:space="preserve">. </w:t>
      </w:r>
      <w:hyperlink xmlns:r="http://schemas.openxmlformats.org/officeDocument/2006/relationships" r:id="R3a25aa71019a4301">
        <w:r>
          <w:t>https://sites.ualberta.ca/~bsuther/papers/psimode/reprint.pdf</w:t>
        </w:r>
      </w:hyperlink>
    </w:p>
    <w:p>
      <w:r>
        <w:t xml:space="preserve">8. </w:t>
      </w:r>
      <w:r>
        <w:rPr>
          <w:i/>
        </w:rPr>
        <w:t>[</w:t>
      </w:r>
      <w:r>
        <w:t xml:space="preserve">. </w:t>
      </w:r>
      <w:hyperlink xmlns:r="http://schemas.openxmlformats.org/officeDocument/2006/relationships" r:id="R757bc98388344263">
        <w:r>
          <w:t>https://arxiv.org/abs/2504.00896</w:t>
        </w:r>
      </w:hyperlink>
    </w:p>
    <w:p>
      <w:r>
        <w:t xml:space="preserve">9. </w:t>
      </w:r>
      <w:r>
        <w:rPr>
          <w:i/>
        </w:rPr>
        <w:t>Signal Coherence and Water Detection Algorithms for the ESA HydroGNSS ...</w:t>
      </w:r>
      <w:r>
        <w:t xml:space="preserve">. </w:t>
      </w:r>
      <w:hyperlink xmlns:r="http://schemas.openxmlformats.org/officeDocument/2006/relationships" r:id="R3f28d4b3069748c4">
        <w:r>
          <w:t>https://digital.csic.es/bitstream/10261/382735/1/Signal_Coherence_and_Water_Detection_Algorithms.pdf</w:t>
        </w:r>
      </w:hyperlink>
    </w:p>
    <w:p>
      <w:r>
        <w:t xml:space="preserve">10. </w:t>
      </w:r>
      <w:r>
        <w:rPr>
          <w:i/>
        </w:rPr>
        <w:t xml:space="preserve">DNA nanobots can exponentially self-replicate </w:t>
      </w:r>
      <w:r>
        <w:t xml:space="preserve">. </w:t>
      </w:r>
      <w:hyperlink xmlns:r="http://schemas.openxmlformats.org/officeDocument/2006/relationships" r:id="Rd616045a36ff4b05">
        <w:r>
          <w:t>https://www.newscientist.com/article/2406181-dna-nanobots-can-exponentially-self-replicate/</w:t>
        </w:r>
      </w:hyperlink>
    </w:p>
    <w:p>
      <w:r>
        <w:t xml:space="preserve">11. </w:t>
      </w:r>
      <w:r>
        <w:rPr>
          <w:i/>
        </w:rPr>
        <w:t>spectrai_manuscript - arXiv.org</w:t>
      </w:r>
      <w:r>
        <w:t xml:space="preserve">. </w:t>
      </w:r>
      <w:hyperlink xmlns:r="http://schemas.openxmlformats.org/officeDocument/2006/relationships" r:id="Rbcbbbaf6ebc54d6c">
        <w:r>
          <w:t>https://arxiv.org/pdf/2108.07595</w:t>
        </w:r>
      </w:hyperlink>
    </w:p>
    <w:p>
      <w:r>
        <w:t xml:space="preserve">12. </w:t>
      </w:r>
      <w:r>
        <w:rPr>
          <w:i/>
        </w:rPr>
        <w:t>Implementing AI Governance: from Framework to Practice</w:t>
      </w:r>
      <w:r>
        <w:t xml:space="preserve">. </w:t>
      </w:r>
      <w:hyperlink xmlns:r="http://schemas.openxmlformats.org/officeDocument/2006/relationships" r:id="Rb17d46bce56c4515">
        <w:r>
          <w:t>https://futurium.ec.europa.eu/en/european-ai-alliance/document/implementing-ai-governance-framework-practice</w:t>
        </w:r>
      </w:hyperlink>
    </w:p>
    <w:p>
      <w:r>
        <w:t xml:space="preserve">13. </w:t>
      </w:r>
      <w:r>
        <w:rPr>
          <w:i/>
        </w:rPr>
        <w:t>How to Avoid Ethical Red Flags in Your AI Projects</w:t>
      </w:r>
      <w:r>
        <w:t xml:space="preserve">. </w:t>
      </w:r>
      <w:hyperlink xmlns:r="http://schemas.openxmlformats.org/officeDocument/2006/relationships" r:id="Rc0afd6b6556d4e88">
        <w:r>
          <w:t>https://spectrum.ieee.org/ai-ethics-advice</w:t>
        </w:r>
      </w:hyperlink>
    </w:p>
    <w:p>
      <w:r>
        <w:t xml:space="preserve">14. </w:t>
      </w:r>
      <w:r>
        <w:rPr>
          <w:i/>
        </w:rPr>
        <w:t>Location Based Distributed Spectral Clustering for Wireless Sensor Networks</w:t>
      </w:r>
      <w:r>
        <w:t xml:space="preserve">. </w:t>
      </w:r>
      <w:hyperlink xmlns:r="http://schemas.openxmlformats.org/officeDocument/2006/relationships" r:id="R6a0fb17d08cd418e">
        <w:r>
          <w:t>https://sspd.eng.ed.ac.uk/sites/sspd.eng.ed.ac.uk/files/attachments/basicpage/20171219/Session%206.1.pdf</w:t>
        </w:r>
      </w:hyperlink>
    </w:p>
    <w:p>
      <w:r>
        <w:t xml:space="preserve">15. </w:t>
      </w:r>
      <w:r>
        <w:rPr>
          <w:i/>
        </w:rPr>
        <w:t>Optical interference by amplitude measurement</w:t>
      </w:r>
      <w:r>
        <w:t xml:space="preserve">. </w:t>
      </w:r>
      <w:hyperlink xmlns:r="http://schemas.openxmlformats.org/officeDocument/2006/relationships" r:id="R5a0fdae952e44757">
        <w:r>
          <w:t>https://link.aps.org/doi/10.1103/PhysRevResearch.7.013255</w:t>
        </w:r>
      </w:hyperlink>
    </w:p>
    <w:p>
      <w:r>
        <w:t xml:space="preserve">16. </w:t>
      </w:r>
      <w:r>
        <w:rPr>
          <w:i/>
        </w:rPr>
        <w:t xml:space="preserve">Hyperspectral Mapping </w:t>
      </w:r>
      <w:r>
        <w:t xml:space="preserve">. </w:t>
      </w:r>
      <w:hyperlink xmlns:r="http://schemas.openxmlformats.org/officeDocument/2006/relationships" r:id="R6fa6d76994a9453e">
        <w:r>
          <w:t>https://www.usgs.gov/special-topics/earth-mri/hyperspectral-mapping</w:t>
        </w:r>
      </w:hyperlink>
    </w:p>
    <w:p>
      <w:r>
        <w:t xml:space="preserve">17. </w:t>
      </w:r>
      <w:r>
        <w:rPr>
          <w:i/>
        </w:rPr>
        <w:t>We Can Build a Post-Scarcity Energy World: But Only If We Change How We ...</w:t>
      </w:r>
      <w:r>
        <w:t xml:space="preserve">. </w:t>
      </w:r>
      <w:hyperlink xmlns:r="http://schemas.openxmlformats.org/officeDocument/2006/relationships" r:id="Re28ae95e9e9b4409">
        <w:r>
          <w:t>https://ageoftransformation.org/we-can-build-a-post-scarcity-energy-world-but-only-if-we-change-how-we-build-it/</w:t>
        </w:r>
      </w:hyperlink>
    </w:p>
    <w:p>
      <w:r>
        <w:t xml:space="preserve">18. </w:t>
      </w:r>
      <w:r>
        <w:rPr>
          <w:i/>
        </w:rPr>
        <w:t>Team builds first living robots that can reproduce - ScienceDaily</w:t>
      </w:r>
      <w:r>
        <w:t xml:space="preserve">. </w:t>
      </w:r>
      <w:hyperlink xmlns:r="http://schemas.openxmlformats.org/officeDocument/2006/relationships" r:id="Rc80d94173fab4c32">
        <w:r>
          <w:t>https://www.sciencedaily.com/releases/2021/11/211129155020.htm</w:t>
        </w:r>
      </w:hyperlink>
    </w:p>
    <w:p>
      <w:r>
        <w:t xml:space="preserve">19. </w:t>
      </w:r>
      <w:r>
        <w:rPr>
          <w:i/>
        </w:rPr>
        <w:t>Prediction and Experimental Validation of Part Thermal History in Fused ...</w:t>
      </w:r>
      <w:r>
        <w:t xml:space="preserve">. </w:t>
      </w:r>
      <w:hyperlink xmlns:r="http://schemas.openxmlformats.org/officeDocument/2006/relationships" r:id="R16fe79b9fa004929">
        <w:r>
          <w:t>https://par.nsf.gov/servlets/purl/10140508</w:t>
        </w:r>
      </w:hyperlink>
    </w:p>
    <w:p>
      <w:r>
        <w:t xml:space="preserve">21. </w:t>
      </w:r>
      <w:r>
        <w:rPr>
          <w:i/>
        </w:rPr>
        <w:t>ANALYSIS AND EXPERIMENTAL VERIFICATION OF POLYMER MELT NOZZLE PRESSURE ...</w:t>
      </w:r>
      <w:r>
        <w:t xml:space="preserve">. </w:t>
      </w:r>
      <w:hyperlink xmlns:r="http://schemas.openxmlformats.org/officeDocument/2006/relationships" r:id="Rad90ab182dcc4306">
        <w:r>
          <w:t>https://speautomotive.com/wp-content/uploads/2020/12/Analysis-and-Experimental-Verification-of-Polymer-Melt-Nozzle-Pressure-Drop-in-Fused-Filament-Fabrication-Additive-Manufacturing.pdf</w:t>
        </w:r>
      </w:hyperlink>
    </w:p>
    <w:p>
      <w:r>
        <w:t xml:space="preserve">20. </w:t>
      </w:r>
      <w:r>
        <w:rPr>
          <w:i/>
        </w:rPr>
        <w:t>Strategic Governance of AI: A Roadmap for the Future</w:t>
      </w:r>
      <w:r>
        <w:t xml:space="preserve">. </w:t>
      </w:r>
      <w:hyperlink xmlns:r="http://schemas.openxmlformats.org/officeDocument/2006/relationships" r:id="R68d139e9f32647c4">
        <w:r>
          <w:t>https://corpgov.law.harvard.edu/2025/04/24/strategic-governance-of-ai-a-roadmap-for-the-future/</w:t>
        </w:r>
      </w:hyperlink>
    </w:p>
    <w:p>
      <w:r>
        <w:t xml:space="preserve">22. </w:t>
      </w:r>
      <w:r>
        <w:rPr>
          <w:i/>
        </w:rPr>
        <w:t>A Roadmap to a Post-Scarcity Economy - LessWrong</w:t>
      </w:r>
      <w:r>
        <w:t xml:space="preserve">. </w:t>
      </w:r>
      <w:hyperlink xmlns:r="http://schemas.openxmlformats.org/officeDocument/2006/relationships" r:id="Rf9f3b62ee59b4dfd">
        <w:r>
          <w:t>https://www.lesswrong.com/posts/kXeeidB34DJJAPS3W/a-roadmap-to-a-post-scarcity-economy</w:t>
        </w:r>
      </w:hyperlink>
    </w:p>
    <w:p>
      <w:r>
        <w:t xml:space="preserve">23. </w:t>
      </w:r>
      <w:r>
        <w:rPr>
          <w:i/>
        </w:rPr>
        <w:t>9 Key AI Governance Frameworks in 2025 - AI21</w:t>
      </w:r>
      <w:r>
        <w:t xml:space="preserve">. </w:t>
      </w:r>
      <w:hyperlink xmlns:r="http://schemas.openxmlformats.org/officeDocument/2006/relationships" r:id="Rf6726e0ad61442f6">
        <w:r>
          <w:t>https://www.ai21.com/knowledge/ai-governance-frameworks/</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0"/>
  </w:num>
  <w:num w:numId="11">
    <w:abstractNumId w:val="1"/>
  </w:num>
  <w:num w:numId="12">
    <w:abstractNumId w:val="1"/>
  </w:num>
  <w:num w:numId="13">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3e390e984c7d4892" /><Relationship Type="http://schemas.openxmlformats.org/officeDocument/2006/relationships/settings" Target="/word/settings.xml" Id="R14f79793268e4683" /><Relationship Type="http://schemas.openxmlformats.org/officeDocument/2006/relationships/styles" Target="/word/styles.xml" Id="R97e7c3bc63624699" /><Relationship Type="http://schemas.openxmlformats.org/officeDocument/2006/relationships/hyperlink" Target="https://lorenzopieri.com/post_scarcity/" TargetMode="External" Id="Ra31a506293664e41" /><Relationship Type="http://schemas.openxmlformats.org/officeDocument/2006/relationships/hyperlink" Target="https://github.com/lorepieri8/awesome-post-scarcity" TargetMode="External" Id="R9a540eb7177145b5" /><Relationship Type="http://schemas.openxmlformats.org/officeDocument/2006/relationships/hyperlink" Target="https://interactivetextbooks.tudelft.nl/tn2421/content/Chap5_Interference/InterferenceCoherence_2022_01Clean.html" TargetMode="External" Id="R39f36a8fc8d9422d" /><Relationship Type="http://schemas.openxmlformats.org/officeDocument/2006/relationships/hyperlink" Target="https://arxiv.org/pdf/1905.00917" TargetMode="External" Id="R40e5c0ecb8c64609" /><Relationship Type="http://schemas.openxmlformats.org/officeDocument/2006/relationships/hyperlink" Target="https://en.wikipedia.org/wiki/Coherence_%28physics%29" TargetMode="External" Id="R5ee767e6dc7f4592" /><Relationship Type="http://schemas.openxmlformats.org/officeDocument/2006/relationships/hyperlink" Target="https://par.nsf.gov/servlets/purl/10487171" TargetMode="External" Id="R332f7fca3d904f8b" /><Relationship Type="http://schemas.openxmlformats.org/officeDocument/2006/relationships/hyperlink" Target="https://sites.ualberta.ca/~bsuther/papers/psimode/reprint.pdf" TargetMode="External" Id="R3a25aa71019a4301" /><Relationship Type="http://schemas.openxmlformats.org/officeDocument/2006/relationships/hyperlink" Target="https://arxiv.org/abs/2504.00896" TargetMode="External" Id="R757bc98388344263" /><Relationship Type="http://schemas.openxmlformats.org/officeDocument/2006/relationships/hyperlink" Target="https://digital.csic.es/bitstream/10261/382735/1/Signal_Coherence_and_Water_Detection_Algorithms.pdf" TargetMode="External" Id="R3f28d4b3069748c4" /><Relationship Type="http://schemas.openxmlformats.org/officeDocument/2006/relationships/hyperlink" Target="https://www.newscientist.com/article/2406181-dna-nanobots-can-exponentially-self-replicate/" TargetMode="External" Id="Rd616045a36ff4b05" /><Relationship Type="http://schemas.openxmlformats.org/officeDocument/2006/relationships/hyperlink" Target="https://arxiv.org/pdf/2108.07595" TargetMode="External" Id="Rbcbbbaf6ebc54d6c" /><Relationship Type="http://schemas.openxmlformats.org/officeDocument/2006/relationships/hyperlink" Target="https://futurium.ec.europa.eu/en/european-ai-alliance/document/implementing-ai-governance-framework-practice" TargetMode="External" Id="Rb17d46bce56c4515" /><Relationship Type="http://schemas.openxmlformats.org/officeDocument/2006/relationships/hyperlink" Target="https://spectrum.ieee.org/ai-ethics-advice" TargetMode="External" Id="Rc0afd6b6556d4e88" /><Relationship Type="http://schemas.openxmlformats.org/officeDocument/2006/relationships/hyperlink" Target="https://sspd.eng.ed.ac.uk/sites/sspd.eng.ed.ac.uk/files/attachments/basicpage/20171219/Session%206.1.pdf" TargetMode="External" Id="R6a0fb17d08cd418e" /><Relationship Type="http://schemas.openxmlformats.org/officeDocument/2006/relationships/hyperlink" Target="https://link.aps.org/doi/10.1103/PhysRevResearch.7.013255" TargetMode="External" Id="R5a0fdae952e44757" /><Relationship Type="http://schemas.openxmlformats.org/officeDocument/2006/relationships/hyperlink" Target="https://www.usgs.gov/special-topics/earth-mri/hyperspectral-mapping" TargetMode="External" Id="R6fa6d76994a9453e" /><Relationship Type="http://schemas.openxmlformats.org/officeDocument/2006/relationships/hyperlink" Target="https://ageoftransformation.org/we-can-build-a-post-scarcity-energy-world-but-only-if-we-change-how-we-build-it/" TargetMode="External" Id="Re28ae95e9e9b4409" /><Relationship Type="http://schemas.openxmlformats.org/officeDocument/2006/relationships/hyperlink" Target="https://www.sciencedaily.com/releases/2021/11/211129155020.htm" TargetMode="External" Id="Rc80d94173fab4c32" /><Relationship Type="http://schemas.openxmlformats.org/officeDocument/2006/relationships/hyperlink" Target="https://par.nsf.gov/servlets/purl/10140508" TargetMode="External" Id="R16fe79b9fa004929" /><Relationship Type="http://schemas.openxmlformats.org/officeDocument/2006/relationships/hyperlink" Target="https://speautomotive.com/wp-content/uploads/2020/12/Analysis-and-Experimental-Verification-of-Polymer-Melt-Nozzle-Pressure-Drop-in-Fused-Filament-Fabrication-Additive-Manufacturing.pdf" TargetMode="External" Id="Rad90ab182dcc4306" /><Relationship Type="http://schemas.openxmlformats.org/officeDocument/2006/relationships/hyperlink" Target="https://corpgov.law.harvard.edu/2025/04/24/strategic-governance-of-ai-a-roadmap-for-the-future/" TargetMode="External" Id="R68d139e9f32647c4" /><Relationship Type="http://schemas.openxmlformats.org/officeDocument/2006/relationships/hyperlink" Target="https://www.lesswrong.com/posts/kXeeidB34DJJAPS3W/a-roadmap-to-a-post-scarcity-economy" TargetMode="External" Id="Rf9f3b62ee59b4dfd" /><Relationship Type="http://schemas.openxmlformats.org/officeDocument/2006/relationships/hyperlink" Target="https://www.ai21.com/knowledge/ai-governance-frameworks/" TargetMode="External" Id="Rf6726e0ad61442f6"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